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781502" w14:paraId="143AD7F4" w14:textId="77777777" w:rsidTr="00F01738">
        <w:trPr>
          <w:trHeight w:hRule="exact" w:val="851"/>
        </w:trPr>
        <w:tc>
          <w:tcPr>
            <w:tcW w:w="1276" w:type="dxa"/>
            <w:tcBorders>
              <w:bottom w:val="single" w:sz="4" w:space="0" w:color="auto"/>
            </w:tcBorders>
          </w:tcPr>
          <w:p w14:paraId="5D45C513" w14:textId="77777777" w:rsidR="00132EA9" w:rsidRPr="00781502" w:rsidRDefault="00132EA9" w:rsidP="009013D1">
            <w:bookmarkStart w:id="0" w:name="_GoBack"/>
            <w:bookmarkEnd w:id="0"/>
          </w:p>
        </w:tc>
        <w:tc>
          <w:tcPr>
            <w:tcW w:w="2268" w:type="dxa"/>
            <w:tcBorders>
              <w:bottom w:val="single" w:sz="4" w:space="0" w:color="auto"/>
            </w:tcBorders>
            <w:vAlign w:val="bottom"/>
          </w:tcPr>
          <w:p w14:paraId="58A65234" w14:textId="77777777" w:rsidR="00132EA9" w:rsidRPr="00781502" w:rsidRDefault="00132EA9" w:rsidP="00F01738">
            <w:pPr>
              <w:spacing w:after="80" w:line="300" w:lineRule="exact"/>
              <w:rPr>
                <w:sz w:val="28"/>
              </w:rPr>
            </w:pPr>
            <w:r w:rsidRPr="00781502">
              <w:rPr>
                <w:sz w:val="28"/>
              </w:rPr>
              <w:t>Nations Unies</w:t>
            </w:r>
          </w:p>
        </w:tc>
        <w:tc>
          <w:tcPr>
            <w:tcW w:w="6095" w:type="dxa"/>
            <w:gridSpan w:val="2"/>
            <w:tcBorders>
              <w:bottom w:val="single" w:sz="4" w:space="0" w:color="auto"/>
            </w:tcBorders>
            <w:vAlign w:val="bottom"/>
          </w:tcPr>
          <w:p w14:paraId="7FAC68BB" w14:textId="77777777" w:rsidR="00132EA9" w:rsidRPr="00781502" w:rsidRDefault="009013D1" w:rsidP="009013D1">
            <w:pPr>
              <w:jc w:val="right"/>
            </w:pPr>
            <w:r w:rsidRPr="00781502">
              <w:rPr>
                <w:sz w:val="40"/>
              </w:rPr>
              <w:t>ST</w:t>
            </w:r>
            <w:r w:rsidRPr="00781502">
              <w:t>/SG/AC.10/C.3/2020/6</w:t>
            </w:r>
          </w:p>
        </w:tc>
      </w:tr>
      <w:tr w:rsidR="00132EA9" w:rsidRPr="00781502" w14:paraId="340EE083" w14:textId="77777777" w:rsidTr="00F01738">
        <w:trPr>
          <w:trHeight w:hRule="exact" w:val="2835"/>
        </w:trPr>
        <w:tc>
          <w:tcPr>
            <w:tcW w:w="1276" w:type="dxa"/>
            <w:tcBorders>
              <w:top w:val="single" w:sz="4" w:space="0" w:color="auto"/>
              <w:bottom w:val="single" w:sz="12" w:space="0" w:color="auto"/>
            </w:tcBorders>
          </w:tcPr>
          <w:p w14:paraId="307B7599" w14:textId="77777777" w:rsidR="00132EA9" w:rsidRPr="00781502" w:rsidRDefault="00132EA9" w:rsidP="00F01738">
            <w:pPr>
              <w:spacing w:before="120"/>
              <w:jc w:val="center"/>
            </w:pPr>
            <w:r w:rsidRPr="00781502">
              <w:rPr>
                <w:noProof/>
                <w:lang w:eastAsia="fr-CH"/>
              </w:rPr>
              <w:drawing>
                <wp:inline distT="0" distB="0" distL="0" distR="0" wp14:anchorId="1A5DCDCC" wp14:editId="1BACD9F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5B2CC7" w14:textId="77777777" w:rsidR="00132EA9" w:rsidRPr="00781502" w:rsidRDefault="00132EA9" w:rsidP="00F01738">
            <w:pPr>
              <w:spacing w:before="120" w:line="420" w:lineRule="exact"/>
              <w:rPr>
                <w:b/>
                <w:sz w:val="40"/>
                <w:szCs w:val="40"/>
              </w:rPr>
            </w:pPr>
            <w:r w:rsidRPr="00781502">
              <w:rPr>
                <w:b/>
                <w:sz w:val="40"/>
                <w:szCs w:val="40"/>
              </w:rPr>
              <w:t>Secrétariat</w:t>
            </w:r>
          </w:p>
        </w:tc>
        <w:tc>
          <w:tcPr>
            <w:tcW w:w="2835" w:type="dxa"/>
            <w:tcBorders>
              <w:top w:val="single" w:sz="4" w:space="0" w:color="auto"/>
              <w:bottom w:val="single" w:sz="12" w:space="0" w:color="auto"/>
            </w:tcBorders>
          </w:tcPr>
          <w:p w14:paraId="43D178A1" w14:textId="77777777" w:rsidR="00132EA9" w:rsidRPr="00781502" w:rsidRDefault="009013D1" w:rsidP="00F01738">
            <w:pPr>
              <w:spacing w:before="240"/>
            </w:pPr>
            <w:r w:rsidRPr="00781502">
              <w:t xml:space="preserve">Distr. </w:t>
            </w:r>
            <w:proofErr w:type="gramStart"/>
            <w:r w:rsidRPr="00781502">
              <w:t>générale</w:t>
            </w:r>
            <w:proofErr w:type="gramEnd"/>
          </w:p>
          <w:p w14:paraId="560D8404" w14:textId="77777777" w:rsidR="009013D1" w:rsidRPr="00781502" w:rsidRDefault="009013D1" w:rsidP="009013D1">
            <w:pPr>
              <w:spacing w:line="240" w:lineRule="exact"/>
            </w:pPr>
            <w:r w:rsidRPr="00781502">
              <w:t>31 mars 2020</w:t>
            </w:r>
          </w:p>
          <w:p w14:paraId="5F8E6AE3" w14:textId="77777777" w:rsidR="009013D1" w:rsidRPr="00781502" w:rsidRDefault="009013D1" w:rsidP="009013D1">
            <w:pPr>
              <w:spacing w:line="240" w:lineRule="exact"/>
            </w:pPr>
            <w:r w:rsidRPr="00781502">
              <w:t>Français</w:t>
            </w:r>
          </w:p>
          <w:p w14:paraId="75A773B5" w14:textId="77777777" w:rsidR="009013D1" w:rsidRPr="00781502" w:rsidRDefault="009013D1" w:rsidP="009013D1">
            <w:pPr>
              <w:spacing w:line="240" w:lineRule="exact"/>
            </w:pPr>
            <w:r w:rsidRPr="00781502">
              <w:t>Original</w:t>
            </w:r>
            <w:r w:rsidR="00781502">
              <w:t> :</w:t>
            </w:r>
            <w:r w:rsidRPr="00781502">
              <w:t xml:space="preserve"> anglais</w:t>
            </w:r>
          </w:p>
        </w:tc>
      </w:tr>
    </w:tbl>
    <w:p w14:paraId="39C7E1E0" w14:textId="77777777" w:rsidR="00781502" w:rsidRPr="00781502" w:rsidRDefault="00781502" w:rsidP="00781502">
      <w:pPr>
        <w:spacing w:before="120"/>
        <w:rPr>
          <w:b/>
          <w:sz w:val="24"/>
          <w:szCs w:val="24"/>
          <w:lang w:val="fr-FR"/>
        </w:rPr>
      </w:pPr>
      <w:r w:rsidRPr="00781502">
        <w:rPr>
          <w:b/>
          <w:bCs/>
          <w:sz w:val="24"/>
          <w:szCs w:val="24"/>
          <w:lang w:val="fr-FR"/>
        </w:rPr>
        <w:t xml:space="preserve">Comité d’experts du transport des marchandises dangereuses </w:t>
      </w:r>
      <w:r>
        <w:rPr>
          <w:b/>
          <w:bCs/>
          <w:sz w:val="24"/>
          <w:szCs w:val="24"/>
          <w:lang w:val="fr-FR"/>
        </w:rPr>
        <w:br/>
      </w:r>
      <w:r w:rsidRPr="00781502">
        <w:rPr>
          <w:b/>
          <w:bCs/>
          <w:sz w:val="24"/>
          <w:szCs w:val="24"/>
          <w:lang w:val="fr-FR"/>
        </w:rPr>
        <w:t xml:space="preserve">et du Système général harmonisé de classification </w:t>
      </w:r>
      <w:r>
        <w:rPr>
          <w:b/>
          <w:bCs/>
          <w:sz w:val="24"/>
          <w:szCs w:val="24"/>
          <w:lang w:val="fr-FR"/>
        </w:rPr>
        <w:br/>
      </w:r>
      <w:r w:rsidRPr="00781502">
        <w:rPr>
          <w:b/>
          <w:bCs/>
          <w:sz w:val="24"/>
          <w:szCs w:val="24"/>
          <w:lang w:val="fr-FR"/>
        </w:rPr>
        <w:t>et d’étiquetage des produits chimiques</w:t>
      </w:r>
    </w:p>
    <w:p w14:paraId="44311183" w14:textId="77777777" w:rsidR="00781502" w:rsidRPr="00781502" w:rsidRDefault="00781502" w:rsidP="00781502">
      <w:pPr>
        <w:spacing w:before="120"/>
        <w:rPr>
          <w:b/>
          <w:color w:val="000000"/>
          <w:lang w:val="fr-FR"/>
        </w:rPr>
      </w:pPr>
      <w:r w:rsidRPr="00781502">
        <w:rPr>
          <w:b/>
          <w:bCs/>
          <w:lang w:val="fr-FR"/>
        </w:rPr>
        <w:t>Sous-Comité d’experts du transport des marchandises dangereuses</w:t>
      </w:r>
    </w:p>
    <w:p w14:paraId="29799ED7" w14:textId="77777777" w:rsidR="00781502" w:rsidRPr="00781502" w:rsidRDefault="00781502" w:rsidP="00781502">
      <w:pPr>
        <w:spacing w:before="120"/>
        <w:rPr>
          <w:b/>
          <w:lang w:val="fr-FR"/>
        </w:rPr>
      </w:pPr>
      <w:r w:rsidRPr="00781502">
        <w:rPr>
          <w:b/>
          <w:bCs/>
          <w:lang w:val="fr-FR"/>
        </w:rPr>
        <w:t>Cinquante-septième session</w:t>
      </w:r>
    </w:p>
    <w:p w14:paraId="39CF6630" w14:textId="77777777" w:rsidR="00781502" w:rsidRPr="00781502" w:rsidRDefault="00781502" w:rsidP="00781502">
      <w:pPr>
        <w:tabs>
          <w:tab w:val="left" w:pos="6361"/>
          <w:tab w:val="left" w:pos="6939"/>
        </w:tabs>
        <w:outlineLvl w:val="0"/>
        <w:rPr>
          <w:bCs/>
          <w:lang w:val="fr-FR"/>
        </w:rPr>
      </w:pPr>
      <w:r w:rsidRPr="00781502">
        <w:rPr>
          <w:lang w:val="fr-FR"/>
        </w:rPr>
        <w:t>Genève, 29 juin-8 juillet 2020</w:t>
      </w:r>
    </w:p>
    <w:p w14:paraId="64900F3C" w14:textId="77777777" w:rsidR="00781502" w:rsidRPr="00781502" w:rsidRDefault="00781502" w:rsidP="00781502">
      <w:pPr>
        <w:rPr>
          <w:lang w:val="fr-FR"/>
        </w:rPr>
      </w:pPr>
      <w:r w:rsidRPr="00781502">
        <w:rPr>
          <w:lang w:val="fr-FR"/>
        </w:rPr>
        <w:t>Point 3 de l’ordre du jour</w:t>
      </w:r>
    </w:p>
    <w:p w14:paraId="05A55BCC" w14:textId="77777777" w:rsidR="00781502" w:rsidRPr="00781502" w:rsidRDefault="00781502" w:rsidP="00781502">
      <w:pPr>
        <w:rPr>
          <w:b/>
          <w:bCs/>
          <w:lang w:val="fr-FR"/>
        </w:rPr>
      </w:pPr>
      <w:r w:rsidRPr="00781502">
        <w:rPr>
          <w:b/>
          <w:bCs/>
          <w:lang w:val="fr-FR"/>
        </w:rPr>
        <w:t>Inscription, classement et emballage</w:t>
      </w:r>
    </w:p>
    <w:p w14:paraId="33BF6346" w14:textId="77777777" w:rsidR="00781502" w:rsidRPr="00781502" w:rsidRDefault="00781502" w:rsidP="00781502">
      <w:pPr>
        <w:pStyle w:val="HChG"/>
        <w:rPr>
          <w:rFonts w:eastAsia="Malgun Gothic"/>
          <w:lang w:val="fr-FR"/>
        </w:rPr>
      </w:pPr>
      <w:r w:rsidRPr="00781502">
        <w:rPr>
          <w:lang w:val="fr-FR"/>
        </w:rPr>
        <w:tab/>
      </w:r>
      <w:r w:rsidRPr="00781502">
        <w:rPr>
          <w:lang w:val="fr-FR"/>
        </w:rPr>
        <w:tab/>
        <w:t>Températures de régulation et températures critiques pour les préparations énumérées dans l’instruction d’emballage IBC520 et dans l’instruction de transport en citerne mobile T23</w:t>
      </w:r>
      <w:r>
        <w:rPr>
          <w:lang w:val="fr-FR"/>
        </w:rPr>
        <w:t> :</w:t>
      </w:r>
      <w:r w:rsidRPr="00781502">
        <w:rPr>
          <w:lang w:val="fr-FR"/>
        </w:rPr>
        <w:t xml:space="preserve"> clarifications</w:t>
      </w:r>
    </w:p>
    <w:p w14:paraId="505036D1" w14:textId="77777777" w:rsidR="00781502" w:rsidRPr="00781502" w:rsidRDefault="00781502" w:rsidP="00781502">
      <w:pPr>
        <w:pStyle w:val="H1G"/>
        <w:rPr>
          <w:lang w:val="fr-FR"/>
        </w:rPr>
      </w:pPr>
      <w:r w:rsidRPr="00781502">
        <w:rPr>
          <w:lang w:val="fr-FR"/>
        </w:rPr>
        <w:tab/>
      </w:r>
      <w:r w:rsidRPr="00781502">
        <w:rPr>
          <w:lang w:val="fr-FR"/>
        </w:rPr>
        <w:tab/>
        <w:t>Communication des experts de la République de Corée et du Conseil européen de l’industrie chimique (CEFIC)</w:t>
      </w:r>
      <w:r w:rsidRPr="00B10F4A">
        <w:rPr>
          <w:rStyle w:val="FootnoteReference"/>
          <w:b w:val="0"/>
          <w:sz w:val="20"/>
          <w:vertAlign w:val="baseline"/>
          <w:lang w:val="fr-FR"/>
        </w:rPr>
        <w:footnoteReference w:customMarkFollows="1" w:id="2"/>
        <w:t>*</w:t>
      </w:r>
    </w:p>
    <w:p w14:paraId="3053C738" w14:textId="77777777" w:rsidR="00781502" w:rsidRPr="00781502" w:rsidRDefault="00781502" w:rsidP="00781502">
      <w:pPr>
        <w:pStyle w:val="HChG"/>
        <w:rPr>
          <w:lang w:val="fr-FR"/>
        </w:rPr>
      </w:pPr>
      <w:r w:rsidRPr="00781502">
        <w:rPr>
          <w:lang w:val="fr-FR"/>
        </w:rPr>
        <w:tab/>
      </w:r>
      <w:r w:rsidRPr="00781502">
        <w:rPr>
          <w:lang w:val="fr-FR"/>
        </w:rPr>
        <w:tab/>
        <w:t>Introduction</w:t>
      </w:r>
    </w:p>
    <w:p w14:paraId="190E7A46" w14:textId="77777777" w:rsidR="00781502" w:rsidRPr="00781502" w:rsidRDefault="00781502" w:rsidP="00781502">
      <w:pPr>
        <w:pStyle w:val="SingleTxtG"/>
        <w:rPr>
          <w:rFonts w:eastAsia="Batang"/>
          <w:lang w:val="fr-FR"/>
        </w:rPr>
      </w:pPr>
      <w:r w:rsidRPr="00781502">
        <w:rPr>
          <w:lang w:val="fr-FR"/>
        </w:rPr>
        <w:t>1.</w:t>
      </w:r>
      <w:r w:rsidRPr="00781502">
        <w:rPr>
          <w:lang w:val="fr-FR"/>
        </w:rPr>
        <w:tab/>
        <w:t>Dans la vingtième édition révisée du Règlement type, une nouvelle disposition a été ajoutée dans l’instruction d’emballage IBC520 du 4.1.4.2 et dans l’instruction de transport en citerne mobile T23 du 4.2.5.2.6. Elle se lit comme suit</w:t>
      </w:r>
      <w:r>
        <w:rPr>
          <w:lang w:val="fr-FR"/>
        </w:rPr>
        <w:t> :</w:t>
      </w:r>
    </w:p>
    <w:p w14:paraId="5B759B7B" w14:textId="77777777" w:rsidR="00781502" w:rsidRPr="00781502" w:rsidRDefault="00781502" w:rsidP="00781502">
      <w:pPr>
        <w:pStyle w:val="SingleTxtG"/>
        <w:ind w:left="1701" w:firstLine="567"/>
        <w:rPr>
          <w:rFonts w:eastAsia="Batang"/>
          <w:lang w:val="fr-FR"/>
        </w:rPr>
      </w:pPr>
      <w:r w:rsidRPr="00781502">
        <w:rPr>
          <w:lang w:val="fr-FR"/>
        </w:rPr>
        <w:t>« Les préparations énumérées ci-après peuvent également être transportées emballées conformément à la méthode d’emballage OP8 de l’instruction d’emballage P520 du 4.1.4.1, avec les mêmes températures de régulation et critiques, le cas échéant. »</w:t>
      </w:r>
      <w:r>
        <w:rPr>
          <w:lang w:val="fr-FR"/>
        </w:rPr>
        <w:t>.</w:t>
      </w:r>
    </w:p>
    <w:p w14:paraId="49DAA589" w14:textId="77777777" w:rsidR="00781502" w:rsidRPr="00781502" w:rsidRDefault="00781502" w:rsidP="00781502">
      <w:pPr>
        <w:pStyle w:val="SingleTxtG"/>
        <w:rPr>
          <w:rFonts w:eastAsia="Batang"/>
          <w:lang w:val="fr-FR"/>
        </w:rPr>
      </w:pPr>
      <w:r w:rsidRPr="00781502">
        <w:rPr>
          <w:lang w:val="fr-FR"/>
        </w:rPr>
        <w:t>2.</w:t>
      </w:r>
      <w:r w:rsidRPr="00781502">
        <w:rPr>
          <w:lang w:val="fr-FR"/>
        </w:rPr>
        <w:tab/>
        <w:t>Selon cette nouvelle disposition, les préparations non énumérées au 2.4.2.3.2.3 (</w:t>
      </w:r>
      <w:r w:rsidRPr="00781502">
        <w:rPr>
          <w:i/>
          <w:iCs/>
          <w:lang w:val="fr-FR"/>
        </w:rPr>
        <w:t xml:space="preserve">Liste des matières </w:t>
      </w:r>
      <w:proofErr w:type="spellStart"/>
      <w:r w:rsidRPr="00781502">
        <w:rPr>
          <w:i/>
          <w:iCs/>
          <w:lang w:val="fr-FR"/>
        </w:rPr>
        <w:t>autoréactives</w:t>
      </w:r>
      <w:proofErr w:type="spellEnd"/>
      <w:r w:rsidRPr="00781502">
        <w:rPr>
          <w:i/>
          <w:iCs/>
          <w:lang w:val="fr-FR"/>
        </w:rPr>
        <w:t xml:space="preserve"> en emballage, déjà classées</w:t>
      </w:r>
      <w:r w:rsidRPr="00781502">
        <w:rPr>
          <w:lang w:val="fr-FR"/>
        </w:rPr>
        <w:t>) ou au 2.5.3.2.4 (</w:t>
      </w:r>
      <w:r w:rsidRPr="00781502">
        <w:rPr>
          <w:i/>
          <w:iCs/>
          <w:lang w:val="fr-FR"/>
        </w:rPr>
        <w:t>Liste des peroxydes organiques en emballage, déjà classés</w:t>
      </w:r>
      <w:r w:rsidRPr="00781502">
        <w:rPr>
          <w:lang w:val="fr-FR"/>
        </w:rPr>
        <w:t>), mais énumérées dans l’instruction IBC520 ou dans l’instruction T23, peuvent être transportées en emballage, avec les mêmes températures de régulation et les mêmes températures critiques.</w:t>
      </w:r>
    </w:p>
    <w:p w14:paraId="640D492A" w14:textId="77777777" w:rsidR="00781502" w:rsidRPr="00781502" w:rsidRDefault="00781502" w:rsidP="00781502">
      <w:pPr>
        <w:pStyle w:val="HChG"/>
        <w:rPr>
          <w:lang w:val="fr-FR"/>
        </w:rPr>
      </w:pPr>
      <w:r w:rsidRPr="00781502">
        <w:rPr>
          <w:lang w:val="fr-FR"/>
        </w:rPr>
        <w:tab/>
      </w:r>
      <w:r w:rsidRPr="00781502">
        <w:rPr>
          <w:lang w:val="fr-FR"/>
        </w:rPr>
        <w:tab/>
      </w:r>
      <w:r w:rsidRPr="00781502">
        <w:rPr>
          <w:bCs/>
          <w:lang w:val="fr-FR"/>
        </w:rPr>
        <w:t>Examen</w:t>
      </w:r>
    </w:p>
    <w:p w14:paraId="6CBCCCA3" w14:textId="77777777" w:rsidR="00781502" w:rsidRPr="00781502" w:rsidRDefault="00781502" w:rsidP="00781502">
      <w:pPr>
        <w:pStyle w:val="SingleTxtG"/>
        <w:rPr>
          <w:lang w:val="fr-FR"/>
        </w:rPr>
      </w:pPr>
      <w:r w:rsidRPr="00781502">
        <w:rPr>
          <w:lang w:val="fr-FR"/>
        </w:rPr>
        <w:t>3.</w:t>
      </w:r>
      <w:r w:rsidRPr="00781502">
        <w:rPr>
          <w:lang w:val="fr-FR"/>
        </w:rPr>
        <w:tab/>
        <w:t xml:space="preserve">Certaines préparations classées sous le </w:t>
      </w:r>
      <w:proofErr w:type="spellStart"/>
      <w:r w:rsidRPr="00781502">
        <w:rPr>
          <w:lang w:val="fr-FR"/>
        </w:rPr>
        <w:t>No</w:t>
      </w:r>
      <w:r w:rsidRPr="00781502">
        <w:rPr>
          <w:vertAlign w:val="superscript"/>
          <w:lang w:val="fr-FR"/>
        </w:rPr>
        <w:t>o</w:t>
      </w:r>
      <w:r w:rsidRPr="00781502">
        <w:rPr>
          <w:lang w:val="fr-FR"/>
        </w:rPr>
        <w:t>ONU</w:t>
      </w:r>
      <w:proofErr w:type="spellEnd"/>
      <w:r w:rsidRPr="00781502">
        <w:rPr>
          <w:lang w:val="fr-FR"/>
        </w:rPr>
        <w:t xml:space="preserve"> 3119 PEROXYDE ORGANIQUE DU TYPE F, LIQUIDE, AVEC RÉGULATION DE TEMPÉRATURE et énumérées dans l’instruction IBC520 ou dans l’instruction T23 sont également énumérées au 2.4.2.3.2.3 ou </w:t>
      </w:r>
      <w:r w:rsidRPr="00781502">
        <w:rPr>
          <w:lang w:val="fr-FR"/>
        </w:rPr>
        <w:lastRenderedPageBreak/>
        <w:t>au 2.5.3.2.4. En général, à chaque disposition correspondent des températures de régulation et des températures critiques différentes, et les citernes mobiles et les grands récipients pour vrac sont soumis à des conditions de régulation de température plus strictes que les emballages.</w:t>
      </w:r>
    </w:p>
    <w:p w14:paraId="22037723" w14:textId="77777777" w:rsidR="00781502" w:rsidRPr="00781502" w:rsidRDefault="00781502" w:rsidP="00781502">
      <w:pPr>
        <w:pStyle w:val="SingleTxtG"/>
        <w:rPr>
          <w:rFonts w:eastAsia="Batang"/>
          <w:lang w:val="fr-FR"/>
        </w:rPr>
      </w:pPr>
      <w:r w:rsidRPr="00781502">
        <w:rPr>
          <w:lang w:val="fr-FR"/>
        </w:rPr>
        <w:t>4.</w:t>
      </w:r>
      <w:r w:rsidRPr="00781502">
        <w:rPr>
          <w:lang w:val="fr-FR"/>
        </w:rPr>
        <w:tab/>
        <w:t xml:space="preserve">Certaines préparations sont énumérées dans la liste des matières en emballage (2.4.2.3.2.3 et 2.5.3.2.4), dans l’instruction IBC520 et dans l’instruction T23, tandis que d’autres sont </w:t>
      </w:r>
      <w:r w:rsidRPr="00781502">
        <w:rPr>
          <w:b/>
          <w:bCs/>
          <w:lang w:val="fr-FR"/>
        </w:rPr>
        <w:t>uniquement</w:t>
      </w:r>
      <w:r w:rsidRPr="00781502">
        <w:rPr>
          <w:lang w:val="fr-FR"/>
        </w:rPr>
        <w:t xml:space="preserve"> énumérées soit dans l’instruction IBC520 soit dans l’instruction T23. Une telle situation peut être source de confusion lorsqu’il s’agit de déterminer la température de régulation et la température critique, le cas échéant, sans toutefois que la sécurité du transport soit compromise puisque cette confusion ne pourrait conduire qu’au choix d’une température de régulation et d’une température critique plus basses, telles qu’indiquées dans l’instruction IBC520 ou dans l’instruction T23. Des exemples figurent à l’annexe.</w:t>
      </w:r>
      <w:bookmarkStart w:id="1" w:name="_Hlk36473182"/>
      <w:bookmarkEnd w:id="1"/>
    </w:p>
    <w:p w14:paraId="79FE3F2C" w14:textId="77777777" w:rsidR="00781502" w:rsidRPr="00781502" w:rsidRDefault="00781502" w:rsidP="00781502">
      <w:pPr>
        <w:pStyle w:val="SingleTxtG"/>
        <w:rPr>
          <w:rFonts w:eastAsia="Malgun Gothic"/>
          <w:lang w:val="fr-FR"/>
        </w:rPr>
      </w:pPr>
      <w:r w:rsidRPr="00781502">
        <w:rPr>
          <w:lang w:val="fr-FR"/>
        </w:rPr>
        <w:t>5.</w:t>
      </w:r>
      <w:r w:rsidRPr="00781502">
        <w:rPr>
          <w:lang w:val="fr-FR"/>
        </w:rPr>
        <w:tab/>
        <w:t>Pour éviter toute confusion, la République de Corée et le CEFIC proposent d’apporter les modifications ci-après.</w:t>
      </w:r>
    </w:p>
    <w:p w14:paraId="29CA6370" w14:textId="77777777" w:rsidR="00781502" w:rsidRPr="00781502" w:rsidRDefault="00781502" w:rsidP="00781502">
      <w:pPr>
        <w:pStyle w:val="HChG"/>
        <w:rPr>
          <w:lang w:val="fr-FR"/>
        </w:rPr>
      </w:pPr>
      <w:r w:rsidRPr="00781502">
        <w:rPr>
          <w:lang w:val="fr-FR"/>
        </w:rPr>
        <w:tab/>
      </w:r>
      <w:r w:rsidRPr="00781502">
        <w:rPr>
          <w:lang w:val="fr-FR"/>
        </w:rPr>
        <w:tab/>
      </w:r>
      <w:r w:rsidRPr="00781502">
        <w:rPr>
          <w:bCs/>
          <w:lang w:val="fr-FR"/>
        </w:rPr>
        <w:t>Proposition</w:t>
      </w:r>
    </w:p>
    <w:p w14:paraId="54557B41" w14:textId="77777777" w:rsidR="00781502" w:rsidRPr="00781502" w:rsidRDefault="00781502" w:rsidP="00781502">
      <w:pPr>
        <w:pStyle w:val="SingleTxtG"/>
        <w:rPr>
          <w:rFonts w:eastAsia="Batang"/>
          <w:lang w:val="fr-FR"/>
        </w:rPr>
      </w:pPr>
      <w:r w:rsidRPr="00781502">
        <w:rPr>
          <w:lang w:val="fr-FR"/>
        </w:rPr>
        <w:t>6.</w:t>
      </w:r>
      <w:r w:rsidRPr="00781502">
        <w:rPr>
          <w:lang w:val="fr-FR"/>
        </w:rPr>
        <w:tab/>
        <w:t xml:space="preserve">Modifier le 2.4.2.3.2.3, le 2.5.3.2.4, l’instruction IBC520 du 4.1.4.2 et l’instruction T23 du 4.2.5.2.6 comme suit (les ajouts sont en caractères </w:t>
      </w:r>
      <w:r w:rsidRPr="00781502">
        <w:rPr>
          <w:b/>
          <w:bCs/>
          <w:lang w:val="fr-FR"/>
        </w:rPr>
        <w:t>gras</w:t>
      </w:r>
      <w:r w:rsidRPr="00781502">
        <w:rPr>
          <w:lang w:val="fr-FR"/>
        </w:rPr>
        <w:t>)</w:t>
      </w:r>
      <w:r>
        <w:rPr>
          <w:lang w:val="fr-FR"/>
        </w:rPr>
        <w:t> :</w:t>
      </w:r>
    </w:p>
    <w:p w14:paraId="6E6655F6" w14:textId="77777777" w:rsidR="00781502" w:rsidRPr="00781502" w:rsidRDefault="00781502" w:rsidP="00781502">
      <w:pPr>
        <w:pStyle w:val="SingleTxtG"/>
        <w:adjustRightInd/>
        <w:ind w:left="1701"/>
        <w:rPr>
          <w:lang w:val="fr-FR"/>
        </w:rPr>
      </w:pPr>
      <w:r w:rsidRPr="00781502">
        <w:rPr>
          <w:lang w:val="fr-FR"/>
        </w:rPr>
        <w:t>a)</w:t>
      </w:r>
      <w:r w:rsidRPr="00781502">
        <w:rPr>
          <w:lang w:val="fr-FR"/>
        </w:rPr>
        <w:tab/>
        <w:t>Dernière phrase du 2.4.2.3.2.3 et du 2.5.3.2.4</w:t>
      </w:r>
      <w:r>
        <w:rPr>
          <w:lang w:val="fr-FR"/>
        </w:rPr>
        <w:t> :</w:t>
      </w:r>
    </w:p>
    <w:p w14:paraId="66FCA70A" w14:textId="77777777" w:rsidR="00781502" w:rsidRPr="00781502" w:rsidRDefault="00781502" w:rsidP="00781502">
      <w:pPr>
        <w:pStyle w:val="SingleTxtG"/>
        <w:adjustRightInd/>
        <w:ind w:left="2268"/>
        <w:rPr>
          <w:rFonts w:eastAsia="Malgun Gothic"/>
          <w:lang w:val="fr-FR"/>
        </w:rPr>
      </w:pPr>
      <w:r w:rsidRPr="00781502">
        <w:rPr>
          <w:lang w:val="fr-FR"/>
        </w:rPr>
        <w:t xml:space="preserve">« Les préparations </w:t>
      </w:r>
      <w:r w:rsidRPr="00781502">
        <w:rPr>
          <w:b/>
          <w:bCs/>
          <w:lang w:val="fr-FR"/>
        </w:rPr>
        <w:t>non énumérées dans la présente disposition</w:t>
      </w:r>
      <w:r w:rsidRPr="00781502">
        <w:rPr>
          <w:lang w:val="fr-FR"/>
        </w:rPr>
        <w:t xml:space="preserve"> </w:t>
      </w:r>
      <w:r w:rsidRPr="00781502">
        <w:rPr>
          <w:b/>
          <w:bCs/>
          <w:lang w:val="fr-FR"/>
        </w:rPr>
        <w:t xml:space="preserve">mais </w:t>
      </w:r>
      <w:r w:rsidRPr="00781502">
        <w:rPr>
          <w:lang w:val="fr-FR"/>
        </w:rPr>
        <w:t>énumérées dans l’instruction d’emballage IBC520 du 4.1.4.2 et dans l’instruction de transport en citerne mobile T23 du 4.2.5.2.6 peuvent également être transportées emballées conformément à la méthode d’emballage OP8 de l’instruction P520 du 4.1.4.1, avec les mêmes températures de régulation et critiques, le cas échéant. »</w:t>
      </w:r>
      <w:r w:rsidR="00B10F4A">
        <w:rPr>
          <w:lang w:val="fr-FR"/>
        </w:rPr>
        <w:t> ;</w:t>
      </w:r>
    </w:p>
    <w:p w14:paraId="05A12166" w14:textId="77777777" w:rsidR="00781502" w:rsidRPr="00781502" w:rsidRDefault="00781502" w:rsidP="00B10F4A">
      <w:pPr>
        <w:pStyle w:val="SingleTxtG"/>
        <w:adjustRightInd/>
        <w:ind w:left="1701"/>
        <w:rPr>
          <w:lang w:val="fr-FR"/>
        </w:rPr>
      </w:pPr>
      <w:r w:rsidRPr="00781502">
        <w:rPr>
          <w:lang w:val="fr-FR"/>
        </w:rPr>
        <w:t>b)</w:t>
      </w:r>
      <w:r w:rsidRPr="00781502">
        <w:rPr>
          <w:lang w:val="fr-FR"/>
        </w:rPr>
        <w:tab/>
        <w:t>Deuxième phrase de l’instruction IBC520 du 4.1.4.2 (troisième ligne)</w:t>
      </w:r>
      <w:r>
        <w:rPr>
          <w:lang w:val="fr-FR"/>
        </w:rPr>
        <w:t> :</w:t>
      </w:r>
    </w:p>
    <w:p w14:paraId="118AF5B6" w14:textId="77777777" w:rsidR="00781502" w:rsidRPr="00781502" w:rsidRDefault="00781502" w:rsidP="00781502">
      <w:pPr>
        <w:pStyle w:val="SingleTxtG"/>
        <w:adjustRightInd/>
        <w:ind w:left="2268"/>
        <w:rPr>
          <w:lang w:val="fr-FR"/>
        </w:rPr>
      </w:pPr>
      <w:r w:rsidRPr="00781502">
        <w:rPr>
          <w:lang w:val="fr-FR"/>
        </w:rPr>
        <w:t xml:space="preserve">« Les préparations </w:t>
      </w:r>
      <w:r w:rsidRPr="00781502">
        <w:rPr>
          <w:b/>
          <w:bCs/>
          <w:lang w:val="fr-FR"/>
        </w:rPr>
        <w:t>énumérées ni au 2.4.2.3.2.3 ni au 2.5.3.2.4 mais</w:t>
      </w:r>
      <w:r w:rsidRPr="00781502">
        <w:rPr>
          <w:lang w:val="fr-FR"/>
        </w:rPr>
        <w:t xml:space="preserve"> énumérées ci-après peuvent également être transportées emballées conformément à la méthode d’emballage OP8 de l’instruction d’emballage P520 du 4.1.4.1, avec les mêmes températures de régulation et critiques, le cas échéant. »</w:t>
      </w:r>
      <w:r w:rsidR="00B10F4A">
        <w:rPr>
          <w:lang w:val="fr-FR"/>
        </w:rPr>
        <w:t> ;</w:t>
      </w:r>
    </w:p>
    <w:p w14:paraId="1B010EAD" w14:textId="77777777" w:rsidR="00781502" w:rsidRPr="00781502" w:rsidRDefault="00781502" w:rsidP="00781502">
      <w:pPr>
        <w:pStyle w:val="SingleTxtG"/>
        <w:adjustRightInd/>
        <w:snapToGrid/>
        <w:ind w:left="1701"/>
        <w:rPr>
          <w:rFonts w:eastAsia="Batang"/>
          <w:lang w:val="fr-FR"/>
        </w:rPr>
      </w:pPr>
      <w:r w:rsidRPr="00781502">
        <w:rPr>
          <w:lang w:val="fr-FR"/>
        </w:rPr>
        <w:t>c)</w:t>
      </w:r>
      <w:r w:rsidRPr="00781502">
        <w:rPr>
          <w:lang w:val="fr-FR"/>
        </w:rPr>
        <w:tab/>
        <w:t>Quatrième phrase de l’en-tête de l’instruction T23 du 4.2.5.2.6</w:t>
      </w:r>
      <w:r>
        <w:rPr>
          <w:lang w:val="fr-FR"/>
        </w:rPr>
        <w:t> :</w:t>
      </w:r>
    </w:p>
    <w:p w14:paraId="129CC83C" w14:textId="77777777" w:rsidR="00781502" w:rsidRPr="00781502" w:rsidRDefault="00781502" w:rsidP="00781502">
      <w:pPr>
        <w:pStyle w:val="SingleTxtG"/>
        <w:adjustRightInd/>
        <w:snapToGrid/>
        <w:ind w:left="2268"/>
        <w:rPr>
          <w:rFonts w:eastAsia="Malgun Gothic"/>
          <w:lang w:val="fr-FR"/>
        </w:rPr>
      </w:pPr>
      <w:r w:rsidRPr="00781502">
        <w:rPr>
          <w:lang w:val="fr-FR"/>
        </w:rPr>
        <w:t xml:space="preserve">« Les préparations </w:t>
      </w:r>
      <w:r w:rsidRPr="00781502">
        <w:rPr>
          <w:b/>
          <w:bCs/>
          <w:lang w:val="fr-FR"/>
        </w:rPr>
        <w:t>énumérées ni au 2.4.2.3.2.3 ni au 2.5.3.2.4 mais</w:t>
      </w:r>
      <w:r w:rsidRPr="00781502">
        <w:rPr>
          <w:lang w:val="fr-FR"/>
        </w:rPr>
        <w:t xml:space="preserve"> énumérées ci-après peuvent également être transportées emballées conformément à la méthode d’emballage OP8 de l’instruction d’emballage P520 du 4.1.4.1, avec les mêmes températures de régulation et critiques, le cas échéant. »</w:t>
      </w:r>
      <w:r w:rsidR="00B10F4A">
        <w:rPr>
          <w:lang w:val="fr-FR"/>
        </w:rPr>
        <w:t>.</w:t>
      </w:r>
    </w:p>
    <w:p w14:paraId="23BA60EB" w14:textId="77777777" w:rsidR="00781502" w:rsidRPr="00781502" w:rsidRDefault="00781502" w:rsidP="00B10F4A">
      <w:pPr>
        <w:pStyle w:val="HChG"/>
        <w:rPr>
          <w:lang w:val="fr-FR"/>
        </w:rPr>
      </w:pPr>
      <w:r w:rsidRPr="00781502">
        <w:rPr>
          <w:u w:val="single"/>
          <w:lang w:val="fr-FR"/>
        </w:rPr>
        <w:br w:type="page"/>
      </w:r>
      <w:r w:rsidRPr="00781502">
        <w:rPr>
          <w:lang w:val="fr-FR"/>
        </w:rPr>
        <w:lastRenderedPageBreak/>
        <w:t>Annexe</w:t>
      </w:r>
    </w:p>
    <w:p w14:paraId="4024D6E9" w14:textId="77777777" w:rsidR="00781502" w:rsidRPr="00781502" w:rsidRDefault="00781502" w:rsidP="00B10F4A">
      <w:pPr>
        <w:pStyle w:val="HChG"/>
        <w:rPr>
          <w:lang w:val="fr-FR"/>
        </w:rPr>
      </w:pPr>
      <w:r w:rsidRPr="00781502">
        <w:rPr>
          <w:lang w:val="fr-FR"/>
        </w:rPr>
        <w:tab/>
      </w:r>
      <w:r w:rsidRPr="00781502">
        <w:rPr>
          <w:lang w:val="fr-FR"/>
        </w:rPr>
        <w:tab/>
        <w:t>Tableau des préparations classées sous le No</w:t>
      </w:r>
      <w:r w:rsidR="00B10F4A">
        <w:rPr>
          <w:lang w:val="fr-FR"/>
        </w:rPr>
        <w:t> </w:t>
      </w:r>
      <w:r w:rsidRPr="00781502">
        <w:rPr>
          <w:lang w:val="fr-FR"/>
        </w:rPr>
        <w:t>ONU 3119 (peroxydes organiques), avec différentes températures de régulation et températures critiques</w:t>
      </w:r>
    </w:p>
    <w:tbl>
      <w:tblPr>
        <w:tblStyle w:val="TableGrid"/>
        <w:tblW w:w="9637" w:type="dxa"/>
        <w:jc w:val="center"/>
        <w:tblLayout w:type="fixed"/>
        <w:tblCellMar>
          <w:left w:w="108" w:type="dxa"/>
          <w:right w:w="108" w:type="dxa"/>
        </w:tblCellMar>
        <w:tblLook w:val="04A0" w:firstRow="1" w:lastRow="0" w:firstColumn="1" w:lastColumn="0" w:noHBand="0" w:noVBand="1"/>
      </w:tblPr>
      <w:tblGrid>
        <w:gridCol w:w="4397"/>
        <w:gridCol w:w="873"/>
        <w:gridCol w:w="873"/>
        <w:gridCol w:w="873"/>
        <w:gridCol w:w="875"/>
        <w:gridCol w:w="873"/>
        <w:gridCol w:w="873"/>
      </w:tblGrid>
      <w:tr w:rsidR="007E624F" w:rsidRPr="00781502" w14:paraId="45382A7C" w14:textId="77777777" w:rsidTr="007E624F">
        <w:trPr>
          <w:trHeight w:val="20"/>
          <w:jc w:val="center"/>
        </w:trPr>
        <w:tc>
          <w:tcPr>
            <w:tcW w:w="2281" w:type="pct"/>
            <w:vMerge w:val="restart"/>
            <w:tcBorders>
              <w:top w:val="single" w:sz="4" w:space="0" w:color="auto"/>
              <w:left w:val="single" w:sz="4" w:space="0" w:color="auto"/>
              <w:right w:val="single" w:sz="4" w:space="0" w:color="auto"/>
            </w:tcBorders>
            <w:tcMar>
              <w:left w:w="0" w:type="dxa"/>
              <w:right w:w="0" w:type="dxa"/>
            </w:tcMar>
            <w:vAlign w:val="center"/>
            <w:hideMark/>
          </w:tcPr>
          <w:p w14:paraId="605583AE" w14:textId="77777777" w:rsidR="007E624F" w:rsidRPr="00781502" w:rsidRDefault="007E624F" w:rsidP="007E624F">
            <w:pPr>
              <w:tabs>
                <w:tab w:val="left" w:pos="800"/>
                <w:tab w:val="left" w:pos="851"/>
              </w:tabs>
              <w:spacing w:before="80" w:after="80"/>
              <w:ind w:left="113" w:right="113"/>
              <w:jc w:val="center"/>
              <w:rPr>
                <w:b/>
                <w:sz w:val="22"/>
              </w:rPr>
            </w:pPr>
            <w:r w:rsidRPr="00781502">
              <w:rPr>
                <w:b/>
                <w:bCs/>
                <w:lang w:val="fr-FR"/>
              </w:rPr>
              <w:t>No</w:t>
            </w:r>
            <w:r>
              <w:rPr>
                <w:b/>
                <w:bCs/>
                <w:lang w:val="fr-FR"/>
              </w:rPr>
              <w:t> </w:t>
            </w:r>
            <w:r w:rsidRPr="00781502">
              <w:rPr>
                <w:b/>
                <w:bCs/>
                <w:lang w:val="fr-FR"/>
              </w:rPr>
              <w:t>ONU 3119 PEROXYDES ORGANIQUES</w:t>
            </w:r>
          </w:p>
        </w:tc>
        <w:tc>
          <w:tcPr>
            <w:tcW w:w="2719" w:type="pct"/>
            <w:gridSpan w:val="6"/>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BA99EA6" w14:textId="77777777" w:rsidR="007E624F" w:rsidRPr="00781502" w:rsidRDefault="007E624F" w:rsidP="00781502">
            <w:pPr>
              <w:tabs>
                <w:tab w:val="left" w:pos="800"/>
                <w:tab w:val="left" w:pos="851"/>
              </w:tabs>
              <w:spacing w:before="80" w:after="80"/>
              <w:ind w:left="113" w:right="113"/>
              <w:jc w:val="center"/>
              <w:rPr>
                <w:b/>
                <w:sz w:val="22"/>
              </w:rPr>
            </w:pPr>
            <w:r w:rsidRPr="00781502">
              <w:rPr>
                <w:b/>
                <w:bCs/>
                <w:lang w:val="fr-FR"/>
              </w:rPr>
              <w:t>Dispositions</w:t>
            </w:r>
          </w:p>
        </w:tc>
      </w:tr>
      <w:tr w:rsidR="007E624F" w:rsidRPr="00781502" w14:paraId="6F32F458" w14:textId="77777777" w:rsidTr="007E624F">
        <w:trPr>
          <w:trHeight w:val="20"/>
          <w:jc w:val="center"/>
        </w:trPr>
        <w:tc>
          <w:tcPr>
            <w:tcW w:w="2281" w:type="pct"/>
            <w:vMerge/>
            <w:tcBorders>
              <w:left w:val="single" w:sz="4" w:space="0" w:color="auto"/>
              <w:right w:val="single" w:sz="4" w:space="0" w:color="auto"/>
            </w:tcBorders>
            <w:tcMar>
              <w:left w:w="0" w:type="dxa"/>
              <w:right w:w="0" w:type="dxa"/>
            </w:tcMar>
            <w:hideMark/>
          </w:tcPr>
          <w:p w14:paraId="16C2AB45" w14:textId="77777777" w:rsidR="007E624F" w:rsidRPr="00781502" w:rsidRDefault="007E624F" w:rsidP="00781502">
            <w:pPr>
              <w:suppressAutoHyphens w:val="0"/>
              <w:kinsoku/>
              <w:overflowPunct/>
              <w:autoSpaceDE/>
              <w:autoSpaceDN/>
              <w:adjustRightInd/>
              <w:snapToGrid/>
              <w:spacing w:line="240" w:lineRule="auto"/>
              <w:ind w:left="113" w:right="113"/>
              <w:rPr>
                <w:b/>
                <w:sz w:val="22"/>
                <w:lang w:val="en-GB" w:eastAsia="ko-KR"/>
              </w:rPr>
            </w:pPr>
          </w:p>
        </w:tc>
        <w:tc>
          <w:tcPr>
            <w:tcW w:w="906"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5312FD6" w14:textId="77777777" w:rsidR="007E624F" w:rsidRPr="00781502" w:rsidRDefault="007E624F" w:rsidP="00781502">
            <w:pPr>
              <w:tabs>
                <w:tab w:val="left" w:pos="800"/>
                <w:tab w:val="left" w:pos="851"/>
              </w:tabs>
              <w:spacing w:before="80" w:after="80"/>
              <w:ind w:left="113" w:right="113"/>
              <w:jc w:val="center"/>
              <w:rPr>
                <w:b/>
                <w:sz w:val="22"/>
              </w:rPr>
            </w:pPr>
            <w:bookmarkStart w:id="2" w:name="_Hlk36473118"/>
            <w:r w:rsidRPr="00781502">
              <w:rPr>
                <w:b/>
                <w:bCs/>
                <w:lang w:val="fr-FR"/>
              </w:rPr>
              <w:t>2.5.3.2.4</w:t>
            </w:r>
            <w:bookmarkEnd w:id="2"/>
          </w:p>
        </w:tc>
        <w:tc>
          <w:tcPr>
            <w:tcW w:w="907"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B05004F" w14:textId="77777777" w:rsidR="007E624F" w:rsidRPr="00781502" w:rsidRDefault="007E624F" w:rsidP="007E624F">
            <w:pPr>
              <w:tabs>
                <w:tab w:val="left" w:pos="800"/>
                <w:tab w:val="left" w:pos="851"/>
              </w:tabs>
              <w:spacing w:before="80" w:after="80"/>
              <w:ind w:left="57" w:right="57"/>
              <w:jc w:val="center"/>
              <w:rPr>
                <w:rFonts w:eastAsia="Malgun Gothic"/>
                <w:b/>
                <w:sz w:val="22"/>
              </w:rPr>
            </w:pPr>
            <w:r w:rsidRPr="00781502">
              <w:rPr>
                <w:b/>
                <w:bCs/>
                <w:lang w:val="fr-FR"/>
              </w:rPr>
              <w:t>IBC520 du 4.1.4.2</w:t>
            </w:r>
          </w:p>
        </w:tc>
        <w:tc>
          <w:tcPr>
            <w:tcW w:w="906"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9E988D3" w14:textId="77777777" w:rsidR="007E624F" w:rsidRPr="00781502" w:rsidRDefault="007E624F" w:rsidP="00781502">
            <w:pPr>
              <w:tabs>
                <w:tab w:val="left" w:pos="800"/>
                <w:tab w:val="left" w:pos="851"/>
              </w:tabs>
              <w:spacing w:before="80" w:after="80"/>
              <w:ind w:left="113" w:right="113"/>
              <w:jc w:val="center"/>
              <w:rPr>
                <w:rFonts w:eastAsia="Malgun Gothic"/>
                <w:b/>
                <w:sz w:val="22"/>
              </w:rPr>
            </w:pPr>
            <w:r w:rsidRPr="00781502">
              <w:rPr>
                <w:b/>
                <w:bCs/>
                <w:lang w:val="fr-FR"/>
              </w:rPr>
              <w:t>T23 du 4.2.5.2.6</w:t>
            </w:r>
          </w:p>
        </w:tc>
      </w:tr>
      <w:tr w:rsidR="007E624F" w:rsidRPr="00781502" w14:paraId="4B80E43F" w14:textId="77777777" w:rsidTr="007E624F">
        <w:trPr>
          <w:trHeight w:val="20"/>
          <w:jc w:val="center"/>
        </w:trPr>
        <w:tc>
          <w:tcPr>
            <w:tcW w:w="2281" w:type="pct"/>
            <w:vMerge/>
            <w:tcBorders>
              <w:left w:val="single" w:sz="4" w:space="0" w:color="auto"/>
              <w:bottom w:val="single" w:sz="4" w:space="0" w:color="auto"/>
              <w:right w:val="single" w:sz="4" w:space="0" w:color="auto"/>
            </w:tcBorders>
            <w:tcMar>
              <w:left w:w="0" w:type="dxa"/>
              <w:right w:w="0" w:type="dxa"/>
            </w:tcMar>
            <w:hideMark/>
          </w:tcPr>
          <w:p w14:paraId="10D4D12D" w14:textId="77777777" w:rsidR="007E624F" w:rsidRPr="00781502" w:rsidRDefault="007E624F" w:rsidP="00781502">
            <w:pPr>
              <w:suppressAutoHyphens w:val="0"/>
              <w:kinsoku/>
              <w:overflowPunct/>
              <w:autoSpaceDE/>
              <w:autoSpaceDN/>
              <w:adjustRightInd/>
              <w:snapToGrid/>
              <w:spacing w:line="240" w:lineRule="auto"/>
              <w:ind w:left="113" w:right="113"/>
              <w:rPr>
                <w:b/>
                <w:sz w:val="22"/>
                <w:lang w:val="en-GB" w:eastAsia="ko-KR"/>
              </w:rPr>
            </w:pP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F6972E7" w14:textId="77777777" w:rsidR="007E624F" w:rsidRPr="00781502" w:rsidRDefault="007E624F" w:rsidP="00781502">
            <w:pPr>
              <w:tabs>
                <w:tab w:val="left" w:pos="800"/>
              </w:tabs>
              <w:spacing w:before="80" w:after="80"/>
              <w:ind w:left="113" w:right="113"/>
              <w:jc w:val="center"/>
              <w:rPr>
                <w:b/>
                <w:color w:val="000000" w:themeColor="text1"/>
                <w:sz w:val="22"/>
              </w:rPr>
            </w:pPr>
            <w:r w:rsidRPr="00781502">
              <w:rPr>
                <w:b/>
                <w:bCs/>
                <w:lang w:val="fr-FR"/>
              </w:rPr>
              <w:t>T.R.</w:t>
            </w:r>
            <w:r>
              <w:rPr>
                <w:b/>
                <w:bCs/>
                <w:lang w:val="fr-FR"/>
              </w:rPr>
              <w:br/>
            </w:r>
            <w:r w:rsidRPr="00781502">
              <w:rPr>
                <w:b/>
                <w:bCs/>
                <w:lang w:val="fr-FR"/>
              </w:rPr>
              <w:t>(°C)</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B69F3AB" w14:textId="77777777" w:rsidR="007E624F" w:rsidRPr="00781502" w:rsidRDefault="007E624F" w:rsidP="00781502">
            <w:pPr>
              <w:tabs>
                <w:tab w:val="left" w:pos="800"/>
              </w:tabs>
              <w:spacing w:before="80" w:after="80"/>
              <w:ind w:left="113" w:right="113"/>
              <w:jc w:val="center"/>
              <w:rPr>
                <w:b/>
                <w:color w:val="000000" w:themeColor="text1"/>
                <w:sz w:val="22"/>
              </w:rPr>
            </w:pPr>
            <w:r w:rsidRPr="00781502">
              <w:rPr>
                <w:b/>
                <w:bCs/>
                <w:lang w:val="fr-FR"/>
              </w:rPr>
              <w:t>T.C.</w:t>
            </w:r>
            <w:r>
              <w:rPr>
                <w:b/>
                <w:bCs/>
                <w:lang w:val="fr-FR"/>
              </w:rPr>
              <w:br/>
            </w:r>
            <w:r w:rsidRPr="00781502">
              <w:rPr>
                <w:b/>
                <w:bCs/>
                <w:lang w:val="fr-FR"/>
              </w:rPr>
              <w:t>(°C)</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AB5A23D" w14:textId="77777777" w:rsidR="007E624F" w:rsidRPr="00781502" w:rsidRDefault="007E624F" w:rsidP="00781502">
            <w:pPr>
              <w:tabs>
                <w:tab w:val="left" w:pos="800"/>
              </w:tabs>
              <w:spacing w:before="80" w:after="80"/>
              <w:ind w:left="113" w:right="113"/>
              <w:jc w:val="center"/>
              <w:rPr>
                <w:b/>
                <w:color w:val="000000" w:themeColor="text1"/>
                <w:sz w:val="22"/>
              </w:rPr>
            </w:pPr>
            <w:r w:rsidRPr="00781502">
              <w:rPr>
                <w:b/>
                <w:bCs/>
                <w:lang w:val="fr-FR"/>
              </w:rPr>
              <w:t>T.R.</w:t>
            </w:r>
            <w:r>
              <w:rPr>
                <w:b/>
                <w:bCs/>
                <w:lang w:val="fr-FR"/>
              </w:rPr>
              <w:br/>
            </w:r>
            <w:r w:rsidRPr="00781502">
              <w:rPr>
                <w:b/>
                <w:bCs/>
                <w:lang w:val="fr-FR"/>
              </w:rPr>
              <w:t>(°C)</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51DE410" w14:textId="77777777" w:rsidR="007E624F" w:rsidRPr="00781502" w:rsidRDefault="007E624F" w:rsidP="00781502">
            <w:pPr>
              <w:tabs>
                <w:tab w:val="left" w:pos="800"/>
              </w:tabs>
              <w:spacing w:before="80" w:after="80"/>
              <w:ind w:left="113" w:right="113"/>
              <w:jc w:val="center"/>
              <w:rPr>
                <w:b/>
                <w:color w:val="000000" w:themeColor="text1"/>
                <w:sz w:val="22"/>
              </w:rPr>
            </w:pPr>
            <w:r w:rsidRPr="00781502">
              <w:rPr>
                <w:b/>
                <w:bCs/>
                <w:lang w:val="fr-FR"/>
              </w:rPr>
              <w:t>T.C.</w:t>
            </w:r>
            <w:r>
              <w:rPr>
                <w:b/>
                <w:bCs/>
                <w:lang w:val="fr-FR"/>
              </w:rPr>
              <w:br/>
            </w:r>
            <w:r w:rsidRPr="00781502">
              <w:rPr>
                <w:b/>
                <w:bCs/>
                <w:lang w:val="fr-FR"/>
              </w:rPr>
              <w:t>(°C)</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6C314D9" w14:textId="77777777" w:rsidR="007E624F" w:rsidRPr="00781502" w:rsidRDefault="007E624F" w:rsidP="00781502">
            <w:pPr>
              <w:tabs>
                <w:tab w:val="left" w:pos="800"/>
              </w:tabs>
              <w:spacing w:before="80" w:after="80"/>
              <w:ind w:left="113" w:right="113"/>
              <w:jc w:val="center"/>
              <w:rPr>
                <w:b/>
                <w:color w:val="000000" w:themeColor="text1"/>
                <w:sz w:val="22"/>
              </w:rPr>
            </w:pPr>
            <w:r w:rsidRPr="00781502">
              <w:rPr>
                <w:b/>
                <w:bCs/>
                <w:lang w:val="fr-FR"/>
              </w:rPr>
              <w:t>T.R.</w:t>
            </w:r>
            <w:r>
              <w:rPr>
                <w:b/>
                <w:bCs/>
                <w:lang w:val="fr-FR"/>
              </w:rPr>
              <w:br/>
            </w:r>
            <w:r w:rsidRPr="00781502">
              <w:rPr>
                <w:b/>
                <w:bCs/>
                <w:lang w:val="fr-FR"/>
              </w:rPr>
              <w:t>(°C)</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503BD46" w14:textId="77777777" w:rsidR="007E624F" w:rsidRPr="00781502" w:rsidRDefault="007E624F" w:rsidP="00781502">
            <w:pPr>
              <w:tabs>
                <w:tab w:val="left" w:pos="800"/>
              </w:tabs>
              <w:spacing w:before="80" w:after="80"/>
              <w:ind w:left="113" w:right="113"/>
              <w:jc w:val="center"/>
              <w:rPr>
                <w:b/>
                <w:color w:val="000000" w:themeColor="text1"/>
                <w:sz w:val="22"/>
              </w:rPr>
            </w:pPr>
            <w:r w:rsidRPr="00781502">
              <w:rPr>
                <w:b/>
                <w:bCs/>
                <w:lang w:val="fr-FR"/>
              </w:rPr>
              <w:t>T.C.</w:t>
            </w:r>
            <w:r>
              <w:rPr>
                <w:b/>
                <w:bCs/>
                <w:lang w:val="fr-FR"/>
              </w:rPr>
              <w:br/>
            </w:r>
            <w:r w:rsidRPr="00781502">
              <w:rPr>
                <w:b/>
                <w:bCs/>
                <w:lang w:val="fr-FR"/>
              </w:rPr>
              <w:t>(°C)</w:t>
            </w:r>
          </w:p>
        </w:tc>
      </w:tr>
      <w:tr w:rsidR="007E624F" w:rsidRPr="00781502" w14:paraId="1DAE4F4E" w14:textId="77777777" w:rsidTr="007E624F">
        <w:trPr>
          <w:trHeight w:val="20"/>
          <w:jc w:val="center"/>
        </w:trPr>
        <w:tc>
          <w:tcPr>
            <w:tcW w:w="2281" w:type="pct"/>
            <w:tcBorders>
              <w:top w:val="single" w:sz="4" w:space="0" w:color="auto"/>
              <w:left w:val="single" w:sz="4" w:space="0" w:color="auto"/>
              <w:bottom w:val="single" w:sz="4" w:space="0" w:color="auto"/>
              <w:right w:val="single" w:sz="4" w:space="0" w:color="auto"/>
            </w:tcBorders>
            <w:tcMar>
              <w:left w:w="0" w:type="dxa"/>
              <w:right w:w="0" w:type="dxa"/>
            </w:tcMar>
            <w:hideMark/>
          </w:tcPr>
          <w:p w14:paraId="2AC1191C" w14:textId="77777777" w:rsidR="00781502" w:rsidRPr="00781502" w:rsidRDefault="00781502" w:rsidP="00781502">
            <w:pPr>
              <w:tabs>
                <w:tab w:val="left" w:pos="800"/>
              </w:tabs>
              <w:spacing w:before="60" w:after="60"/>
              <w:ind w:left="113" w:right="113"/>
              <w:rPr>
                <w:sz w:val="22"/>
                <w:lang w:val="fr-FR"/>
              </w:rPr>
            </w:pPr>
            <w:proofErr w:type="spellStart"/>
            <w:r w:rsidRPr="00781502">
              <w:rPr>
                <w:lang w:val="fr-FR"/>
              </w:rPr>
              <w:t>Peroxynéodécanoate</w:t>
            </w:r>
            <w:proofErr w:type="spellEnd"/>
            <w:r w:rsidRPr="00781502">
              <w:rPr>
                <w:lang w:val="fr-FR"/>
              </w:rPr>
              <w:t xml:space="preserve"> de </w:t>
            </w:r>
            <w:proofErr w:type="spellStart"/>
            <w:r w:rsidRPr="00781502">
              <w:rPr>
                <w:lang w:val="fr-FR"/>
              </w:rPr>
              <w:t>tert</w:t>
            </w:r>
            <w:proofErr w:type="spellEnd"/>
            <w:r w:rsidRPr="00781502">
              <w:rPr>
                <w:lang w:val="fr-FR"/>
              </w:rPr>
              <w:t>-amyle, à 47 % au plus dans un diluant du type A</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CED00F1"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0</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B49F91D"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+10</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E6A607" w14:textId="77777777" w:rsidR="00781502" w:rsidRPr="00781502" w:rsidRDefault="00781502" w:rsidP="00781502">
            <w:pPr>
              <w:tabs>
                <w:tab w:val="left" w:pos="800"/>
                <w:tab w:val="left" w:pos="851"/>
              </w:tabs>
              <w:spacing w:before="60" w:after="60"/>
              <w:ind w:left="113" w:right="113"/>
              <w:jc w:val="center"/>
              <w:rPr>
                <w:color w:val="000000" w:themeColor="text1"/>
                <w:sz w:val="22"/>
                <w:lang w:val="en-GB" w:eastAsia="ko-KR"/>
              </w:rPr>
            </w:pP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7C21DF" w14:textId="77777777" w:rsidR="00781502" w:rsidRPr="00781502" w:rsidRDefault="00781502" w:rsidP="00781502">
            <w:pPr>
              <w:tabs>
                <w:tab w:val="left" w:pos="800"/>
                <w:tab w:val="left" w:pos="851"/>
              </w:tabs>
              <w:spacing w:before="60" w:after="60"/>
              <w:ind w:left="113" w:right="113"/>
              <w:jc w:val="center"/>
              <w:rPr>
                <w:color w:val="000000" w:themeColor="text1"/>
                <w:sz w:val="22"/>
                <w:lang w:val="en-GB" w:eastAsia="ko-KR"/>
              </w:rPr>
            </w:pP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B2C6538"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-10</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133DCE6"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-5</w:t>
            </w:r>
          </w:p>
        </w:tc>
      </w:tr>
      <w:tr w:rsidR="007E624F" w:rsidRPr="00781502" w14:paraId="545B0AF7" w14:textId="77777777" w:rsidTr="007E624F">
        <w:trPr>
          <w:trHeight w:val="20"/>
          <w:jc w:val="center"/>
        </w:trPr>
        <w:tc>
          <w:tcPr>
            <w:tcW w:w="2281" w:type="pct"/>
            <w:tcBorders>
              <w:top w:val="single" w:sz="4" w:space="0" w:color="auto"/>
              <w:left w:val="single" w:sz="4" w:space="0" w:color="auto"/>
              <w:bottom w:val="single" w:sz="4" w:space="0" w:color="auto"/>
              <w:right w:val="single" w:sz="4" w:space="0" w:color="auto"/>
            </w:tcBorders>
            <w:tcMar>
              <w:left w:w="0" w:type="dxa"/>
              <w:right w:w="0" w:type="dxa"/>
            </w:tcMar>
            <w:hideMark/>
          </w:tcPr>
          <w:p w14:paraId="43251E74" w14:textId="77777777" w:rsidR="00781502" w:rsidRPr="00781502" w:rsidRDefault="00781502" w:rsidP="00781502">
            <w:pPr>
              <w:tabs>
                <w:tab w:val="left" w:pos="800"/>
              </w:tabs>
              <w:spacing w:before="60" w:after="60"/>
              <w:ind w:left="113" w:right="113"/>
              <w:rPr>
                <w:sz w:val="22"/>
                <w:lang w:val="fr-FR"/>
              </w:rPr>
            </w:pPr>
            <w:r w:rsidRPr="00781502">
              <w:rPr>
                <w:lang w:val="fr-FR"/>
              </w:rPr>
              <w:t xml:space="preserve">Éthyl-2 </w:t>
            </w:r>
            <w:proofErr w:type="spellStart"/>
            <w:r w:rsidRPr="00781502">
              <w:rPr>
                <w:lang w:val="fr-FR"/>
              </w:rPr>
              <w:t>peroxyhexanoate</w:t>
            </w:r>
            <w:proofErr w:type="spellEnd"/>
            <w:r w:rsidRPr="00781502">
              <w:rPr>
                <w:lang w:val="fr-FR"/>
              </w:rPr>
              <w:t xml:space="preserve"> de </w:t>
            </w:r>
            <w:proofErr w:type="spellStart"/>
            <w:r w:rsidRPr="00781502">
              <w:rPr>
                <w:lang w:val="fr-FR"/>
              </w:rPr>
              <w:t>tert</w:t>
            </w:r>
            <w:proofErr w:type="spellEnd"/>
            <w:r w:rsidRPr="00781502">
              <w:rPr>
                <w:lang w:val="fr-FR"/>
              </w:rPr>
              <w:t>-butyle, à 32 % au</w:t>
            </w:r>
            <w:r w:rsidR="00B10F4A">
              <w:rPr>
                <w:lang w:val="fr-FR"/>
              </w:rPr>
              <w:t> </w:t>
            </w:r>
            <w:r w:rsidRPr="00781502">
              <w:rPr>
                <w:lang w:val="fr-FR"/>
              </w:rPr>
              <w:t>plus dans un diluant du type B</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20E2E0C"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+40</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5093708"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+45</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D912258"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+30</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3DF853A"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+35</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106D444"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+15</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E0A1882"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+20</w:t>
            </w:r>
          </w:p>
        </w:tc>
      </w:tr>
      <w:tr w:rsidR="007E624F" w:rsidRPr="00781502" w14:paraId="3E1431C7" w14:textId="77777777" w:rsidTr="007E624F">
        <w:trPr>
          <w:trHeight w:val="20"/>
          <w:jc w:val="center"/>
        </w:trPr>
        <w:tc>
          <w:tcPr>
            <w:tcW w:w="2281" w:type="pct"/>
            <w:tcBorders>
              <w:top w:val="single" w:sz="4" w:space="0" w:color="auto"/>
              <w:left w:val="single" w:sz="4" w:space="0" w:color="auto"/>
              <w:bottom w:val="single" w:sz="4" w:space="0" w:color="auto"/>
              <w:right w:val="single" w:sz="4" w:space="0" w:color="auto"/>
            </w:tcBorders>
            <w:tcMar>
              <w:left w:w="0" w:type="dxa"/>
              <w:right w:w="0" w:type="dxa"/>
            </w:tcMar>
            <w:hideMark/>
          </w:tcPr>
          <w:p w14:paraId="43C09A78" w14:textId="77777777" w:rsidR="00781502" w:rsidRPr="00781502" w:rsidRDefault="00781502" w:rsidP="00781502">
            <w:pPr>
              <w:tabs>
                <w:tab w:val="left" w:pos="800"/>
              </w:tabs>
              <w:spacing w:before="60" w:after="60"/>
              <w:ind w:left="113" w:right="113"/>
              <w:rPr>
                <w:sz w:val="22"/>
                <w:lang w:val="fr-FR"/>
              </w:rPr>
            </w:pPr>
            <w:proofErr w:type="spellStart"/>
            <w:r w:rsidRPr="00781502">
              <w:rPr>
                <w:lang w:val="fr-FR"/>
              </w:rPr>
              <w:t>Peroxynéodécanoate</w:t>
            </w:r>
            <w:proofErr w:type="spellEnd"/>
            <w:r w:rsidRPr="00781502">
              <w:rPr>
                <w:lang w:val="fr-FR"/>
              </w:rPr>
              <w:t xml:space="preserve"> de </w:t>
            </w:r>
            <w:proofErr w:type="spellStart"/>
            <w:r w:rsidRPr="00781502">
              <w:rPr>
                <w:lang w:val="fr-FR"/>
              </w:rPr>
              <w:t>tert</w:t>
            </w:r>
            <w:proofErr w:type="spellEnd"/>
            <w:r w:rsidRPr="00781502">
              <w:rPr>
                <w:lang w:val="fr-FR"/>
              </w:rPr>
              <w:t>-butyle, à 52 % au plus en</w:t>
            </w:r>
            <w:r w:rsidR="00B10F4A">
              <w:rPr>
                <w:lang w:val="fr-FR"/>
              </w:rPr>
              <w:t> </w:t>
            </w:r>
            <w:r w:rsidRPr="00781502">
              <w:rPr>
                <w:lang w:val="fr-FR"/>
              </w:rPr>
              <w:t>dispersion stable dans l’eau</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EF2C748"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0</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2D3FF41"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+10</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9F4423F"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-5</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A9E385D"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+5</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E51A95" w14:textId="77777777" w:rsidR="00781502" w:rsidRPr="00781502" w:rsidRDefault="00781502" w:rsidP="00781502">
            <w:pPr>
              <w:tabs>
                <w:tab w:val="left" w:pos="800"/>
                <w:tab w:val="left" w:pos="851"/>
              </w:tabs>
              <w:spacing w:before="60" w:after="60"/>
              <w:ind w:left="113" w:right="113"/>
              <w:jc w:val="center"/>
              <w:rPr>
                <w:color w:val="000000" w:themeColor="text1"/>
                <w:sz w:val="22"/>
                <w:lang w:val="en-GB" w:eastAsia="ko-KR"/>
              </w:rPr>
            </w:pP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3994F4" w14:textId="77777777" w:rsidR="00781502" w:rsidRPr="00781502" w:rsidRDefault="00781502" w:rsidP="00781502">
            <w:pPr>
              <w:tabs>
                <w:tab w:val="left" w:pos="800"/>
                <w:tab w:val="left" w:pos="851"/>
              </w:tabs>
              <w:spacing w:before="60" w:after="60"/>
              <w:ind w:left="113" w:right="113"/>
              <w:jc w:val="center"/>
              <w:rPr>
                <w:color w:val="000000" w:themeColor="text1"/>
                <w:sz w:val="22"/>
                <w:lang w:val="en-GB" w:eastAsia="ko-KR"/>
              </w:rPr>
            </w:pPr>
          </w:p>
        </w:tc>
      </w:tr>
      <w:tr w:rsidR="007E624F" w:rsidRPr="00781502" w14:paraId="32327536" w14:textId="77777777" w:rsidTr="007E624F">
        <w:trPr>
          <w:trHeight w:val="20"/>
          <w:jc w:val="center"/>
        </w:trPr>
        <w:tc>
          <w:tcPr>
            <w:tcW w:w="2281" w:type="pct"/>
            <w:tcBorders>
              <w:top w:val="single" w:sz="4" w:space="0" w:color="auto"/>
              <w:left w:val="single" w:sz="4" w:space="0" w:color="auto"/>
              <w:bottom w:val="single" w:sz="4" w:space="0" w:color="auto"/>
              <w:right w:val="single" w:sz="4" w:space="0" w:color="auto"/>
            </w:tcBorders>
            <w:tcMar>
              <w:left w:w="0" w:type="dxa"/>
              <w:right w:w="0" w:type="dxa"/>
            </w:tcMar>
            <w:hideMark/>
          </w:tcPr>
          <w:p w14:paraId="27C670AB" w14:textId="77777777" w:rsidR="00781502" w:rsidRPr="00781502" w:rsidRDefault="00781502" w:rsidP="00781502">
            <w:pPr>
              <w:tabs>
                <w:tab w:val="left" w:pos="800"/>
              </w:tabs>
              <w:spacing w:before="60" w:after="60"/>
              <w:ind w:left="113" w:right="113"/>
              <w:rPr>
                <w:sz w:val="22"/>
                <w:lang w:val="fr-FR"/>
              </w:rPr>
            </w:pPr>
            <w:proofErr w:type="spellStart"/>
            <w:r w:rsidRPr="00781502">
              <w:rPr>
                <w:lang w:val="fr-FR"/>
              </w:rPr>
              <w:t>Peroxypivalate</w:t>
            </w:r>
            <w:proofErr w:type="spellEnd"/>
            <w:r w:rsidRPr="00781502">
              <w:rPr>
                <w:lang w:val="fr-FR"/>
              </w:rPr>
              <w:t xml:space="preserve"> de </w:t>
            </w:r>
            <w:proofErr w:type="spellStart"/>
            <w:r w:rsidRPr="00781502">
              <w:rPr>
                <w:lang w:val="fr-FR"/>
              </w:rPr>
              <w:t>tert</w:t>
            </w:r>
            <w:proofErr w:type="spellEnd"/>
            <w:r w:rsidRPr="00781502">
              <w:rPr>
                <w:lang w:val="fr-FR"/>
              </w:rPr>
              <w:t>-butyle, à 27 % au plus dans un</w:t>
            </w:r>
            <w:r w:rsidR="00B10F4A">
              <w:rPr>
                <w:lang w:val="fr-FR"/>
              </w:rPr>
              <w:t> </w:t>
            </w:r>
            <w:r w:rsidRPr="00781502">
              <w:rPr>
                <w:lang w:val="fr-FR"/>
              </w:rPr>
              <w:t>diluant du type B</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2DD0DA4"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+30</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56104EC"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+35</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606C25B"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+10</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C5AE7C2"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+15</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67A0159"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+5</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192A78C"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+10</w:t>
            </w:r>
          </w:p>
        </w:tc>
      </w:tr>
      <w:tr w:rsidR="007E624F" w:rsidRPr="00781502" w14:paraId="5AF9704D" w14:textId="77777777" w:rsidTr="007E624F">
        <w:trPr>
          <w:trHeight w:val="20"/>
          <w:jc w:val="center"/>
        </w:trPr>
        <w:tc>
          <w:tcPr>
            <w:tcW w:w="2281" w:type="pct"/>
            <w:tcBorders>
              <w:top w:val="single" w:sz="4" w:space="0" w:color="auto"/>
              <w:left w:val="single" w:sz="4" w:space="0" w:color="auto"/>
              <w:bottom w:val="single" w:sz="4" w:space="0" w:color="auto"/>
              <w:right w:val="single" w:sz="4" w:space="0" w:color="auto"/>
            </w:tcBorders>
            <w:tcMar>
              <w:left w:w="0" w:type="dxa"/>
              <w:right w:w="0" w:type="dxa"/>
            </w:tcMar>
            <w:hideMark/>
          </w:tcPr>
          <w:p w14:paraId="54C759CE" w14:textId="77777777" w:rsidR="00781502" w:rsidRPr="00781502" w:rsidRDefault="00781502" w:rsidP="00781502">
            <w:pPr>
              <w:tabs>
                <w:tab w:val="left" w:pos="800"/>
              </w:tabs>
              <w:spacing w:before="60" w:after="60"/>
              <w:ind w:left="113" w:right="113"/>
              <w:rPr>
                <w:sz w:val="22"/>
                <w:lang w:val="fr-FR"/>
              </w:rPr>
            </w:pPr>
            <w:proofErr w:type="spellStart"/>
            <w:r w:rsidRPr="00781502">
              <w:rPr>
                <w:lang w:val="fr-FR"/>
              </w:rPr>
              <w:t>Peroxynéodécanoate</w:t>
            </w:r>
            <w:proofErr w:type="spellEnd"/>
            <w:r w:rsidRPr="00781502">
              <w:rPr>
                <w:lang w:val="fr-FR"/>
              </w:rPr>
              <w:t xml:space="preserve"> de </w:t>
            </w:r>
            <w:proofErr w:type="spellStart"/>
            <w:r w:rsidRPr="00781502">
              <w:rPr>
                <w:lang w:val="fr-FR"/>
              </w:rPr>
              <w:t>cumyle</w:t>
            </w:r>
            <w:proofErr w:type="spellEnd"/>
            <w:r w:rsidRPr="00781502">
              <w:rPr>
                <w:lang w:val="fr-FR"/>
              </w:rPr>
              <w:t>, à 52 % au plus en</w:t>
            </w:r>
            <w:r w:rsidR="00B10F4A">
              <w:rPr>
                <w:lang w:val="fr-FR"/>
              </w:rPr>
              <w:t> </w:t>
            </w:r>
            <w:r w:rsidRPr="00781502">
              <w:rPr>
                <w:lang w:val="fr-FR"/>
              </w:rPr>
              <w:t>dispersion stable dans l’eau</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ECD0EB8"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-10</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BBAB5B6"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0</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4D9CD2C"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-15</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2A10AD2"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-5</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28DB1A" w14:textId="77777777" w:rsidR="00781502" w:rsidRPr="00781502" w:rsidRDefault="00781502" w:rsidP="00781502">
            <w:pPr>
              <w:tabs>
                <w:tab w:val="left" w:pos="800"/>
                <w:tab w:val="left" w:pos="851"/>
              </w:tabs>
              <w:spacing w:before="60" w:after="60"/>
              <w:ind w:left="113" w:right="113"/>
              <w:jc w:val="center"/>
              <w:rPr>
                <w:color w:val="000000" w:themeColor="text1"/>
                <w:sz w:val="22"/>
                <w:lang w:val="en-GB" w:eastAsia="ko-KR"/>
              </w:rPr>
            </w:pP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6A52DC" w14:textId="77777777" w:rsidR="00781502" w:rsidRPr="00781502" w:rsidRDefault="00781502" w:rsidP="00781502">
            <w:pPr>
              <w:tabs>
                <w:tab w:val="left" w:pos="800"/>
                <w:tab w:val="left" w:pos="851"/>
              </w:tabs>
              <w:spacing w:before="60" w:after="60"/>
              <w:ind w:left="113" w:right="113"/>
              <w:jc w:val="center"/>
              <w:rPr>
                <w:color w:val="000000" w:themeColor="text1"/>
                <w:sz w:val="22"/>
                <w:lang w:val="en-GB" w:eastAsia="ko-KR"/>
              </w:rPr>
            </w:pPr>
          </w:p>
        </w:tc>
      </w:tr>
      <w:tr w:rsidR="007E624F" w:rsidRPr="00781502" w14:paraId="2E51731A" w14:textId="77777777" w:rsidTr="007E624F">
        <w:trPr>
          <w:trHeight w:val="20"/>
          <w:jc w:val="center"/>
        </w:trPr>
        <w:tc>
          <w:tcPr>
            <w:tcW w:w="2281" w:type="pct"/>
            <w:tcBorders>
              <w:top w:val="single" w:sz="4" w:space="0" w:color="auto"/>
              <w:left w:val="single" w:sz="4" w:space="0" w:color="auto"/>
              <w:bottom w:val="single" w:sz="4" w:space="0" w:color="auto"/>
              <w:right w:val="single" w:sz="4" w:space="0" w:color="auto"/>
            </w:tcBorders>
            <w:tcMar>
              <w:left w:w="0" w:type="dxa"/>
              <w:right w:w="0" w:type="dxa"/>
            </w:tcMar>
            <w:hideMark/>
          </w:tcPr>
          <w:p w14:paraId="2E562486" w14:textId="77777777" w:rsidR="00781502" w:rsidRPr="00781502" w:rsidRDefault="00781502" w:rsidP="00781502">
            <w:pPr>
              <w:tabs>
                <w:tab w:val="left" w:pos="800"/>
              </w:tabs>
              <w:spacing w:before="60" w:after="60"/>
              <w:ind w:left="113" w:right="113"/>
              <w:rPr>
                <w:sz w:val="22"/>
                <w:lang w:val="fr-FR"/>
              </w:rPr>
            </w:pPr>
            <w:proofErr w:type="spellStart"/>
            <w:r w:rsidRPr="00781502">
              <w:rPr>
                <w:lang w:val="fr-FR"/>
              </w:rPr>
              <w:t>Peroxydicarbonate</w:t>
            </w:r>
            <w:proofErr w:type="spellEnd"/>
            <w:r w:rsidRPr="00781502">
              <w:rPr>
                <w:lang w:val="fr-FR"/>
              </w:rPr>
              <w:t xml:space="preserve"> de bis (éthyl-2-hexyle), à 62 % au</w:t>
            </w:r>
            <w:r w:rsidR="00B10F4A">
              <w:rPr>
                <w:lang w:val="fr-FR"/>
              </w:rPr>
              <w:t> </w:t>
            </w:r>
            <w:r w:rsidRPr="00781502">
              <w:rPr>
                <w:lang w:val="fr-FR"/>
              </w:rPr>
              <w:t>plus en dispersion stable dans l’eau</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9C3E765"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-15</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B90E8CE"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-5</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13FFBE0"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-20</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EAEC6CC"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-10</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0D54DA" w14:textId="77777777" w:rsidR="00781502" w:rsidRPr="00781502" w:rsidRDefault="00781502" w:rsidP="00781502">
            <w:pPr>
              <w:tabs>
                <w:tab w:val="left" w:pos="800"/>
                <w:tab w:val="left" w:pos="851"/>
              </w:tabs>
              <w:spacing w:before="60" w:after="60"/>
              <w:ind w:left="113" w:right="113"/>
              <w:jc w:val="center"/>
              <w:rPr>
                <w:color w:val="000000" w:themeColor="text1"/>
                <w:sz w:val="22"/>
                <w:lang w:val="en-GB" w:eastAsia="ko-KR"/>
              </w:rPr>
            </w:pP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7D19BE" w14:textId="77777777" w:rsidR="00781502" w:rsidRPr="00781502" w:rsidRDefault="00781502" w:rsidP="00781502">
            <w:pPr>
              <w:tabs>
                <w:tab w:val="left" w:pos="800"/>
                <w:tab w:val="left" w:pos="851"/>
              </w:tabs>
              <w:spacing w:before="60" w:after="60"/>
              <w:ind w:left="113" w:right="113"/>
              <w:jc w:val="center"/>
              <w:rPr>
                <w:color w:val="000000" w:themeColor="text1"/>
                <w:sz w:val="22"/>
                <w:lang w:val="en-GB" w:eastAsia="ko-KR"/>
              </w:rPr>
            </w:pPr>
          </w:p>
        </w:tc>
      </w:tr>
      <w:tr w:rsidR="007E624F" w:rsidRPr="00781502" w14:paraId="64233416" w14:textId="77777777" w:rsidTr="007E624F">
        <w:trPr>
          <w:trHeight w:val="20"/>
          <w:jc w:val="center"/>
        </w:trPr>
        <w:tc>
          <w:tcPr>
            <w:tcW w:w="2281" w:type="pct"/>
            <w:tcBorders>
              <w:top w:val="single" w:sz="4" w:space="0" w:color="auto"/>
              <w:left w:val="single" w:sz="4" w:space="0" w:color="auto"/>
              <w:bottom w:val="single" w:sz="4" w:space="0" w:color="auto"/>
              <w:right w:val="single" w:sz="4" w:space="0" w:color="auto"/>
            </w:tcBorders>
            <w:tcMar>
              <w:left w:w="0" w:type="dxa"/>
              <w:right w:w="0" w:type="dxa"/>
            </w:tcMar>
            <w:hideMark/>
          </w:tcPr>
          <w:p w14:paraId="05B98790" w14:textId="77777777" w:rsidR="00781502" w:rsidRPr="00781502" w:rsidRDefault="00781502" w:rsidP="00781502">
            <w:pPr>
              <w:tabs>
                <w:tab w:val="left" w:pos="800"/>
              </w:tabs>
              <w:spacing w:before="60" w:after="60"/>
              <w:ind w:left="113" w:right="113"/>
              <w:rPr>
                <w:sz w:val="22"/>
                <w:lang w:val="fr-FR"/>
              </w:rPr>
            </w:pPr>
            <w:r w:rsidRPr="00781502">
              <w:rPr>
                <w:lang w:val="fr-FR"/>
              </w:rPr>
              <w:t xml:space="preserve">Peroxyde de </w:t>
            </w:r>
            <w:proofErr w:type="spellStart"/>
            <w:r w:rsidRPr="00781502">
              <w:rPr>
                <w:lang w:val="fr-FR"/>
              </w:rPr>
              <w:t>diisobutyryle</w:t>
            </w:r>
            <w:proofErr w:type="spellEnd"/>
            <w:r w:rsidRPr="00781502">
              <w:rPr>
                <w:lang w:val="fr-FR"/>
              </w:rPr>
              <w:t>, à 42 % au plus en</w:t>
            </w:r>
            <w:r w:rsidR="00B10F4A">
              <w:rPr>
                <w:lang w:val="fr-FR"/>
              </w:rPr>
              <w:t> </w:t>
            </w:r>
            <w:r w:rsidRPr="00781502">
              <w:rPr>
                <w:lang w:val="fr-FR"/>
              </w:rPr>
              <w:t>dispersion stable dans l’eau</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9924DFE"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-20</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CC6E955"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-10</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5F23679"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-25</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8209C92"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-15</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235400" w14:textId="77777777" w:rsidR="00781502" w:rsidRPr="00781502" w:rsidRDefault="00781502" w:rsidP="00781502">
            <w:pPr>
              <w:tabs>
                <w:tab w:val="left" w:pos="800"/>
                <w:tab w:val="left" w:pos="851"/>
              </w:tabs>
              <w:spacing w:before="60" w:after="60"/>
              <w:ind w:left="113" w:right="113"/>
              <w:jc w:val="center"/>
              <w:rPr>
                <w:color w:val="000000" w:themeColor="text1"/>
                <w:sz w:val="22"/>
                <w:lang w:val="en-GB" w:eastAsia="ko-KR"/>
              </w:rPr>
            </w:pP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5A3801" w14:textId="77777777" w:rsidR="00781502" w:rsidRPr="00781502" w:rsidRDefault="00781502" w:rsidP="00781502">
            <w:pPr>
              <w:tabs>
                <w:tab w:val="left" w:pos="800"/>
                <w:tab w:val="left" w:pos="851"/>
              </w:tabs>
              <w:spacing w:before="60" w:after="60"/>
              <w:ind w:left="113" w:right="113"/>
              <w:jc w:val="center"/>
              <w:rPr>
                <w:color w:val="000000" w:themeColor="text1"/>
                <w:sz w:val="22"/>
                <w:lang w:val="en-GB" w:eastAsia="ko-KR"/>
              </w:rPr>
            </w:pPr>
          </w:p>
        </w:tc>
      </w:tr>
      <w:tr w:rsidR="007E624F" w:rsidRPr="00781502" w14:paraId="51DC7293" w14:textId="77777777" w:rsidTr="007E624F">
        <w:trPr>
          <w:trHeight w:val="20"/>
          <w:jc w:val="center"/>
        </w:trPr>
        <w:tc>
          <w:tcPr>
            <w:tcW w:w="2281" w:type="pct"/>
            <w:tcBorders>
              <w:top w:val="single" w:sz="4" w:space="0" w:color="auto"/>
              <w:left w:val="single" w:sz="4" w:space="0" w:color="auto"/>
              <w:bottom w:val="single" w:sz="4" w:space="0" w:color="auto"/>
              <w:right w:val="single" w:sz="4" w:space="0" w:color="auto"/>
            </w:tcBorders>
            <w:tcMar>
              <w:left w:w="0" w:type="dxa"/>
              <w:right w:w="0" w:type="dxa"/>
            </w:tcMar>
            <w:hideMark/>
          </w:tcPr>
          <w:p w14:paraId="359212E6" w14:textId="77777777" w:rsidR="00781502" w:rsidRPr="00781502" w:rsidRDefault="00781502" w:rsidP="00781502">
            <w:pPr>
              <w:tabs>
                <w:tab w:val="left" w:pos="800"/>
              </w:tabs>
              <w:spacing w:before="60" w:after="60"/>
              <w:ind w:left="113" w:right="113"/>
              <w:rPr>
                <w:sz w:val="22"/>
                <w:lang w:val="fr-FR"/>
              </w:rPr>
            </w:pPr>
            <w:proofErr w:type="spellStart"/>
            <w:r w:rsidRPr="00781502">
              <w:rPr>
                <w:lang w:val="fr-FR"/>
              </w:rPr>
              <w:t>Peroxydicarbonate</w:t>
            </w:r>
            <w:proofErr w:type="spellEnd"/>
            <w:r w:rsidRPr="00781502">
              <w:rPr>
                <w:lang w:val="fr-FR"/>
              </w:rPr>
              <w:t xml:space="preserve"> de </w:t>
            </w:r>
            <w:proofErr w:type="spellStart"/>
            <w:r w:rsidRPr="00781502">
              <w:rPr>
                <w:lang w:val="fr-FR"/>
              </w:rPr>
              <w:t>dimyristyle</w:t>
            </w:r>
            <w:proofErr w:type="spellEnd"/>
            <w:r w:rsidRPr="00781502">
              <w:rPr>
                <w:lang w:val="fr-FR"/>
              </w:rPr>
              <w:t>, à 42 % au plus en</w:t>
            </w:r>
            <w:r w:rsidR="00B10F4A">
              <w:rPr>
                <w:lang w:val="fr-FR"/>
              </w:rPr>
              <w:t> </w:t>
            </w:r>
            <w:r w:rsidRPr="00781502">
              <w:rPr>
                <w:lang w:val="fr-FR"/>
              </w:rPr>
              <w:t>dispersion stable dans l’eau</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FEBD267"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+20</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4F392E2"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+25</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F56BD4C"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+15</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DA8D43D"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+20</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E31AE0" w14:textId="77777777" w:rsidR="00781502" w:rsidRPr="00781502" w:rsidRDefault="00781502" w:rsidP="00781502">
            <w:pPr>
              <w:tabs>
                <w:tab w:val="left" w:pos="800"/>
                <w:tab w:val="left" w:pos="851"/>
              </w:tabs>
              <w:spacing w:before="60" w:after="60"/>
              <w:ind w:left="113" w:right="113"/>
              <w:jc w:val="center"/>
              <w:rPr>
                <w:color w:val="000000" w:themeColor="text1"/>
                <w:sz w:val="22"/>
                <w:lang w:val="en-GB" w:eastAsia="ko-KR"/>
              </w:rPr>
            </w:pP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8AE0BD" w14:textId="77777777" w:rsidR="00781502" w:rsidRPr="00781502" w:rsidRDefault="00781502" w:rsidP="00781502">
            <w:pPr>
              <w:tabs>
                <w:tab w:val="left" w:pos="800"/>
                <w:tab w:val="left" w:pos="851"/>
              </w:tabs>
              <w:spacing w:before="60" w:after="60"/>
              <w:ind w:left="113" w:right="113"/>
              <w:jc w:val="center"/>
              <w:rPr>
                <w:color w:val="000000" w:themeColor="text1"/>
                <w:sz w:val="22"/>
                <w:lang w:val="en-GB" w:eastAsia="ko-KR"/>
              </w:rPr>
            </w:pPr>
          </w:p>
        </w:tc>
      </w:tr>
      <w:tr w:rsidR="007E624F" w:rsidRPr="00781502" w14:paraId="6B3C8AE0" w14:textId="77777777" w:rsidTr="007E624F">
        <w:trPr>
          <w:trHeight w:val="20"/>
          <w:jc w:val="center"/>
        </w:trPr>
        <w:tc>
          <w:tcPr>
            <w:tcW w:w="2281" w:type="pct"/>
            <w:tcBorders>
              <w:top w:val="single" w:sz="4" w:space="0" w:color="auto"/>
              <w:left w:val="single" w:sz="4" w:space="0" w:color="auto"/>
              <w:bottom w:val="single" w:sz="4" w:space="0" w:color="auto"/>
              <w:right w:val="single" w:sz="4" w:space="0" w:color="auto"/>
            </w:tcBorders>
            <w:tcMar>
              <w:left w:w="0" w:type="dxa"/>
              <w:right w:w="0" w:type="dxa"/>
            </w:tcMar>
            <w:hideMark/>
          </w:tcPr>
          <w:p w14:paraId="112448EC" w14:textId="77777777" w:rsidR="00781502" w:rsidRPr="00781502" w:rsidRDefault="00781502" w:rsidP="00781502">
            <w:pPr>
              <w:tabs>
                <w:tab w:val="center" w:pos="2287"/>
              </w:tabs>
              <w:spacing w:before="60" w:after="60"/>
              <w:ind w:left="113" w:right="113"/>
              <w:rPr>
                <w:sz w:val="22"/>
                <w:lang w:val="fr-FR"/>
              </w:rPr>
            </w:pPr>
            <w:r w:rsidRPr="00781502">
              <w:rPr>
                <w:lang w:val="fr-FR"/>
              </w:rPr>
              <w:t>Peroxyde de bis (</w:t>
            </w:r>
            <w:proofErr w:type="spellStart"/>
            <w:r w:rsidRPr="00781502">
              <w:rPr>
                <w:lang w:val="fr-FR"/>
              </w:rPr>
              <w:t>triméthyl</w:t>
            </w:r>
            <w:proofErr w:type="spellEnd"/>
            <w:r w:rsidRPr="00781502">
              <w:rPr>
                <w:lang w:val="fr-FR"/>
              </w:rPr>
              <w:t>, 3,5,5-hexanyole), à</w:t>
            </w:r>
            <w:r w:rsidR="007E624F">
              <w:rPr>
                <w:lang w:val="fr-FR"/>
              </w:rPr>
              <w:t> </w:t>
            </w:r>
            <w:r w:rsidRPr="00781502">
              <w:rPr>
                <w:lang w:val="fr-FR"/>
              </w:rPr>
              <w:t>38 % au plus dans un diluant du type A</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80E3F35"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+20</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59B93F2"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+25</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C876D87"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0</w:t>
            </w:r>
          </w:p>
        </w:tc>
        <w:tc>
          <w:tcPr>
            <w:tcW w:w="454" w:type="pc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28199E0" w14:textId="77777777" w:rsidR="00781502" w:rsidRPr="00781502" w:rsidRDefault="00781502" w:rsidP="00781502">
            <w:pPr>
              <w:tabs>
                <w:tab w:val="left" w:pos="800"/>
                <w:tab w:val="left" w:pos="851"/>
              </w:tabs>
              <w:spacing w:before="60" w:after="60"/>
              <w:ind w:left="113" w:right="113"/>
              <w:jc w:val="center"/>
              <w:rPr>
                <w:color w:val="000000" w:themeColor="text1"/>
                <w:sz w:val="22"/>
              </w:rPr>
            </w:pPr>
            <w:r w:rsidRPr="00781502">
              <w:rPr>
                <w:lang w:val="fr-FR"/>
              </w:rPr>
              <w:t>+5</w:t>
            </w: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F90B4F" w14:textId="77777777" w:rsidR="00781502" w:rsidRPr="00781502" w:rsidRDefault="00781502" w:rsidP="00781502">
            <w:pPr>
              <w:tabs>
                <w:tab w:val="left" w:pos="800"/>
                <w:tab w:val="left" w:pos="851"/>
              </w:tabs>
              <w:spacing w:before="60" w:after="60"/>
              <w:ind w:left="113" w:right="113"/>
              <w:jc w:val="center"/>
              <w:rPr>
                <w:color w:val="000000" w:themeColor="text1"/>
                <w:sz w:val="22"/>
                <w:lang w:val="en-GB" w:eastAsia="ko-KR"/>
              </w:rPr>
            </w:pPr>
          </w:p>
        </w:tc>
        <w:tc>
          <w:tcPr>
            <w:tcW w:w="45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337C82" w14:textId="77777777" w:rsidR="00781502" w:rsidRPr="00781502" w:rsidRDefault="00781502" w:rsidP="00781502">
            <w:pPr>
              <w:tabs>
                <w:tab w:val="left" w:pos="800"/>
                <w:tab w:val="left" w:pos="851"/>
              </w:tabs>
              <w:spacing w:before="60" w:after="60"/>
              <w:ind w:left="113" w:right="113"/>
              <w:jc w:val="center"/>
              <w:rPr>
                <w:color w:val="000000" w:themeColor="text1"/>
                <w:sz w:val="22"/>
                <w:lang w:val="en-GB" w:eastAsia="ko-KR"/>
              </w:rPr>
            </w:pPr>
          </w:p>
        </w:tc>
      </w:tr>
    </w:tbl>
    <w:p w14:paraId="0CA89E4D" w14:textId="77777777" w:rsidR="00781502" w:rsidRPr="00781502" w:rsidRDefault="00781502" w:rsidP="00781502">
      <w:pPr>
        <w:pStyle w:val="SingleTxtG"/>
        <w:spacing w:before="240"/>
        <w:rPr>
          <w:lang w:val="fr-FR"/>
        </w:rPr>
      </w:pPr>
      <w:r w:rsidRPr="00781502">
        <w:rPr>
          <w:b/>
          <w:bCs/>
          <w:lang w:val="fr-FR"/>
        </w:rPr>
        <w:t>Note 1</w:t>
      </w:r>
      <w:r>
        <w:rPr>
          <w:lang w:val="fr-FR"/>
        </w:rPr>
        <w:t> :</w:t>
      </w:r>
      <w:r w:rsidRPr="00781502">
        <w:rPr>
          <w:lang w:val="fr-FR"/>
        </w:rPr>
        <w:t xml:space="preserve"> « T.R. » et « T.C. » signifient respectivement « température de régulation » et « température critique ».</w:t>
      </w:r>
    </w:p>
    <w:p w14:paraId="3BCDAB3E" w14:textId="77777777" w:rsidR="00781502" w:rsidRPr="00781502" w:rsidRDefault="00781502" w:rsidP="00781502">
      <w:pPr>
        <w:pStyle w:val="SingleTxtG"/>
        <w:rPr>
          <w:lang w:val="fr-FR"/>
        </w:rPr>
      </w:pPr>
      <w:r w:rsidRPr="00781502">
        <w:rPr>
          <w:b/>
          <w:bCs/>
          <w:lang w:val="fr-FR"/>
        </w:rPr>
        <w:t>Note 2</w:t>
      </w:r>
      <w:r>
        <w:rPr>
          <w:lang w:val="fr-FR"/>
        </w:rPr>
        <w:t> :</w:t>
      </w:r>
      <w:r w:rsidRPr="00781502">
        <w:rPr>
          <w:lang w:val="fr-FR"/>
        </w:rPr>
        <w:t xml:space="preserve"> Les préparations qui ne doivent pas faire l’objet d’une régulation de température ne figurent pas dans le tableau ci-dessus, car elles n’ont pas de température de régulation ni de température critique.</w:t>
      </w:r>
      <w:bookmarkStart w:id="3" w:name="_Hlk36471573"/>
    </w:p>
    <w:bookmarkEnd w:id="3"/>
    <w:p w14:paraId="5C2F36FF" w14:textId="77777777" w:rsidR="009013D1" w:rsidRPr="00781502" w:rsidRDefault="00781502" w:rsidP="00781502">
      <w:pPr>
        <w:pStyle w:val="SingleTxtG"/>
        <w:spacing w:before="240" w:after="0"/>
        <w:jc w:val="center"/>
        <w:rPr>
          <w:u w:val="single"/>
          <w:lang w:val="fr-FR"/>
        </w:rPr>
      </w:pPr>
      <w:r w:rsidRPr="00781502">
        <w:rPr>
          <w:u w:val="single"/>
          <w:lang w:val="fr-FR"/>
        </w:rPr>
        <w:tab/>
      </w:r>
      <w:r w:rsidRPr="00781502">
        <w:rPr>
          <w:u w:val="single"/>
          <w:lang w:val="fr-FR"/>
        </w:rPr>
        <w:tab/>
      </w:r>
      <w:r w:rsidRPr="00781502">
        <w:rPr>
          <w:u w:val="single"/>
          <w:lang w:val="fr-FR"/>
        </w:rPr>
        <w:tab/>
      </w:r>
    </w:p>
    <w:sectPr w:rsidR="009013D1" w:rsidRPr="00781502" w:rsidSect="009013D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1F6D9" w14:textId="77777777" w:rsidR="002A14BA" w:rsidRDefault="002A14BA" w:rsidP="00F95C08">
      <w:pPr>
        <w:spacing w:line="240" w:lineRule="auto"/>
      </w:pPr>
    </w:p>
  </w:endnote>
  <w:endnote w:type="continuationSeparator" w:id="0">
    <w:p w14:paraId="325B405A" w14:textId="77777777" w:rsidR="002A14BA" w:rsidRPr="00AC3823" w:rsidRDefault="002A14BA" w:rsidP="00AC3823">
      <w:pPr>
        <w:pStyle w:val="Footer"/>
      </w:pPr>
    </w:p>
  </w:endnote>
  <w:endnote w:type="continuationNotice" w:id="1">
    <w:p w14:paraId="00F1FEC3" w14:textId="77777777" w:rsidR="002A14BA" w:rsidRDefault="002A14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E9DC" w14:textId="77777777" w:rsidR="009013D1" w:rsidRPr="009013D1" w:rsidRDefault="009013D1" w:rsidP="009013D1">
    <w:pPr>
      <w:pStyle w:val="Footer"/>
      <w:tabs>
        <w:tab w:val="right" w:pos="9638"/>
      </w:tabs>
    </w:pPr>
    <w:r w:rsidRPr="009013D1">
      <w:rPr>
        <w:b/>
        <w:sz w:val="18"/>
      </w:rPr>
      <w:fldChar w:fldCharType="begin"/>
    </w:r>
    <w:r w:rsidRPr="009013D1">
      <w:rPr>
        <w:b/>
        <w:sz w:val="18"/>
      </w:rPr>
      <w:instrText xml:space="preserve"> PAGE  \* MERGEFORMAT </w:instrText>
    </w:r>
    <w:r w:rsidRPr="009013D1">
      <w:rPr>
        <w:b/>
        <w:sz w:val="18"/>
      </w:rPr>
      <w:fldChar w:fldCharType="separate"/>
    </w:r>
    <w:r w:rsidRPr="009013D1">
      <w:rPr>
        <w:b/>
        <w:noProof/>
        <w:sz w:val="18"/>
      </w:rPr>
      <w:t>2</w:t>
    </w:r>
    <w:r w:rsidRPr="009013D1">
      <w:rPr>
        <w:b/>
        <w:sz w:val="18"/>
      </w:rPr>
      <w:fldChar w:fldCharType="end"/>
    </w:r>
    <w:r>
      <w:rPr>
        <w:b/>
        <w:sz w:val="18"/>
      </w:rPr>
      <w:tab/>
    </w:r>
    <w:r>
      <w:t>GE.20-04853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99373" w14:textId="77777777" w:rsidR="009013D1" w:rsidRPr="009013D1" w:rsidRDefault="009013D1" w:rsidP="009013D1">
    <w:pPr>
      <w:pStyle w:val="Footer"/>
      <w:tabs>
        <w:tab w:val="right" w:pos="9638"/>
      </w:tabs>
      <w:rPr>
        <w:b/>
        <w:sz w:val="18"/>
      </w:rPr>
    </w:pPr>
    <w:r>
      <w:t>GE.20-04853</w:t>
    </w:r>
    <w:r>
      <w:tab/>
    </w:r>
    <w:r w:rsidRPr="009013D1">
      <w:rPr>
        <w:b/>
        <w:sz w:val="18"/>
      </w:rPr>
      <w:fldChar w:fldCharType="begin"/>
    </w:r>
    <w:r w:rsidRPr="009013D1">
      <w:rPr>
        <w:b/>
        <w:sz w:val="18"/>
      </w:rPr>
      <w:instrText xml:space="preserve"> PAGE  \* MERGEFORMAT </w:instrText>
    </w:r>
    <w:r w:rsidRPr="009013D1">
      <w:rPr>
        <w:b/>
        <w:sz w:val="18"/>
      </w:rPr>
      <w:fldChar w:fldCharType="separate"/>
    </w:r>
    <w:r w:rsidRPr="009013D1">
      <w:rPr>
        <w:b/>
        <w:noProof/>
        <w:sz w:val="18"/>
      </w:rPr>
      <w:t>3</w:t>
    </w:r>
    <w:r w:rsidRPr="009013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BE217" w14:textId="77777777" w:rsidR="0068456F" w:rsidRPr="009013D1" w:rsidRDefault="009013D1" w:rsidP="009013D1">
    <w:pPr>
      <w:pStyle w:val="Footer"/>
      <w:spacing w:before="120"/>
      <w:rPr>
        <w:sz w:val="20"/>
      </w:rPr>
    </w:pPr>
    <w:r>
      <w:rPr>
        <w:sz w:val="20"/>
      </w:rPr>
      <w:t>GE.</w:t>
    </w:r>
    <w:r w:rsidR="0068456F">
      <w:rPr>
        <w:noProof/>
        <w:lang w:eastAsia="fr-CH"/>
      </w:rPr>
      <w:drawing>
        <wp:anchor distT="0" distB="0" distL="114300" distR="114300" simplePos="0" relativeHeight="251657216" behindDoc="0" locked="0" layoutInCell="1" allowOverlap="0" wp14:anchorId="4131DE02" wp14:editId="311ED5E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04853  (</w:t>
    </w:r>
    <w:proofErr w:type="gramEnd"/>
    <w:r>
      <w:rPr>
        <w:sz w:val="20"/>
      </w:rPr>
      <w:t>F)    110520    130520</w:t>
    </w:r>
    <w:r>
      <w:rPr>
        <w:sz w:val="20"/>
      </w:rPr>
      <w:br/>
    </w:r>
    <w:r w:rsidRPr="009013D1">
      <w:rPr>
        <w:rFonts w:ascii="C39T30Lfz" w:hAnsi="C39T30Lfz"/>
        <w:sz w:val="56"/>
      </w:rPr>
      <w:t></w:t>
    </w:r>
    <w:r w:rsidRPr="009013D1">
      <w:rPr>
        <w:rFonts w:ascii="C39T30Lfz" w:hAnsi="C39T30Lfz"/>
        <w:sz w:val="56"/>
      </w:rPr>
      <w:t></w:t>
    </w:r>
    <w:r w:rsidRPr="009013D1">
      <w:rPr>
        <w:rFonts w:ascii="C39T30Lfz" w:hAnsi="C39T30Lfz"/>
        <w:sz w:val="56"/>
      </w:rPr>
      <w:t></w:t>
    </w:r>
    <w:r w:rsidRPr="009013D1">
      <w:rPr>
        <w:rFonts w:ascii="C39T30Lfz" w:hAnsi="C39T30Lfz"/>
        <w:sz w:val="56"/>
      </w:rPr>
      <w:t></w:t>
    </w:r>
    <w:r w:rsidRPr="009013D1">
      <w:rPr>
        <w:rFonts w:ascii="C39T30Lfz" w:hAnsi="C39T30Lfz"/>
        <w:sz w:val="56"/>
      </w:rPr>
      <w:t></w:t>
    </w:r>
    <w:r w:rsidRPr="009013D1">
      <w:rPr>
        <w:rFonts w:ascii="C39T30Lfz" w:hAnsi="C39T30Lfz"/>
        <w:sz w:val="56"/>
      </w:rPr>
      <w:t></w:t>
    </w:r>
    <w:r w:rsidRPr="009013D1">
      <w:rPr>
        <w:rFonts w:ascii="C39T30Lfz" w:hAnsi="C39T30Lfz"/>
        <w:sz w:val="56"/>
      </w:rPr>
      <w:t></w:t>
    </w:r>
    <w:r w:rsidRPr="009013D1">
      <w:rPr>
        <w:rFonts w:ascii="C39T30Lfz" w:hAnsi="C39T30Lfz"/>
        <w:sz w:val="56"/>
      </w:rPr>
      <w:t></w:t>
    </w:r>
    <w:r w:rsidRPr="009013D1">
      <w:rPr>
        <w:rFonts w:ascii="C39T30Lfz" w:hAnsi="C39T30Lfz"/>
        <w:sz w:val="56"/>
      </w:rPr>
      <w:t></w:t>
    </w:r>
    <w:r>
      <w:rPr>
        <w:noProof/>
        <w:sz w:val="20"/>
      </w:rPr>
      <w:drawing>
        <wp:anchor distT="0" distB="0" distL="114300" distR="114300" simplePos="0" relativeHeight="251658240" behindDoc="0" locked="0" layoutInCell="1" allowOverlap="1" wp14:anchorId="0701F830" wp14:editId="719AEC0D">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20/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182F6" w14:textId="77777777" w:rsidR="002A14BA" w:rsidRPr="00AC3823" w:rsidRDefault="002A14BA" w:rsidP="00AC3823">
      <w:pPr>
        <w:pStyle w:val="Footer"/>
        <w:tabs>
          <w:tab w:val="right" w:pos="2155"/>
        </w:tabs>
        <w:spacing w:after="80" w:line="240" w:lineRule="atLeast"/>
        <w:ind w:left="680"/>
        <w:rPr>
          <w:u w:val="single"/>
        </w:rPr>
      </w:pPr>
      <w:r>
        <w:rPr>
          <w:u w:val="single"/>
        </w:rPr>
        <w:tab/>
      </w:r>
    </w:p>
  </w:footnote>
  <w:footnote w:type="continuationSeparator" w:id="0">
    <w:p w14:paraId="26E27E8B" w14:textId="77777777" w:rsidR="002A14BA" w:rsidRPr="00AC3823" w:rsidRDefault="002A14BA" w:rsidP="00AC3823">
      <w:pPr>
        <w:pStyle w:val="Footer"/>
        <w:tabs>
          <w:tab w:val="right" w:pos="2155"/>
        </w:tabs>
        <w:spacing w:after="80" w:line="240" w:lineRule="atLeast"/>
        <w:ind w:left="680"/>
        <w:rPr>
          <w:u w:val="single"/>
        </w:rPr>
      </w:pPr>
      <w:r>
        <w:rPr>
          <w:u w:val="single"/>
        </w:rPr>
        <w:tab/>
      </w:r>
    </w:p>
  </w:footnote>
  <w:footnote w:type="continuationNotice" w:id="1">
    <w:p w14:paraId="3202D298" w14:textId="77777777" w:rsidR="002A14BA" w:rsidRPr="00AC3823" w:rsidRDefault="002A14BA">
      <w:pPr>
        <w:spacing w:line="240" w:lineRule="auto"/>
        <w:rPr>
          <w:sz w:val="2"/>
          <w:szCs w:val="2"/>
        </w:rPr>
      </w:pPr>
    </w:p>
  </w:footnote>
  <w:footnote w:id="2">
    <w:p w14:paraId="5F5EABC7" w14:textId="77777777" w:rsidR="00781502" w:rsidRPr="005274B6" w:rsidRDefault="00B10F4A" w:rsidP="00781502">
      <w:pPr>
        <w:pStyle w:val="FootnoteText"/>
        <w:rPr>
          <w:lang w:val="fr-FR"/>
        </w:rPr>
      </w:pPr>
      <w:r>
        <w:rPr>
          <w:lang w:val="fr-FR"/>
        </w:rPr>
        <w:tab/>
      </w:r>
      <w:r w:rsidR="00781502">
        <w:rPr>
          <w:lang w:val="fr-FR"/>
        </w:rPr>
        <w:t>*</w:t>
      </w:r>
      <w:r w:rsidR="00781502">
        <w:rPr>
          <w:lang w:val="fr-FR"/>
        </w:rPr>
        <w:tab/>
        <w:t>Sous-programme 2 du budget-programme pour 2020 (A/74/6 (Sect.</w:t>
      </w:r>
      <w:r>
        <w:rPr>
          <w:lang w:val="fr-FR"/>
        </w:rPr>
        <w:t> </w:t>
      </w:r>
      <w:r w:rsidR="00781502">
        <w:rPr>
          <w:lang w:val="fr-FR"/>
        </w:rPr>
        <w:t>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B661" w14:textId="2872D061" w:rsidR="009013D1" w:rsidRPr="009013D1" w:rsidRDefault="00517AB1">
    <w:pPr>
      <w:pStyle w:val="Header"/>
    </w:pPr>
    <w:r>
      <w:fldChar w:fldCharType="begin"/>
    </w:r>
    <w:r>
      <w:instrText xml:space="preserve"> TITLE  \* MERGEFORMAT </w:instrText>
    </w:r>
    <w:r>
      <w:fldChar w:fldCharType="separate"/>
    </w:r>
    <w:r>
      <w:t>ST/SG/AC.10/C.3/2020/6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E6E6" w14:textId="3A673811" w:rsidR="009013D1" w:rsidRPr="009013D1" w:rsidRDefault="00517AB1" w:rsidP="009013D1">
    <w:pPr>
      <w:pStyle w:val="Header"/>
      <w:jc w:val="right"/>
    </w:pPr>
    <w:r>
      <w:fldChar w:fldCharType="begin"/>
    </w:r>
    <w:r>
      <w:instrText xml:space="preserve"> TITLE  \* MERGEFORMAT </w:instrText>
    </w:r>
    <w:r>
      <w:fldChar w:fldCharType="separate"/>
    </w:r>
    <w:r>
      <w:t>ST/SG/AC.10/C.3/2020/6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BA"/>
    <w:rsid w:val="00017F94"/>
    <w:rsid w:val="00023842"/>
    <w:rsid w:val="000305D3"/>
    <w:rsid w:val="000334F9"/>
    <w:rsid w:val="00034A30"/>
    <w:rsid w:val="000426D7"/>
    <w:rsid w:val="0007796D"/>
    <w:rsid w:val="000B7790"/>
    <w:rsid w:val="00111F2F"/>
    <w:rsid w:val="00132EA9"/>
    <w:rsid w:val="0014365E"/>
    <w:rsid w:val="00176178"/>
    <w:rsid w:val="001F525A"/>
    <w:rsid w:val="00223272"/>
    <w:rsid w:val="0024779E"/>
    <w:rsid w:val="00283190"/>
    <w:rsid w:val="002832AC"/>
    <w:rsid w:val="002A14BA"/>
    <w:rsid w:val="002D7C93"/>
    <w:rsid w:val="00441C3B"/>
    <w:rsid w:val="00446FE5"/>
    <w:rsid w:val="00452396"/>
    <w:rsid w:val="004E468C"/>
    <w:rsid w:val="00517AB1"/>
    <w:rsid w:val="005505B7"/>
    <w:rsid w:val="00573BE5"/>
    <w:rsid w:val="00584DC4"/>
    <w:rsid w:val="00586ED3"/>
    <w:rsid w:val="00596AA9"/>
    <w:rsid w:val="0068456F"/>
    <w:rsid w:val="0071601D"/>
    <w:rsid w:val="00781502"/>
    <w:rsid w:val="007A62E6"/>
    <w:rsid w:val="007E624F"/>
    <w:rsid w:val="0080684C"/>
    <w:rsid w:val="00871C75"/>
    <w:rsid w:val="008776DC"/>
    <w:rsid w:val="008B40CD"/>
    <w:rsid w:val="009013D1"/>
    <w:rsid w:val="009705C8"/>
    <w:rsid w:val="009C1CF4"/>
    <w:rsid w:val="00A30353"/>
    <w:rsid w:val="00A3678E"/>
    <w:rsid w:val="00AC3823"/>
    <w:rsid w:val="00AE323C"/>
    <w:rsid w:val="00B00181"/>
    <w:rsid w:val="00B00B0D"/>
    <w:rsid w:val="00B10F4A"/>
    <w:rsid w:val="00B765F7"/>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80F9A"/>
  <w15:docId w15:val="{3EBA1B28-AB95-4356-8A07-A3B46D2B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781502"/>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883</Words>
  <Characters>5035</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ST/SG/AC.10/C.3/2020/6</vt:lpstr>
      <vt:lpstr>ST/SG/AC.10/C.3/2020/6</vt:lpstr>
    </vt:vector>
  </TitlesOfParts>
  <Company>DCM</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ST/SG/AC.10/C.3/2020/6</dc:title>
  <dc:subject/>
  <dc:creator>Nicolas MORIN</dc:creator>
  <cp:keywords/>
  <cp:lastModifiedBy>Laurence Berthet</cp:lastModifiedBy>
  <cp:revision>3</cp:revision>
  <cp:lastPrinted>2020-05-13T18:56:00Z</cp:lastPrinted>
  <dcterms:created xsi:type="dcterms:W3CDTF">2020-05-13T18:56:00Z</dcterms:created>
  <dcterms:modified xsi:type="dcterms:W3CDTF">2020-05-13T18:57:00Z</dcterms:modified>
</cp:coreProperties>
</file>