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A1335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634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58F7D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E7451" w14:textId="02906DA9" w:rsidR="00E52109" w:rsidRDefault="00D57F64" w:rsidP="00D57F64">
            <w:pPr>
              <w:suppressAutoHyphens w:val="0"/>
              <w:jc w:val="right"/>
            </w:pPr>
            <w:r w:rsidRPr="00D57F64">
              <w:rPr>
                <w:sz w:val="40"/>
              </w:rPr>
              <w:t>ST</w:t>
            </w:r>
            <w:r>
              <w:t>/SG/AC.10/C.3/20</w:t>
            </w:r>
            <w:r w:rsidR="00EB5F45">
              <w:t>20/</w:t>
            </w:r>
            <w:r w:rsidR="00B54F83">
              <w:t>4</w:t>
            </w:r>
          </w:p>
        </w:tc>
      </w:tr>
      <w:tr w:rsidR="00E52109" w14:paraId="7C79FEA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3AC03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359018" wp14:editId="39E5F31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EC8EE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3382CB" w14:textId="77777777" w:rsidR="00D94B05" w:rsidRDefault="00D57F64" w:rsidP="00D57F6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52D9338" w14:textId="6D500F38" w:rsidR="00D57F64" w:rsidRDefault="007D3237" w:rsidP="00D57F64">
            <w:pPr>
              <w:suppressAutoHyphens w:val="0"/>
              <w:spacing w:line="240" w:lineRule="exact"/>
            </w:pPr>
            <w:r>
              <w:t>24</w:t>
            </w:r>
            <w:r w:rsidRPr="00775A2F">
              <w:t xml:space="preserve"> </w:t>
            </w:r>
            <w:r w:rsidR="00EB5F45">
              <w:t>March</w:t>
            </w:r>
            <w:r w:rsidR="00D57F64" w:rsidRPr="00775A2F">
              <w:t xml:space="preserve"> 20</w:t>
            </w:r>
            <w:r w:rsidR="00EB5F45">
              <w:t>20</w:t>
            </w:r>
          </w:p>
          <w:p w14:paraId="30758D48" w14:textId="77777777" w:rsidR="00D57F64" w:rsidRDefault="00D57F64" w:rsidP="00D57F64">
            <w:pPr>
              <w:suppressAutoHyphens w:val="0"/>
              <w:spacing w:line="240" w:lineRule="exact"/>
            </w:pPr>
          </w:p>
          <w:p w14:paraId="28B9D701" w14:textId="77777777" w:rsidR="00D57F64" w:rsidRDefault="00D57F64" w:rsidP="00D57F6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F2B3CD5" w14:textId="77777777" w:rsidR="006D0865" w:rsidRPr="006500BA" w:rsidRDefault="006D0865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C9B46F" w14:textId="77777777" w:rsidR="006D0865" w:rsidRPr="006500BA" w:rsidRDefault="006D0865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77C0049" w14:textId="77777777" w:rsidR="00497D60" w:rsidRPr="006500BA" w:rsidRDefault="00497D60" w:rsidP="00497D60">
      <w:pPr>
        <w:spacing w:before="120"/>
        <w:rPr>
          <w:b/>
        </w:rPr>
      </w:pPr>
      <w:r>
        <w:rPr>
          <w:b/>
        </w:rPr>
        <w:t xml:space="preserve">Fifty-seventh </w:t>
      </w:r>
      <w:r w:rsidRPr="006500BA">
        <w:rPr>
          <w:b/>
        </w:rPr>
        <w:t>session</w:t>
      </w:r>
    </w:p>
    <w:p w14:paraId="291A7AE3" w14:textId="4FC42B66" w:rsidR="006D0865" w:rsidRPr="00775A2F" w:rsidRDefault="00497D60" w:rsidP="00497D60">
      <w:r w:rsidRPr="006500BA">
        <w:t>Geneva,</w:t>
      </w:r>
      <w:r>
        <w:t xml:space="preserve"> 29 June-8 July 2020</w:t>
      </w:r>
      <w:r>
        <w:br/>
      </w:r>
      <w:r w:rsidR="006D0865" w:rsidRPr="00775A2F">
        <w:t xml:space="preserve">Item </w:t>
      </w:r>
      <w:r w:rsidR="00B22868">
        <w:t>2</w:t>
      </w:r>
      <w:r w:rsidR="00153471">
        <w:t> </w:t>
      </w:r>
      <w:r w:rsidR="006D0865" w:rsidRPr="00775A2F">
        <w:t>(</w:t>
      </w:r>
      <w:r w:rsidR="00B22868">
        <w:t>a</w:t>
      </w:r>
      <w:r w:rsidR="006D0865" w:rsidRPr="00775A2F">
        <w:t>) of the provisional agenda</w:t>
      </w:r>
    </w:p>
    <w:p w14:paraId="2FFDF12A" w14:textId="147057CD" w:rsidR="00B22868" w:rsidRDefault="00497D60" w:rsidP="0035091E">
      <w:pPr>
        <w:rPr>
          <w:b/>
          <w:bCs/>
        </w:rPr>
      </w:pPr>
      <w:r w:rsidRPr="00497D60">
        <w:rPr>
          <w:b/>
          <w:bCs/>
        </w:rPr>
        <w:t>Explosives and related matters:</w:t>
      </w:r>
      <w:r w:rsidR="0035091E" w:rsidRPr="00775A2F">
        <w:rPr>
          <w:b/>
          <w:bCs/>
        </w:rPr>
        <w:t xml:space="preserve"> </w:t>
      </w:r>
      <w:r w:rsidR="00B54F83">
        <w:rPr>
          <w:b/>
          <w:bCs/>
        </w:rPr>
        <w:t>r</w:t>
      </w:r>
      <w:r w:rsidR="00B22868" w:rsidRPr="00B22868">
        <w:rPr>
          <w:b/>
          <w:bCs/>
        </w:rPr>
        <w:t>eview of test series 6</w:t>
      </w:r>
    </w:p>
    <w:p w14:paraId="450C333F" w14:textId="3E9128E6" w:rsidR="0035091E" w:rsidRDefault="0035091E" w:rsidP="0035091E">
      <w:pPr>
        <w:pStyle w:val="HChG"/>
      </w:pPr>
      <w:r>
        <w:tab/>
      </w:r>
      <w:r>
        <w:tab/>
      </w:r>
      <w:r w:rsidR="00A633D5">
        <w:t xml:space="preserve">Report of the </w:t>
      </w:r>
      <w:r w:rsidR="00DB19C6">
        <w:t xml:space="preserve">informal correspondence group on the review of Test </w:t>
      </w:r>
      <w:r w:rsidR="00A633D5">
        <w:t>6</w:t>
      </w:r>
      <w:r w:rsidR="00DB19C6">
        <w:t xml:space="preserve"> (d) (Unconfined package test)</w:t>
      </w:r>
    </w:p>
    <w:p w14:paraId="0016C24B" w14:textId="6E320ED0" w:rsidR="0035091E" w:rsidRDefault="0035091E" w:rsidP="0035091E">
      <w:pPr>
        <w:pStyle w:val="H1G"/>
        <w:rPr>
          <w:lang w:eastAsia="en-GB" w:bidi="en-GB"/>
        </w:rPr>
      </w:pPr>
      <w:r>
        <w:tab/>
      </w:r>
      <w:r>
        <w:tab/>
      </w:r>
      <w:r w:rsidR="00A633D5" w:rsidRPr="009F76AC">
        <w:t xml:space="preserve">Transmitted by the </w:t>
      </w:r>
      <w:r w:rsidR="00A633D5">
        <w:t xml:space="preserve">Sporting Arms &amp; Ammunition Manufacturers’ Institute </w:t>
      </w:r>
      <w:r w:rsidR="00B22868">
        <w:t xml:space="preserve">(SAAMI) </w:t>
      </w:r>
      <w:r w:rsidR="00A633D5">
        <w:t xml:space="preserve">on behalf of the </w:t>
      </w:r>
      <w:r w:rsidR="00DB19C6">
        <w:t>informal correspondence g</w:t>
      </w:r>
      <w:r w:rsidR="00A633D5">
        <w:t>roup</w:t>
      </w:r>
      <w:r>
        <w:rPr>
          <w:rStyle w:val="FootnoteReference"/>
          <w:lang w:eastAsia="en-GB" w:bidi="en-GB"/>
        </w:rPr>
        <w:footnoteReference w:customMarkFollows="1" w:id="2"/>
        <w:t>*</w:t>
      </w:r>
    </w:p>
    <w:p w14:paraId="042878E3" w14:textId="77777777" w:rsidR="0035091E" w:rsidRDefault="0035091E" w:rsidP="0035091E">
      <w:pPr>
        <w:pStyle w:val="HChG"/>
      </w:pPr>
      <w:r>
        <w:tab/>
      </w:r>
      <w:r>
        <w:tab/>
        <w:t>Introduction</w:t>
      </w:r>
    </w:p>
    <w:p w14:paraId="52128791" w14:textId="199CA140" w:rsidR="00780848" w:rsidRDefault="0035091E" w:rsidP="00EF2DD8">
      <w:pPr>
        <w:pStyle w:val="SingleTxtG"/>
      </w:pPr>
      <w:r>
        <w:t>1.</w:t>
      </w:r>
      <w:r>
        <w:tab/>
      </w:r>
      <w:r w:rsidR="00B22868">
        <w:t xml:space="preserve">At the </w:t>
      </w:r>
      <w:r w:rsidR="00B54F83">
        <w:t>fifty-sixth s</w:t>
      </w:r>
      <w:r w:rsidR="00B22868">
        <w:t>ession SAAMI</w:t>
      </w:r>
      <w:r w:rsidR="00546D49">
        <w:t xml:space="preserve"> presented </w:t>
      </w:r>
      <w:r w:rsidR="00B54F83">
        <w:t xml:space="preserve">document </w:t>
      </w:r>
      <w:r w:rsidR="00207729" w:rsidRPr="00207729">
        <w:t xml:space="preserve">ST/SG/AC.10/C.3/2019/11 </w:t>
      </w:r>
      <w:r w:rsidR="00207729">
        <w:t>to review</w:t>
      </w:r>
      <w:r w:rsidR="00207729" w:rsidRPr="00207729">
        <w:t xml:space="preserve"> the criteria of Test 6</w:t>
      </w:r>
      <w:r w:rsidR="00DB19C6">
        <w:t> </w:t>
      </w:r>
      <w:r w:rsidR="00207729" w:rsidRPr="00207729">
        <w:t>(d)</w:t>
      </w:r>
      <w:r w:rsidR="00000B11">
        <w:t xml:space="preserve"> in the Manual of Tests </w:t>
      </w:r>
      <w:r w:rsidR="00DB19C6">
        <w:t xml:space="preserve">and </w:t>
      </w:r>
      <w:r w:rsidR="00000B11">
        <w:t>Criteria (</w:t>
      </w:r>
      <w:r w:rsidR="00455134">
        <w:t>MTC</w:t>
      </w:r>
      <w:r w:rsidR="00000B11">
        <w:t>)</w:t>
      </w:r>
      <w:r w:rsidR="00656322">
        <w:t>. This is a test having the primary function of limiting explosives which may be assigned Compatibility Group S, the safest explosives classification</w:t>
      </w:r>
      <w:r w:rsidR="00207729">
        <w:t xml:space="preserve">. </w:t>
      </w:r>
      <w:r w:rsidR="00497372">
        <w:t>The report of the Explosives Working Group (</w:t>
      </w:r>
      <w:r w:rsidR="00300EDE">
        <w:t>EWG</w:t>
      </w:r>
      <w:r w:rsidR="00DC67F6">
        <w:t>),</w:t>
      </w:r>
      <w:r w:rsidR="00300EDE">
        <w:t xml:space="preserve"> </w:t>
      </w:r>
      <w:r w:rsidR="00DC67F6">
        <w:t xml:space="preserve">in </w:t>
      </w:r>
      <w:r w:rsidR="00B54F83">
        <w:t xml:space="preserve">informal document </w:t>
      </w:r>
      <w:r w:rsidR="00497372" w:rsidRPr="00497372">
        <w:t>INF.55</w:t>
      </w:r>
      <w:r w:rsidR="00B54F83">
        <w:t xml:space="preserve"> (</w:t>
      </w:r>
      <w:r w:rsidR="0082617B">
        <w:t xml:space="preserve">fifty-fifth </w:t>
      </w:r>
      <w:r w:rsidR="00B54F83">
        <w:t>session)</w:t>
      </w:r>
      <w:r w:rsidR="00DC67F6">
        <w:t>,</w:t>
      </w:r>
      <w:r w:rsidR="00780848">
        <w:t xml:space="preserve"> indicated </w:t>
      </w:r>
      <w:r w:rsidR="00497372">
        <w:t>that the 6</w:t>
      </w:r>
      <w:r w:rsidR="00DB19C6">
        <w:t xml:space="preserve"> </w:t>
      </w:r>
      <w:r w:rsidR="00497372">
        <w:t>(d) test is intended to identify hazardous effects outside of the package resulting from an accidental initiation</w:t>
      </w:r>
      <w:r w:rsidR="00780848">
        <w:t>,</w:t>
      </w:r>
      <w:r w:rsidR="00497372">
        <w:t xml:space="preserve"> but that the current criteria may be identifying any effects rather than just hazardous effects. </w:t>
      </w:r>
      <w:r w:rsidR="00780848">
        <w:t>The working group determined that c</w:t>
      </w:r>
      <w:r w:rsidR="00497372">
        <w:t xml:space="preserve">lear guidance is needed </w:t>
      </w:r>
      <w:r w:rsidR="00780848">
        <w:t>on</w:t>
      </w:r>
      <w:r w:rsidR="00497372">
        <w:t xml:space="preserve"> what hazardous effects the 6</w:t>
      </w:r>
      <w:r w:rsidR="00DB19C6">
        <w:t> </w:t>
      </w:r>
      <w:r w:rsidR="00497372">
        <w:t>(d) test is meant to identify, and the criteria should be reviewed and updated so that they relate solely to hazardous effects as opposed to effects in general.</w:t>
      </w:r>
      <w:r w:rsidR="00780848">
        <w:t xml:space="preserve"> </w:t>
      </w:r>
      <w:r w:rsidR="00E70F51">
        <w:t>The</w:t>
      </w:r>
      <w:r w:rsidR="001C4EED">
        <w:t xml:space="preserve"> issue of whether an accidental initiation is possible </w:t>
      </w:r>
      <w:r w:rsidR="00E70F51">
        <w:t>is</w:t>
      </w:r>
      <w:r w:rsidR="001C4EED">
        <w:t xml:space="preserve"> excluded from </w:t>
      </w:r>
      <w:r w:rsidR="00E70F51">
        <w:t>the scope of work</w:t>
      </w:r>
      <w:r w:rsidR="001C4EED">
        <w:t>.</w:t>
      </w:r>
      <w:r w:rsidR="00EF2DD8">
        <w:t xml:space="preserve"> An </w:t>
      </w:r>
      <w:r w:rsidR="00497372">
        <w:t xml:space="preserve">informal correspondence group </w:t>
      </w:r>
      <w:r w:rsidR="00780848">
        <w:t>was formed</w:t>
      </w:r>
      <w:r w:rsidR="00EF2DD8">
        <w:t xml:space="preserve"> to accomplish these tasks</w:t>
      </w:r>
      <w:r w:rsidR="00780848">
        <w:t>, which SAAMI was asked to lead</w:t>
      </w:r>
      <w:r w:rsidR="00497372">
        <w:t xml:space="preserve">. </w:t>
      </w:r>
    </w:p>
    <w:p w14:paraId="33D5F024" w14:textId="1E4325AF" w:rsidR="0035091E" w:rsidRDefault="00EF2DD8" w:rsidP="0035091E">
      <w:pPr>
        <w:pStyle w:val="SingleTxtG"/>
      </w:pPr>
      <w:r>
        <w:t>2</w:t>
      </w:r>
      <w:r w:rsidR="0035091E">
        <w:t>.</w:t>
      </w:r>
      <w:r w:rsidR="0035091E">
        <w:tab/>
      </w:r>
      <w:r w:rsidR="00463ABB">
        <w:t xml:space="preserve">To accomplish its mission the </w:t>
      </w:r>
      <w:r w:rsidR="00DB19C6">
        <w:t>informal correspondence group on the review of test 6 (d)</w:t>
      </w:r>
      <w:r w:rsidR="00463ABB">
        <w:t xml:space="preserve"> conducted a survey of the group’s opinions on the four current criteria of the 6</w:t>
      </w:r>
      <w:r w:rsidR="00DB19C6">
        <w:t> </w:t>
      </w:r>
      <w:r w:rsidR="00463ABB">
        <w:t xml:space="preserve">(d) test. </w:t>
      </w:r>
      <w:r w:rsidR="00841BAE">
        <w:t>The group</w:t>
      </w:r>
      <w:r w:rsidR="00DB19C6">
        <w:t xml:space="preserve"> </w:t>
      </w:r>
      <w:r w:rsidR="00841BAE">
        <w:t xml:space="preserve">was asked to elaborate individually on each of the four criteria about whether they identify hazardous effects versus any effect. </w:t>
      </w:r>
      <w:r w:rsidR="00805809">
        <w:t>Many responses were received</w:t>
      </w:r>
      <w:r w:rsidR="00BD5B32">
        <w:t xml:space="preserve">, </w:t>
      </w:r>
      <w:r w:rsidR="00841BAE">
        <w:t xml:space="preserve">which presented some identifiable trends </w:t>
      </w:r>
      <w:r w:rsidR="00E70F51">
        <w:t>helpful to</w:t>
      </w:r>
      <w:r w:rsidR="00841BAE">
        <w:t xml:space="preserve"> the mission of the group</w:t>
      </w:r>
      <w:r w:rsidR="00805809">
        <w:t>.</w:t>
      </w:r>
    </w:p>
    <w:p w14:paraId="59553CE5" w14:textId="11097DE6" w:rsidR="00463ABB" w:rsidRDefault="00463ABB" w:rsidP="00463ABB">
      <w:pPr>
        <w:pStyle w:val="HChG"/>
      </w:pPr>
      <w:r>
        <w:tab/>
      </w:r>
      <w:r>
        <w:tab/>
        <w:t xml:space="preserve">Results of the </w:t>
      </w:r>
      <w:r w:rsidR="00DB19C6">
        <w:t>s</w:t>
      </w:r>
      <w:r>
        <w:t>urvey</w:t>
      </w:r>
    </w:p>
    <w:p w14:paraId="38096B12" w14:textId="40F1EC1C" w:rsidR="006F1C9B" w:rsidRDefault="00EF2DD8" w:rsidP="006F1C9B">
      <w:pPr>
        <w:pStyle w:val="SingleTxtG"/>
      </w:pPr>
      <w:r>
        <w:t>3.</w:t>
      </w:r>
      <w:r>
        <w:tab/>
      </w:r>
      <w:r w:rsidR="00000B11">
        <w:t>Criteri</w:t>
      </w:r>
      <w:r w:rsidR="006F1C9B">
        <w:t>on</w:t>
      </w:r>
      <w:r w:rsidR="00000B11">
        <w:t xml:space="preserve"> 1: </w:t>
      </w:r>
      <w:r w:rsidR="00455134">
        <w:t xml:space="preserve">MTC </w:t>
      </w:r>
      <w:r w:rsidR="00455134" w:rsidRPr="00455134">
        <w:t>16.7.1.4</w:t>
      </w:r>
      <w:r w:rsidR="005A0744">
        <w:t> </w:t>
      </w:r>
      <w:r w:rsidR="00455134" w:rsidRPr="00455134">
        <w:t>(a</w:t>
      </w:r>
      <w:r w:rsidR="006F1C9B">
        <w:t>)</w:t>
      </w:r>
      <w:r w:rsidR="00455134">
        <w:t xml:space="preserve"> “</w:t>
      </w:r>
      <w:r w:rsidR="006F1C9B" w:rsidRPr="006F1C9B">
        <w:t>Denting or perforation of</w:t>
      </w:r>
      <w:r w:rsidR="006F1C9B">
        <w:t xml:space="preserve"> </w:t>
      </w:r>
      <w:r w:rsidR="006F1C9B" w:rsidRPr="006F1C9B">
        <w:t>the witness plate beneath</w:t>
      </w:r>
      <w:r w:rsidR="006F1C9B">
        <w:t xml:space="preserve"> </w:t>
      </w:r>
      <w:r w:rsidR="006F1C9B" w:rsidRPr="006F1C9B">
        <w:t>the package;</w:t>
      </w:r>
      <w:r w:rsidR="006F1C9B">
        <w:t>”</w:t>
      </w:r>
      <w:r w:rsidR="00166D9F">
        <w:t>:</w:t>
      </w:r>
    </w:p>
    <w:p w14:paraId="4139E8EB" w14:textId="6016AC0D" w:rsidR="00F41066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lastRenderedPageBreak/>
        <w:t>(a)</w:t>
      </w:r>
      <w:r>
        <w:tab/>
      </w:r>
      <w:r w:rsidR="006F1C9B">
        <w:t xml:space="preserve">The survey responses were unanimous that this criterion evaluates a hazardous effect. </w:t>
      </w:r>
      <w:r w:rsidR="00CF5091">
        <w:t>M</w:t>
      </w:r>
      <w:r w:rsidR="006F1C9B">
        <w:t xml:space="preserve">any respondents felt that while perforation was easy to assess, it would be </w:t>
      </w:r>
      <w:r w:rsidR="00CF5091">
        <w:t>helpful</w:t>
      </w:r>
      <w:r w:rsidR="006F1C9B">
        <w:t xml:space="preserve"> to provide more clarity on </w:t>
      </w:r>
      <w:r w:rsidR="00630941">
        <w:t xml:space="preserve">what constitutes a dent, e.g., how to </w:t>
      </w:r>
      <w:r w:rsidR="006F1C9B">
        <w:t>different</w:t>
      </w:r>
      <w:r w:rsidR="00630941">
        <w:t>iate</w:t>
      </w:r>
      <w:r w:rsidR="006F1C9B">
        <w:t xml:space="preserve"> superficial damage</w:t>
      </w:r>
      <w:r w:rsidR="00630941">
        <w:t xml:space="preserve"> such as</w:t>
      </w:r>
      <w:r w:rsidR="006F1C9B">
        <w:t xml:space="preserve"> a scratch. </w:t>
      </w:r>
      <w:r w:rsidR="00CF5091">
        <w:t>This</w:t>
      </w:r>
      <w:r w:rsidR="006F1C9B">
        <w:t xml:space="preserve"> could provide for greater objectivity in the assessment of this criterion. </w:t>
      </w:r>
    </w:p>
    <w:p w14:paraId="141068FC" w14:textId="0F83130F" w:rsidR="0069555F" w:rsidRPr="00CA0AFB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(b)</w:t>
      </w:r>
      <w:r>
        <w:tab/>
      </w:r>
      <w:r w:rsidR="0069555F">
        <w:t>The</w:t>
      </w:r>
      <w:r w:rsidR="0069555F" w:rsidRPr="00CA0AFB">
        <w:t xml:space="preserve"> criteria for Test 6</w:t>
      </w:r>
      <w:r>
        <w:t> </w:t>
      </w:r>
      <w:r w:rsidR="0069555F" w:rsidRPr="00CA0AFB">
        <w:t>(d) should be practical</w:t>
      </w:r>
      <w:r w:rsidR="0069555F">
        <w:t xml:space="preserve"> rather than </w:t>
      </w:r>
      <w:r w:rsidR="0069555F" w:rsidRPr="00CA0AFB">
        <w:t>theoretical</w:t>
      </w:r>
      <w:r w:rsidR="0069555F">
        <w:t>, e.g.,</w:t>
      </w:r>
      <w:r w:rsidR="0069555F" w:rsidRPr="00CA0AFB">
        <w:t xml:space="preserve"> it is</w:t>
      </w:r>
      <w:r>
        <w:t xml:space="preserve"> </w:t>
      </w:r>
      <w:r w:rsidR="0069555F" w:rsidRPr="00CA0AFB">
        <w:t xml:space="preserve">not necessary to see the witness plate under </w:t>
      </w:r>
      <w:r w:rsidR="0069555F">
        <w:t xml:space="preserve">a </w:t>
      </w:r>
      <w:r w:rsidR="0069555F" w:rsidRPr="00CA0AFB">
        <w:t xml:space="preserve">microscope </w:t>
      </w:r>
      <w:r w:rsidR="0069555F">
        <w:t>to</w:t>
      </w:r>
      <w:r w:rsidR="0069555F" w:rsidRPr="00CA0AFB">
        <w:t xml:space="preserve"> </w:t>
      </w:r>
      <w:r w:rsidR="00FB2A72" w:rsidRPr="00CA0AFB">
        <w:t>analys</w:t>
      </w:r>
      <w:r w:rsidR="00FB2A72">
        <w:t>e</w:t>
      </w:r>
      <w:r>
        <w:t xml:space="preserve"> </w:t>
      </w:r>
      <w:r w:rsidR="0069555F" w:rsidRPr="00CA0AFB">
        <w:t xml:space="preserve">scratches. </w:t>
      </w:r>
      <w:r w:rsidR="0069555F">
        <w:t>Evaluation should be simple.</w:t>
      </w:r>
    </w:p>
    <w:p w14:paraId="4240FF81" w14:textId="5427999A" w:rsidR="00630941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(c)</w:t>
      </w:r>
      <w:r>
        <w:tab/>
      </w:r>
      <w:r w:rsidR="006F1C9B">
        <w:t>One possible way forward would be to consider the recently agreed language for the use of Test 6</w:t>
      </w:r>
      <w:r>
        <w:t> </w:t>
      </w:r>
      <w:r w:rsidR="006F1C9B">
        <w:t>(a) in conjunction with GHS Chapter 2.1: “</w:t>
      </w:r>
      <w:r w:rsidR="00630941" w:rsidRPr="00630941">
        <w:t>a significant change in the witness plate shape, such as perforation, gouge, substantial dent or bowing</w:t>
      </w:r>
      <w:r w:rsidR="00630941">
        <w:t>”.</w:t>
      </w:r>
      <w:r w:rsidR="0069555F">
        <w:t xml:space="preserve"> </w:t>
      </w:r>
    </w:p>
    <w:p w14:paraId="4B59A854" w14:textId="173E6008" w:rsidR="00153471" w:rsidRDefault="00D83C43" w:rsidP="00CF5091">
      <w:pPr>
        <w:pStyle w:val="SingleTxtG"/>
      </w:pPr>
      <w:r>
        <w:t>4.</w:t>
      </w:r>
      <w:r>
        <w:tab/>
        <w:t xml:space="preserve">Criterion 2: MTC </w:t>
      </w:r>
      <w:r w:rsidRPr="00455134">
        <w:t>16.7.1.4</w:t>
      </w:r>
      <w:r w:rsidR="00A84C66">
        <w:t> </w:t>
      </w:r>
      <w:r w:rsidRPr="00455134">
        <w:t>(</w:t>
      </w:r>
      <w:r>
        <w:t>b) “</w:t>
      </w:r>
      <w:r w:rsidR="00CF5091" w:rsidRPr="00CF5091">
        <w:t>A flash or flame that</w:t>
      </w:r>
      <w:r w:rsidR="00CF5091">
        <w:t xml:space="preserve"> </w:t>
      </w:r>
      <w:r w:rsidR="00CF5091" w:rsidRPr="00CF5091">
        <w:t>ignites an adjacent</w:t>
      </w:r>
      <w:r w:rsidR="00CF5091">
        <w:t xml:space="preserve"> </w:t>
      </w:r>
      <w:r w:rsidR="00CF5091" w:rsidRPr="00CF5091">
        <w:t>material such as a sheet</w:t>
      </w:r>
      <w:r w:rsidR="00CF5091">
        <w:t xml:space="preserve"> </w:t>
      </w:r>
      <w:r w:rsidR="00CF5091" w:rsidRPr="00CF5091">
        <w:t>of 80 ± 3 g/</w:t>
      </w:r>
      <w:r w:rsidR="0082617B" w:rsidRPr="00CF5091">
        <w:t>m</w:t>
      </w:r>
      <w:r w:rsidR="0082617B" w:rsidRPr="00E13A3F">
        <w:rPr>
          <w:vertAlign w:val="superscript"/>
        </w:rPr>
        <w:t>2</w:t>
      </w:r>
      <w:r w:rsidR="0082617B" w:rsidRPr="00CF5091">
        <w:t xml:space="preserve"> </w:t>
      </w:r>
      <w:r w:rsidR="00CF5091" w:rsidRPr="00CF5091">
        <w:t>paper</w:t>
      </w:r>
      <w:r w:rsidR="00CF5091">
        <w:t xml:space="preserve"> </w:t>
      </w:r>
      <w:r w:rsidR="00CF5091" w:rsidRPr="00CF5091">
        <w:t>at a distance of 25 cm</w:t>
      </w:r>
      <w:r w:rsidR="00CF5091">
        <w:t xml:space="preserve"> </w:t>
      </w:r>
      <w:r w:rsidR="00CF5091" w:rsidRPr="00CF5091">
        <w:t>from the package;</w:t>
      </w:r>
      <w:r>
        <w:t>”</w:t>
      </w:r>
      <w:r w:rsidR="00166D9F">
        <w:t>:</w:t>
      </w:r>
    </w:p>
    <w:p w14:paraId="48146847" w14:textId="4EF6DE22" w:rsidR="00CF5091" w:rsidRDefault="00DB19C6" w:rsidP="00E13A3F">
      <w:pPr>
        <w:pStyle w:val="SingleTxtG"/>
        <w:ind w:left="2268" w:hanging="567"/>
      </w:pPr>
      <w:r>
        <w:t>(a)</w:t>
      </w:r>
      <w:r>
        <w:tab/>
      </w:r>
      <w:proofErr w:type="gramStart"/>
      <w:r w:rsidR="001B3B1E">
        <w:t>A majority of</w:t>
      </w:r>
      <w:proofErr w:type="gramEnd"/>
      <w:r w:rsidR="001B3B1E">
        <w:t xml:space="preserve"> respondents </w:t>
      </w:r>
      <w:r w:rsidR="00B616E6">
        <w:t>agree</w:t>
      </w:r>
      <w:r w:rsidR="00153471">
        <w:t>d</w:t>
      </w:r>
      <w:r w:rsidR="001B3B1E">
        <w:t xml:space="preserve"> that this criterion evaluates a hazardous effect</w:t>
      </w:r>
      <w:r w:rsidR="00B616E6">
        <w:t xml:space="preserve">, but others </w:t>
      </w:r>
      <w:r w:rsidR="00153471">
        <w:t xml:space="preserve">thought </w:t>
      </w:r>
      <w:r w:rsidR="00B616E6" w:rsidRPr="00CF5091">
        <w:t xml:space="preserve">it </w:t>
      </w:r>
      <w:r w:rsidR="00B616E6">
        <w:t xml:space="preserve">does not, at least </w:t>
      </w:r>
      <w:r w:rsidR="007F549D">
        <w:t xml:space="preserve">not </w:t>
      </w:r>
      <w:r w:rsidR="00B616E6">
        <w:t>at the current level of magnitude</w:t>
      </w:r>
      <w:r w:rsidR="001B3B1E">
        <w:t xml:space="preserve">. </w:t>
      </w:r>
      <w:r w:rsidR="00FD5E74">
        <w:t xml:space="preserve">This effect </w:t>
      </w:r>
      <w:r w:rsidR="00FD5E74" w:rsidRPr="00FD5E74">
        <w:t>shows if the fire of a package will spread to other packages</w:t>
      </w:r>
      <w:r w:rsidR="00FD5E74">
        <w:t xml:space="preserve"> and a</w:t>
      </w:r>
      <w:r w:rsidR="00FD5E74" w:rsidRPr="00FD5E74">
        <w:t>llow</w:t>
      </w:r>
      <w:r w:rsidR="00FD5E74">
        <w:t>s</w:t>
      </w:r>
      <w:r w:rsidR="00FD5E74" w:rsidRPr="00FD5E74">
        <w:t xml:space="preserve"> </w:t>
      </w:r>
      <w:r w:rsidR="00FD5E74">
        <w:t xml:space="preserve">this basis </w:t>
      </w:r>
      <w:r w:rsidR="00FD5E74" w:rsidRPr="00FD5E74">
        <w:t>to</w:t>
      </w:r>
      <w:r w:rsidR="00FD5E74">
        <w:t xml:space="preserve"> </w:t>
      </w:r>
      <w:r w:rsidR="00FD5E74" w:rsidRPr="00FD5E74">
        <w:t xml:space="preserve">differentiate between </w:t>
      </w:r>
      <w:r w:rsidR="00F41066">
        <w:t>it</w:t>
      </w:r>
      <w:r w:rsidR="00FD5E74">
        <w:t xml:space="preserve"> and other compatibility groups. </w:t>
      </w:r>
    </w:p>
    <w:p w14:paraId="17C0B76D" w14:textId="235587F2" w:rsidR="00831B49" w:rsidRPr="00CF5091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(b)</w:t>
      </w:r>
      <w:r>
        <w:tab/>
      </w:r>
      <w:r w:rsidR="00831B49">
        <w:t>The relevance of how this effect may</w:t>
      </w:r>
      <w:r w:rsidR="00831B49" w:rsidRPr="00CF5091">
        <w:t xml:space="preserve"> </w:t>
      </w:r>
      <w:r w:rsidR="00831B49">
        <w:t xml:space="preserve">accelerate </w:t>
      </w:r>
      <w:r w:rsidR="007A19B1">
        <w:t xml:space="preserve">the </w:t>
      </w:r>
      <w:r w:rsidR="00831B49" w:rsidRPr="00CF5091">
        <w:t>propagation of reactions from package to pack</w:t>
      </w:r>
      <w:r w:rsidR="00831B49">
        <w:t>age</w:t>
      </w:r>
      <w:r w:rsidR="00831B49" w:rsidRPr="00CF5091">
        <w:t xml:space="preserve"> is not scientifically proven. It does, however, </w:t>
      </w:r>
      <w:r w:rsidR="00831B49">
        <w:t xml:space="preserve">segregate </w:t>
      </w:r>
      <w:r w:rsidR="00831B49" w:rsidRPr="00CF5091">
        <w:t>those explosives producing a considerable fireball from those only showing some minor flame effects</w:t>
      </w:r>
      <w:r w:rsidR="00831B49">
        <w:t xml:space="preserve"> </w:t>
      </w:r>
      <w:r w:rsidR="00831B49" w:rsidRPr="00CF5091">
        <w:t>outside the package.</w:t>
      </w:r>
      <w:r w:rsidR="007A19B1">
        <w:t xml:space="preserve"> Therefore, </w:t>
      </w:r>
      <w:r w:rsidR="007A19B1" w:rsidRPr="00CF5091">
        <w:t xml:space="preserve">the criterion </w:t>
      </w:r>
      <w:r w:rsidR="007A19B1" w:rsidRPr="0082617B">
        <w:t xml:space="preserve">could </w:t>
      </w:r>
      <w:r w:rsidRPr="0082617B">
        <w:t>be</w:t>
      </w:r>
      <w:r>
        <w:t xml:space="preserve"> </w:t>
      </w:r>
      <w:r w:rsidR="007A19B1" w:rsidRPr="00CF5091">
        <w:t>change</w:t>
      </w:r>
      <w:r w:rsidR="00234C6E">
        <w:t>d</w:t>
      </w:r>
      <w:r w:rsidR="007A19B1" w:rsidRPr="00CF5091">
        <w:t xml:space="preserve"> </w:t>
      </w:r>
      <w:r w:rsidR="007A19B1">
        <w:t xml:space="preserve">to </w:t>
      </w:r>
      <w:r w:rsidR="0072275B">
        <w:t>quantify</w:t>
      </w:r>
      <w:r w:rsidR="007A19B1">
        <w:t xml:space="preserve"> effects which may enhance propagation between packages</w:t>
      </w:r>
      <w:r w:rsidR="00234C6E">
        <w:t xml:space="preserve"> </w:t>
      </w:r>
      <w:r w:rsidR="00234C6E" w:rsidRPr="00CF5091">
        <w:t>(e.g. 1 m distance from package)</w:t>
      </w:r>
      <w:r w:rsidR="007A19B1">
        <w:t>.</w:t>
      </w:r>
    </w:p>
    <w:p w14:paraId="36E3F5FE" w14:textId="13210C82" w:rsidR="00CD5560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(c)</w:t>
      </w:r>
      <w:r>
        <w:tab/>
      </w:r>
      <w:r w:rsidR="00CD5560">
        <w:t>The procedure could clarify that a</w:t>
      </w:r>
      <w:r w:rsidR="00CD5560" w:rsidRPr="00CF5091">
        <w:t xml:space="preserve"> flash or flame that does not </w:t>
      </w:r>
      <w:r w:rsidR="00CD5560">
        <w:t xml:space="preserve">immediately </w:t>
      </w:r>
      <w:r w:rsidR="00CD5560" w:rsidRPr="00CF5091">
        <w:t xml:space="preserve">ignite the </w:t>
      </w:r>
      <w:r w:rsidR="00234C6E">
        <w:t xml:space="preserve">witness </w:t>
      </w:r>
      <w:r w:rsidR="00CD5560" w:rsidRPr="00CF5091">
        <w:t xml:space="preserve">paper is an effect that </w:t>
      </w:r>
      <w:r w:rsidR="00CD5560">
        <w:t xml:space="preserve">can </w:t>
      </w:r>
      <w:r w:rsidR="00CD5560" w:rsidRPr="00CF5091">
        <w:t xml:space="preserve">be ignored. </w:t>
      </w:r>
      <w:r w:rsidR="00234C6E">
        <w:t xml:space="preserve">For example, sometimes </w:t>
      </w:r>
      <w:r w:rsidR="00CD5560">
        <w:t>the</w:t>
      </w:r>
      <w:r w:rsidR="001B3B1E" w:rsidRPr="00CF5091">
        <w:t xml:space="preserve"> </w:t>
      </w:r>
      <w:r w:rsidR="00234C6E">
        <w:t>explosive effect</w:t>
      </w:r>
      <w:r w:rsidR="00234C6E" w:rsidRPr="00CF5091">
        <w:t xml:space="preserve"> </w:t>
      </w:r>
      <w:r w:rsidR="001B3B1E" w:rsidRPr="00CF5091">
        <w:t xml:space="preserve">passes the </w:t>
      </w:r>
      <w:r w:rsidR="00234C6E" w:rsidRPr="00CF5091">
        <w:t>criteri</w:t>
      </w:r>
      <w:r w:rsidR="00234C6E">
        <w:t>on</w:t>
      </w:r>
      <w:r w:rsidR="00234C6E" w:rsidRPr="00CF5091">
        <w:t xml:space="preserve"> </w:t>
      </w:r>
      <w:r w:rsidR="001B3B1E" w:rsidRPr="00CF5091">
        <w:t>but catches the packaging on fire</w:t>
      </w:r>
      <w:r w:rsidR="00234C6E">
        <w:t>,</w:t>
      </w:r>
      <w:r w:rsidR="001B3B1E">
        <w:t xml:space="preserve"> </w:t>
      </w:r>
      <w:r w:rsidR="00234C6E">
        <w:t>and the packaging fire</w:t>
      </w:r>
      <w:r w:rsidR="00234C6E" w:rsidRPr="00CF5091">
        <w:t xml:space="preserve"> </w:t>
      </w:r>
      <w:r w:rsidR="00234C6E">
        <w:t>later</w:t>
      </w:r>
      <w:r w:rsidR="001B3B1E" w:rsidRPr="00CF5091">
        <w:t xml:space="preserve"> ignites the</w:t>
      </w:r>
      <w:r w:rsidR="00234C6E">
        <w:t xml:space="preserve"> witness</w:t>
      </w:r>
      <w:r w:rsidR="001B3B1E" w:rsidRPr="00CF5091">
        <w:t xml:space="preserve"> paper</w:t>
      </w:r>
      <w:r w:rsidR="00FD5E74">
        <w:t xml:space="preserve">. </w:t>
      </w:r>
    </w:p>
    <w:p w14:paraId="09237E27" w14:textId="5645F26E" w:rsidR="001B3B1E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</w:t>
      </w:r>
      <w:r w:rsidR="00E13A3F">
        <w:t>d</w:t>
      </w:r>
      <w:r>
        <w:t>)</w:t>
      </w:r>
      <w:r>
        <w:tab/>
      </w:r>
      <w:r w:rsidR="00FD5E74">
        <w:t xml:space="preserve">Additional </w:t>
      </w:r>
      <w:r w:rsidR="001B3B1E" w:rsidRPr="00CF5091">
        <w:t xml:space="preserve">materials </w:t>
      </w:r>
      <w:r w:rsidR="00FD5E74">
        <w:t xml:space="preserve">could be added </w:t>
      </w:r>
      <w:r w:rsidR="001B3B1E" w:rsidRPr="00CF5091">
        <w:t xml:space="preserve">to </w:t>
      </w:r>
      <w:r w:rsidR="00FD5E74">
        <w:t xml:space="preserve">MTC </w:t>
      </w:r>
      <w:r w:rsidR="001B3B1E" w:rsidRPr="00CF5091">
        <w:t>16.7.1.2 and setup information to</w:t>
      </w:r>
      <w:r w:rsidR="001B3B1E">
        <w:t xml:space="preserve"> </w:t>
      </w:r>
      <w:r w:rsidR="001B3B1E" w:rsidRPr="00CF5091">
        <w:t>16.7.1.3.3 or a new para</w:t>
      </w:r>
      <w:r w:rsidR="001B3B1E">
        <w:t>graph</w:t>
      </w:r>
      <w:r w:rsidR="00FD5E74">
        <w:t xml:space="preserve">. Thought should be given to aligning the materials with those </w:t>
      </w:r>
      <w:r w:rsidR="00FD5E74" w:rsidRPr="00CF5091">
        <w:t>used in 2.1.3.6.4</w:t>
      </w:r>
      <w:r>
        <w:t> </w:t>
      </w:r>
      <w:r w:rsidR="00FD5E74" w:rsidRPr="00CF5091">
        <w:t>(d)</w:t>
      </w:r>
      <w:r>
        <w:t xml:space="preserve"> of the</w:t>
      </w:r>
      <w:r w:rsidR="00FD5E74" w:rsidRPr="00CF5091">
        <w:t xml:space="preserve"> Model Regulations, for exclusion of explosive articles from Class 1</w:t>
      </w:r>
      <w:r w:rsidR="00FD5E74">
        <w:t xml:space="preserve">. </w:t>
      </w:r>
    </w:p>
    <w:p w14:paraId="7CCD76AD" w14:textId="005BC92A" w:rsidR="00E70F51" w:rsidRDefault="00E70F51" w:rsidP="00E70F51">
      <w:pPr>
        <w:pStyle w:val="SingleTxtG"/>
      </w:pPr>
      <w:r>
        <w:t>5.</w:t>
      </w:r>
      <w:r>
        <w:tab/>
        <w:t xml:space="preserve">Criterion 3: MTC </w:t>
      </w:r>
      <w:r w:rsidRPr="00455134">
        <w:t>16.7.1.4</w:t>
      </w:r>
      <w:r w:rsidR="005A0744">
        <w:t> </w:t>
      </w:r>
      <w:r w:rsidRPr="00455134">
        <w:t>(</w:t>
      </w:r>
      <w:r>
        <w:t>c) “</w:t>
      </w:r>
      <w:r w:rsidRPr="00E70F51">
        <w:t>Disruption of the package</w:t>
      </w:r>
      <w:r>
        <w:t xml:space="preserve"> </w:t>
      </w:r>
      <w:r w:rsidRPr="00E70F51">
        <w:t>causing projection of the</w:t>
      </w:r>
      <w:r>
        <w:t xml:space="preserve"> </w:t>
      </w:r>
      <w:r w:rsidRPr="00E70F51">
        <w:t>explosives contents;</w:t>
      </w:r>
      <w:r>
        <w:t>”</w:t>
      </w:r>
      <w:r w:rsidR="00166D9F">
        <w:t>:</w:t>
      </w:r>
    </w:p>
    <w:p w14:paraId="46AC8730" w14:textId="5374294B" w:rsidR="00747439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(a)</w:t>
      </w:r>
      <w:r>
        <w:tab/>
      </w:r>
      <w:r w:rsidR="00E70F51">
        <w:t>A</w:t>
      </w:r>
      <w:r w:rsidR="00983368">
        <w:t>ll respondents felt that this criterion needs additional consideration.</w:t>
      </w:r>
      <w:r w:rsidR="00747439">
        <w:t xml:space="preserve"> </w:t>
      </w:r>
      <w:r w:rsidR="001E5AE5">
        <w:t>The hazardous effect should be</w:t>
      </w:r>
      <w:r w:rsidR="00747439" w:rsidRPr="00983368">
        <w:t xml:space="preserve"> explained and</w:t>
      </w:r>
      <w:r w:rsidR="00747439">
        <w:t xml:space="preserve"> </w:t>
      </w:r>
      <w:r w:rsidR="00747439" w:rsidRPr="00983368">
        <w:t>justified, and then</w:t>
      </w:r>
      <w:r w:rsidR="001E5AE5">
        <w:t xml:space="preserve"> this could be implemented more precisely.</w:t>
      </w:r>
    </w:p>
    <w:p w14:paraId="4D398DF0" w14:textId="440E226C" w:rsidR="001E5AE5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(b)</w:t>
      </w:r>
      <w:r>
        <w:tab/>
      </w:r>
      <w:r w:rsidR="001E5AE5">
        <w:t>There is some redundancy between the criteria in (c) and (d). Perhaps they could be consolidated.</w:t>
      </w:r>
    </w:p>
    <w:p w14:paraId="61E4B7FD" w14:textId="7D78805A" w:rsidR="00A91514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(c)</w:t>
      </w:r>
      <w:r>
        <w:tab/>
      </w:r>
      <w:r w:rsidR="001E5AE5">
        <w:t xml:space="preserve">Bearing in mind that </w:t>
      </w:r>
      <w:r w:rsidR="0014328B">
        <w:t>test candidates will already be proven capable of passing the criteria for Division 1.4,</w:t>
      </w:r>
      <w:r w:rsidR="001E5AE5">
        <w:t xml:space="preserve"> s</w:t>
      </w:r>
      <w:r w:rsidR="00A91514">
        <w:t xml:space="preserve">ome </w:t>
      </w:r>
      <w:r w:rsidR="00153471">
        <w:t xml:space="preserve">thought </w:t>
      </w:r>
      <w:r w:rsidR="00A91514">
        <w:t xml:space="preserve">that </w:t>
      </w:r>
      <w:r w:rsidR="001E5AE5">
        <w:t>explosive articles</w:t>
      </w:r>
      <w:r w:rsidR="00A91514" w:rsidRPr="00983368">
        <w:t xml:space="preserve"> lying next to the package should not </w:t>
      </w:r>
      <w:r w:rsidR="0014328B">
        <w:t>invalidate an assignment to Compatibility Group S.</w:t>
      </w:r>
      <w:r w:rsidR="003F50CE" w:rsidRPr="003F50CE">
        <w:t xml:space="preserve"> </w:t>
      </w:r>
      <w:r w:rsidR="003F50CE">
        <w:t xml:space="preserve">Contrary to the literal text, the example of detonators in </w:t>
      </w:r>
      <w:r w:rsidR="003F50CE" w:rsidRPr="0072275B">
        <w:t>16.7.1.5</w:t>
      </w:r>
      <w:r w:rsidR="003F50CE">
        <w:t xml:space="preserve"> already</w:t>
      </w:r>
      <w:r w:rsidR="003F50CE" w:rsidRPr="0072275B">
        <w:t xml:space="preserve"> </w:t>
      </w:r>
      <w:r w:rsidR="003F50CE">
        <w:t xml:space="preserve">indicates that a release of explosives </w:t>
      </w:r>
      <w:r w:rsidR="003F50CE" w:rsidRPr="0072275B">
        <w:t>is acceptable.</w:t>
      </w:r>
    </w:p>
    <w:p w14:paraId="4A848C71" w14:textId="12E0EBD1" w:rsidR="00A91514" w:rsidRPr="0072275B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(d)</w:t>
      </w:r>
      <w:r>
        <w:tab/>
      </w:r>
      <w:r w:rsidR="00F832DE">
        <w:t>A</w:t>
      </w:r>
      <w:r w:rsidR="00A91514">
        <w:t xml:space="preserve"> threshold could be developed to allow some minimal energies or distances. The </w:t>
      </w:r>
      <w:r w:rsidR="00A91514" w:rsidRPr="0072275B">
        <w:t>word “projection” is subject to widely varying</w:t>
      </w:r>
      <w:r w:rsidR="00A91514">
        <w:t xml:space="preserve"> </w:t>
      </w:r>
      <w:r w:rsidR="00A91514" w:rsidRPr="0072275B">
        <w:t xml:space="preserve">interpretation, where some </w:t>
      </w:r>
      <w:r w:rsidR="00153471">
        <w:t>felt</w:t>
      </w:r>
      <w:r w:rsidR="00153471" w:rsidRPr="0072275B">
        <w:t xml:space="preserve"> </w:t>
      </w:r>
      <w:r w:rsidR="00A91514" w:rsidRPr="0072275B">
        <w:t>it automatically implies significant energy, but literally it only means</w:t>
      </w:r>
      <w:r w:rsidR="00A91514">
        <w:t xml:space="preserve"> </w:t>
      </w:r>
      <w:r w:rsidR="00A91514" w:rsidRPr="0072275B">
        <w:t>that something leaves the packaging.</w:t>
      </w:r>
      <w:r w:rsidR="00A91514">
        <w:t xml:space="preserve"> A projection should be defined or quantified. </w:t>
      </w:r>
      <w:r w:rsidR="00F832DE">
        <w:t xml:space="preserve">The construction of the text could be improved, as a </w:t>
      </w:r>
      <w:r w:rsidR="00A91514">
        <w:t xml:space="preserve">disruption </w:t>
      </w:r>
      <w:r w:rsidR="00F832DE">
        <w:t>does not “cause” a projection.</w:t>
      </w:r>
    </w:p>
    <w:p w14:paraId="717D23F7" w14:textId="223772E8" w:rsidR="00983368" w:rsidRPr="00983368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</w:t>
      </w:r>
      <w:r w:rsidR="00153471">
        <w:t>e</w:t>
      </w:r>
      <w:r>
        <w:t>)</w:t>
      </w:r>
      <w:r>
        <w:tab/>
      </w:r>
      <w:r w:rsidR="001E5AE5">
        <w:t xml:space="preserve">One commenter noted that </w:t>
      </w:r>
      <w:r w:rsidR="008A3B82">
        <w:t xml:space="preserve">some </w:t>
      </w:r>
      <w:r w:rsidR="001E5AE5">
        <w:t xml:space="preserve">explosives classified outside of Class 1 may not pass this </w:t>
      </w:r>
      <w:r w:rsidR="002472A1">
        <w:t>criterion</w:t>
      </w:r>
      <w:r w:rsidR="001E5AE5">
        <w:t xml:space="preserve">. </w:t>
      </w:r>
    </w:p>
    <w:p w14:paraId="2C91FAF1" w14:textId="3A177C43" w:rsidR="00577BED" w:rsidRPr="00577BED" w:rsidRDefault="00577BED" w:rsidP="00577BED">
      <w:pPr>
        <w:pStyle w:val="SingleTxtG"/>
      </w:pPr>
      <w:r>
        <w:lastRenderedPageBreak/>
        <w:t>6</w:t>
      </w:r>
      <w:r w:rsidR="008A3B82">
        <w:t>.</w:t>
      </w:r>
      <w:r w:rsidR="008A3B82">
        <w:tab/>
        <w:t xml:space="preserve">Criterion 4: MTC </w:t>
      </w:r>
      <w:r w:rsidR="008A3B82" w:rsidRPr="00455134">
        <w:t>16.7.1.4</w:t>
      </w:r>
      <w:r w:rsidR="007D3237">
        <w:t xml:space="preserve"> </w:t>
      </w:r>
      <w:r w:rsidR="008A3B82" w:rsidRPr="00455134">
        <w:t>(</w:t>
      </w:r>
      <w:r w:rsidR="008A3B82">
        <w:t>d) “</w:t>
      </w:r>
      <w:r w:rsidRPr="00577BED">
        <w:t>A projection which</w:t>
      </w:r>
      <w:r>
        <w:t xml:space="preserve"> </w:t>
      </w:r>
      <w:r w:rsidRPr="00577BED">
        <w:t>passes completely</w:t>
      </w:r>
      <w:r>
        <w:t xml:space="preserve"> </w:t>
      </w:r>
      <w:r w:rsidRPr="00577BED">
        <w:t>through the packaging (a</w:t>
      </w:r>
      <w:r>
        <w:t xml:space="preserve"> </w:t>
      </w:r>
      <w:r w:rsidRPr="00577BED">
        <w:t>projection or fragment</w:t>
      </w:r>
      <w:r>
        <w:t xml:space="preserve"> </w:t>
      </w:r>
      <w:r w:rsidRPr="00577BED">
        <w:t>retained or stuck in the</w:t>
      </w:r>
      <w:r>
        <w:t xml:space="preserve"> </w:t>
      </w:r>
      <w:r w:rsidRPr="00577BED">
        <w:t>wall of the packaging is</w:t>
      </w:r>
      <w:r>
        <w:t xml:space="preserve"> </w:t>
      </w:r>
      <w:r w:rsidRPr="00577BED">
        <w:t xml:space="preserve">considered as </w:t>
      </w:r>
      <w:r w:rsidR="00DB19C6" w:rsidRPr="00577BED">
        <w:t>non-hazardous</w:t>
      </w:r>
      <w:r w:rsidRPr="00577BED">
        <w:t>).</w:t>
      </w:r>
      <w:r w:rsidR="000055F5">
        <w:t>”</w:t>
      </w:r>
      <w:r w:rsidR="00166D9F">
        <w:t>:</w:t>
      </w:r>
    </w:p>
    <w:p w14:paraId="68EB00A2" w14:textId="2CCBABBB" w:rsidR="00DC033F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(a)</w:t>
      </w:r>
      <w:r>
        <w:tab/>
      </w:r>
      <w:r w:rsidR="0011563A">
        <w:t>All respondents agree</w:t>
      </w:r>
      <w:r w:rsidR="00153471">
        <w:t>d</w:t>
      </w:r>
      <w:r w:rsidR="0011563A">
        <w:t xml:space="preserve"> that this criterion evaluates a hazardous effect, but </w:t>
      </w:r>
      <w:r w:rsidR="00585DF0">
        <w:t>also</w:t>
      </w:r>
      <w:r w:rsidR="0011563A">
        <w:t xml:space="preserve"> </w:t>
      </w:r>
      <w:r w:rsidR="00585DF0">
        <w:t>think</w:t>
      </w:r>
      <w:r w:rsidR="0011563A">
        <w:t xml:space="preserve"> that it could be improved by developing a quantified threshold for the energy or distance</w:t>
      </w:r>
      <w:r w:rsidR="00585DF0">
        <w:t xml:space="preserve"> of a projection</w:t>
      </w:r>
      <w:r w:rsidR="0011563A">
        <w:t>.</w:t>
      </w:r>
    </w:p>
    <w:p w14:paraId="20450A34" w14:textId="4B8FD08B" w:rsidR="00153471" w:rsidRDefault="00DB19C6" w:rsidP="00153471">
      <w:pPr>
        <w:pStyle w:val="Bullet1G"/>
        <w:numPr>
          <w:ilvl w:val="0"/>
          <w:numId w:val="0"/>
        </w:numPr>
        <w:ind w:left="2268" w:hanging="567"/>
      </w:pPr>
      <w:r>
        <w:t>(b)</w:t>
      </w:r>
      <w:r>
        <w:tab/>
      </w:r>
      <w:r w:rsidR="00585DF0">
        <w:t xml:space="preserve">An additional way to differentiate hazardous effects may be </w:t>
      </w:r>
      <w:r w:rsidR="0053061B">
        <w:t xml:space="preserve">to </w:t>
      </w:r>
      <w:r w:rsidR="002472A1">
        <w:t>limit</w:t>
      </w:r>
      <w:r w:rsidR="00585DF0">
        <w:t xml:space="preserve"> the degree of potential hazard. For example, </w:t>
      </w:r>
      <w:r w:rsidR="00DC67F6">
        <w:t>a</w:t>
      </w:r>
      <w:r w:rsidR="00585DF0">
        <w:t xml:space="preserve"> </w:t>
      </w:r>
      <w:r w:rsidR="002472A1">
        <w:t>government expert</w:t>
      </w:r>
      <w:r w:rsidR="00585DF0">
        <w:t xml:space="preserve"> noted that small arms ammunition </w:t>
      </w:r>
      <w:r w:rsidR="002472A1">
        <w:t xml:space="preserve">(a deflagrating explosive) </w:t>
      </w:r>
      <w:r w:rsidR="00585DF0">
        <w:t xml:space="preserve">is </w:t>
      </w:r>
      <w:r w:rsidR="00DC67F6">
        <w:t xml:space="preserve">of </w:t>
      </w:r>
      <w:r w:rsidR="00585DF0">
        <w:t>less concern than shaped charges or detonators</w:t>
      </w:r>
      <w:r w:rsidR="002472A1">
        <w:t xml:space="preserve"> (detonating explosives)</w:t>
      </w:r>
      <w:r w:rsidR="00585DF0">
        <w:t xml:space="preserve">. </w:t>
      </w:r>
      <w:r w:rsidR="0053061B">
        <w:t xml:space="preserve">A </w:t>
      </w:r>
      <w:r w:rsidRPr="009A608D">
        <w:t>two-pronged</w:t>
      </w:r>
      <w:r w:rsidR="00585DF0" w:rsidRPr="009A608D">
        <w:t xml:space="preserve"> approach </w:t>
      </w:r>
      <w:r w:rsidR="002472A1">
        <w:t>might help</w:t>
      </w:r>
      <w:r w:rsidR="00DC67F6">
        <w:t>,</w:t>
      </w:r>
      <w:r w:rsidR="000055F5" w:rsidRPr="009A608D">
        <w:t xml:space="preserve"> </w:t>
      </w:r>
      <w:r w:rsidR="00585DF0" w:rsidRPr="009A608D">
        <w:t>where</w:t>
      </w:r>
      <w:r w:rsidR="00153471">
        <w:t>:</w:t>
      </w:r>
    </w:p>
    <w:p w14:paraId="1BEBDBB4" w14:textId="26AFBA66" w:rsidR="00153471" w:rsidRDefault="00585DF0" w:rsidP="00E13A3F">
      <w:pPr>
        <w:pStyle w:val="Bullet1G"/>
        <w:numPr>
          <w:ilvl w:val="0"/>
          <w:numId w:val="0"/>
        </w:numPr>
        <w:ind w:left="2835" w:hanging="567"/>
      </w:pPr>
      <w:r w:rsidRPr="009A608D">
        <w:t>(</w:t>
      </w:r>
      <w:proofErr w:type="spellStart"/>
      <w:r w:rsidR="00153471">
        <w:t>i</w:t>
      </w:r>
      <w:proofErr w:type="spellEnd"/>
      <w:r w:rsidRPr="009A608D">
        <w:t xml:space="preserve">) </w:t>
      </w:r>
      <w:r w:rsidR="00153471">
        <w:tab/>
      </w:r>
      <w:r w:rsidRPr="009A608D">
        <w:t xml:space="preserve">the existing </w:t>
      </w:r>
      <w:r>
        <w:t>approach</w:t>
      </w:r>
      <w:r w:rsidRPr="009A608D">
        <w:t xml:space="preserve"> continues to apply to explosives which detonate and disintegrate</w:t>
      </w:r>
      <w:r w:rsidR="00990311">
        <w:t>,</w:t>
      </w:r>
      <w:r w:rsidR="00DC67F6">
        <w:t xml:space="preserve"> because they </w:t>
      </w:r>
      <w:r w:rsidRPr="009A608D">
        <w:t xml:space="preserve">have </w:t>
      </w:r>
      <w:r w:rsidR="002472A1">
        <w:t>a greater</w:t>
      </w:r>
      <w:r w:rsidRPr="009A608D">
        <w:t xml:space="preserve"> potential for </w:t>
      </w:r>
      <w:r w:rsidR="002472A1">
        <w:t>effects varying upwards to high</w:t>
      </w:r>
      <w:r w:rsidR="00DC67F6">
        <w:t>er</w:t>
      </w:r>
      <w:r w:rsidR="002472A1">
        <w:t xml:space="preserve"> energ</w:t>
      </w:r>
      <w:r w:rsidR="00DC67F6">
        <w:t>ies</w:t>
      </w:r>
      <w:r w:rsidR="002472A1">
        <w:t xml:space="preserve">, </w:t>
      </w:r>
      <w:r w:rsidRPr="009A608D">
        <w:t xml:space="preserve">and </w:t>
      </w:r>
    </w:p>
    <w:p w14:paraId="477F4E57" w14:textId="3E8EA3F6" w:rsidR="002472A1" w:rsidRDefault="00585DF0" w:rsidP="00E13A3F">
      <w:pPr>
        <w:pStyle w:val="Bullet1G"/>
        <w:numPr>
          <w:ilvl w:val="0"/>
          <w:numId w:val="0"/>
        </w:numPr>
        <w:ind w:left="2835" w:hanging="567"/>
      </w:pPr>
      <w:r w:rsidRPr="009A608D">
        <w:t>(</w:t>
      </w:r>
      <w:r w:rsidR="00153471">
        <w:t>ii</w:t>
      </w:r>
      <w:r w:rsidRPr="009A608D">
        <w:t xml:space="preserve">) </w:t>
      </w:r>
      <w:r w:rsidR="00153471">
        <w:tab/>
      </w:r>
      <w:r w:rsidRPr="009A608D">
        <w:t>a quantitative threshold is applied to deflagrations with</w:t>
      </w:r>
      <w:r>
        <w:t xml:space="preserve"> </w:t>
      </w:r>
      <w:r w:rsidRPr="009A608D">
        <w:t>less potential energy, e.g.</w:t>
      </w:r>
      <w:r w:rsidR="00C13DC8">
        <w:t>,</w:t>
      </w:r>
      <w:r w:rsidRPr="009A608D">
        <w:t xml:space="preserve"> </w:t>
      </w:r>
      <w:r w:rsidR="002472A1">
        <w:t>the effects of</w:t>
      </w:r>
      <w:r w:rsidRPr="009A608D">
        <w:t xml:space="preserve"> many power device cartridges</w:t>
      </w:r>
      <w:r w:rsidR="000055F5">
        <w:t>.</w:t>
      </w:r>
      <w:r w:rsidR="0053061B">
        <w:t xml:space="preserve"> </w:t>
      </w:r>
    </w:p>
    <w:p w14:paraId="0420EEF3" w14:textId="5306D0A6" w:rsidR="00946F34" w:rsidRPr="00577BED" w:rsidRDefault="00946F34" w:rsidP="002472A1">
      <w:pPr>
        <w:pStyle w:val="SingleTxtG"/>
      </w:pPr>
      <w:r>
        <w:t>7.</w:t>
      </w:r>
      <w:r>
        <w:tab/>
        <w:t>Some general comments were also received:</w:t>
      </w:r>
    </w:p>
    <w:p w14:paraId="4BBB5070" w14:textId="4BA6F5A0" w:rsidR="00403D89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(a)</w:t>
      </w:r>
      <w:r>
        <w:tab/>
      </w:r>
      <w:r w:rsidR="00403D89" w:rsidRPr="00403D89">
        <w:t xml:space="preserve">The entire procedure should be reviewed to ensure that adequate instructions are provided </w:t>
      </w:r>
      <w:r w:rsidR="003B333A">
        <w:t>for the required</w:t>
      </w:r>
      <w:r w:rsidR="00403D89">
        <w:t xml:space="preserve"> </w:t>
      </w:r>
      <w:r w:rsidR="00403D89" w:rsidRPr="00403D89">
        <w:t xml:space="preserve">materials, test set up, and test performance </w:t>
      </w:r>
      <w:r w:rsidR="003B333A">
        <w:t>to adequately</w:t>
      </w:r>
      <w:r w:rsidR="00403D89" w:rsidRPr="00403D89">
        <w:t xml:space="preserve"> address the observations described in</w:t>
      </w:r>
      <w:r w:rsidR="00403D89">
        <w:t xml:space="preserve"> </w:t>
      </w:r>
      <w:r w:rsidR="00403D89" w:rsidRPr="00403D89">
        <w:t>16.7.1.3.4 and evaluated in 16.7.1.4.</w:t>
      </w:r>
    </w:p>
    <w:p w14:paraId="41B9945E" w14:textId="607F055D" w:rsidR="00D41BC0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(b)</w:t>
      </w:r>
      <w:r>
        <w:tab/>
      </w:r>
      <w:r w:rsidR="00492D64">
        <w:t>T</w:t>
      </w:r>
      <w:r w:rsidR="00492D64" w:rsidRPr="00492D64">
        <w:t>he criteria of the 6</w:t>
      </w:r>
      <w:r>
        <w:t xml:space="preserve"> (</w:t>
      </w:r>
      <w:r w:rsidR="00492D64" w:rsidRPr="00492D64">
        <w:t>d</w:t>
      </w:r>
      <w:r>
        <w:t>)</w:t>
      </w:r>
      <w:r w:rsidR="00492D64" w:rsidRPr="00492D64">
        <w:t xml:space="preserve"> test are intentionally more</w:t>
      </w:r>
      <w:r w:rsidR="00492D64">
        <w:t xml:space="preserve"> </w:t>
      </w:r>
      <w:r w:rsidR="00492D64" w:rsidRPr="00492D64">
        <w:t xml:space="preserve">conservative than the bonfire criteria since the packaging should be capable of </w:t>
      </w:r>
      <w:r w:rsidR="002472A1">
        <w:t>more fully</w:t>
      </w:r>
      <w:r w:rsidR="00492D64" w:rsidRPr="00492D64">
        <w:t xml:space="preserve"> mitigating</w:t>
      </w:r>
      <w:r w:rsidR="00492D64">
        <w:t xml:space="preserve"> </w:t>
      </w:r>
      <w:r w:rsidR="00492D64" w:rsidRPr="00492D64">
        <w:t>effect</w:t>
      </w:r>
      <w:r w:rsidR="002472A1">
        <w:t>s when not</w:t>
      </w:r>
      <w:r w:rsidR="00492D64" w:rsidRPr="00492D64">
        <w:t xml:space="preserve"> degraded by fire.</w:t>
      </w:r>
      <w:r w:rsidR="00D41BC0" w:rsidRPr="00D41BC0">
        <w:t xml:space="preserve"> </w:t>
      </w:r>
    </w:p>
    <w:p w14:paraId="13229B91" w14:textId="3960F123" w:rsidR="00D41BC0" w:rsidRDefault="00DB19C6" w:rsidP="00E13A3F">
      <w:pPr>
        <w:pStyle w:val="Bullet1G"/>
        <w:numPr>
          <w:ilvl w:val="0"/>
          <w:numId w:val="0"/>
        </w:numPr>
        <w:ind w:left="2268" w:hanging="567"/>
      </w:pPr>
      <w:r>
        <w:t>(c)</w:t>
      </w:r>
      <w:r>
        <w:tab/>
      </w:r>
      <w:r w:rsidR="002472A1">
        <w:t xml:space="preserve">One </w:t>
      </w:r>
      <w:r w:rsidR="00185300">
        <w:t>commenter</w:t>
      </w:r>
      <w:r w:rsidR="002472A1">
        <w:t xml:space="preserve"> </w:t>
      </w:r>
      <w:r w:rsidR="00185300">
        <w:t>interpret</w:t>
      </w:r>
      <w:r w:rsidR="00153471">
        <w:t>ed</w:t>
      </w:r>
      <w:r w:rsidR="00185300">
        <w:t xml:space="preserve"> the wording “Evidence of a hazardous effect outside the package includes” as meaning “includes but is not limited to” the criteria. </w:t>
      </w:r>
      <w:r w:rsidR="0082617B">
        <w:t>He</w:t>
      </w:r>
      <w:r w:rsidR="00AF5869" w:rsidRPr="00AF5869">
        <w:t xml:space="preserve"> </w:t>
      </w:r>
      <w:r w:rsidR="00185300" w:rsidRPr="00AF5869">
        <w:t>recommended</w:t>
      </w:r>
      <w:r w:rsidR="002472A1">
        <w:t xml:space="preserve"> that the</w:t>
      </w:r>
      <w:r w:rsidR="00D41BC0" w:rsidRPr="00E54036">
        <w:t xml:space="preserve"> </w:t>
      </w:r>
      <w:r>
        <w:t>informal correspondence group</w:t>
      </w:r>
      <w:r w:rsidR="00D41BC0" w:rsidRPr="00E54036">
        <w:t xml:space="preserve"> </w:t>
      </w:r>
      <w:r w:rsidR="00185300">
        <w:t>evaluate</w:t>
      </w:r>
      <w:r w:rsidR="00D41BC0" w:rsidRPr="00E54036">
        <w:t xml:space="preserve"> </w:t>
      </w:r>
      <w:r w:rsidR="002472A1">
        <w:t xml:space="preserve">who or </w:t>
      </w:r>
      <w:r w:rsidR="00D41BC0" w:rsidRPr="00E54036">
        <w:t>what</w:t>
      </w:r>
      <w:r w:rsidR="0082617B">
        <w:t xml:space="preserve"> is to be protected by the criteria</w:t>
      </w:r>
      <w:r w:rsidR="00D41BC0" w:rsidRPr="00E54036">
        <w:t>.</w:t>
      </w:r>
    </w:p>
    <w:p w14:paraId="493C6BBD" w14:textId="77777777" w:rsidR="0035091E" w:rsidRDefault="0035091E" w:rsidP="0035091E">
      <w:pPr>
        <w:pStyle w:val="HChG"/>
      </w:pPr>
      <w:r>
        <w:tab/>
      </w:r>
      <w:r>
        <w:tab/>
        <w:t>Proposal</w:t>
      </w:r>
    </w:p>
    <w:p w14:paraId="57FAC3E6" w14:textId="6E8DACC4" w:rsidR="00AF5DE1" w:rsidRDefault="001D3D57" w:rsidP="0035091E">
      <w:pPr>
        <w:pStyle w:val="SingleTxtG"/>
      </w:pPr>
      <w:r>
        <w:t>8</w:t>
      </w:r>
      <w:r w:rsidR="0035091E">
        <w:t>.</w:t>
      </w:r>
      <w:r w:rsidR="0035091E">
        <w:tab/>
      </w:r>
      <w:r w:rsidR="00E70F51">
        <w:t xml:space="preserve">SAAMI proposes that the </w:t>
      </w:r>
      <w:r w:rsidR="00DB19C6">
        <w:t>informal correspondence group</w:t>
      </w:r>
      <w:r w:rsidR="00E70F51">
        <w:t xml:space="preserve"> continue its discussion within the </w:t>
      </w:r>
      <w:r w:rsidR="000857F8">
        <w:t xml:space="preserve">next </w:t>
      </w:r>
      <w:r w:rsidR="00166D9F">
        <w:t>EWG</w:t>
      </w:r>
      <w:r w:rsidR="00E70F51">
        <w:t xml:space="preserve"> meeting. It would be helpful </w:t>
      </w:r>
      <w:r w:rsidR="00300EDE">
        <w:t xml:space="preserve">for the EWG </w:t>
      </w:r>
      <w:r w:rsidR="00E70F51">
        <w:t xml:space="preserve">to confirm </w:t>
      </w:r>
      <w:r w:rsidR="00DC033F">
        <w:t xml:space="preserve">support for </w:t>
      </w:r>
      <w:r w:rsidR="00E70F51">
        <w:t>the above summary of the survey results</w:t>
      </w:r>
      <w:r w:rsidR="00DC033F">
        <w:t>, with edits as necessary</w:t>
      </w:r>
      <w:r w:rsidR="00E70F51">
        <w:t xml:space="preserve">. </w:t>
      </w:r>
      <w:r w:rsidR="00DC033F">
        <w:t>The</w:t>
      </w:r>
      <w:r w:rsidR="00E70F51">
        <w:t xml:space="preserve"> discussion may </w:t>
      </w:r>
      <w:r w:rsidR="00DC033F">
        <w:t xml:space="preserve">also </w:t>
      </w:r>
      <w:r w:rsidR="00E70F51">
        <w:t xml:space="preserve">further </w:t>
      </w:r>
      <w:r w:rsidR="00DC033F">
        <w:t>develop</w:t>
      </w:r>
      <w:r w:rsidR="00E70F51">
        <w:t xml:space="preserve"> the positions</w:t>
      </w:r>
      <w:r w:rsidR="00DC033F">
        <w:t xml:space="preserve"> which receive support</w:t>
      </w:r>
      <w:r w:rsidR="00E70F51">
        <w:t xml:space="preserve">. </w:t>
      </w:r>
      <w:r w:rsidR="00300EDE">
        <w:t>At the EWG, t</w:t>
      </w:r>
      <w:r w:rsidR="00DC033F">
        <w:t xml:space="preserve">he </w:t>
      </w:r>
      <w:r w:rsidR="00153471">
        <w:t>informal correspondence group</w:t>
      </w:r>
      <w:r w:rsidR="00DC033F">
        <w:t xml:space="preserve"> should confirm its intention</w:t>
      </w:r>
      <w:r w:rsidR="00E70F51">
        <w:t xml:space="preserve"> to continue the work intersessionally and into the ne</w:t>
      </w:r>
      <w:r w:rsidR="00DC033F">
        <w:t>xt</w:t>
      </w:r>
      <w:r w:rsidR="00E70F51">
        <w:t xml:space="preserve"> biennium.</w:t>
      </w:r>
    </w:p>
    <w:p w14:paraId="1AFD843D" w14:textId="77777777" w:rsidR="00F648CC" w:rsidRPr="00F648CC" w:rsidRDefault="00F648CC" w:rsidP="00F648C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2FBE1" w14:textId="77777777" w:rsidR="00F648CC" w:rsidRPr="007116F5" w:rsidRDefault="00F648CC" w:rsidP="00153471">
      <w:pPr>
        <w:pStyle w:val="SingleTxtG"/>
      </w:pPr>
    </w:p>
    <w:sectPr w:rsidR="00F648CC" w:rsidRPr="007116F5" w:rsidSect="00D57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2653" w14:textId="77777777" w:rsidR="00C352B2" w:rsidRPr="00C47B2E" w:rsidRDefault="00C352B2" w:rsidP="00C47B2E">
      <w:pPr>
        <w:pStyle w:val="Footer"/>
      </w:pPr>
    </w:p>
  </w:endnote>
  <w:endnote w:type="continuationSeparator" w:id="0">
    <w:p w14:paraId="5241F01A" w14:textId="77777777" w:rsidR="00C352B2" w:rsidRPr="00C47B2E" w:rsidRDefault="00C352B2" w:rsidP="00C47B2E">
      <w:pPr>
        <w:pStyle w:val="Footer"/>
      </w:pPr>
    </w:p>
  </w:endnote>
  <w:endnote w:type="continuationNotice" w:id="1">
    <w:p w14:paraId="40D5B12F" w14:textId="77777777" w:rsidR="00C352B2" w:rsidRPr="00C47B2E" w:rsidRDefault="00C352B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622C" w14:textId="77777777" w:rsidR="00D94B05" w:rsidRPr="00D57F64" w:rsidRDefault="00D57F64" w:rsidP="00D57F64">
    <w:pPr>
      <w:pStyle w:val="Footer"/>
      <w:tabs>
        <w:tab w:val="right" w:pos="9598"/>
        <w:tab w:val="right" w:pos="9638"/>
      </w:tabs>
      <w:rPr>
        <w:sz w:val="18"/>
      </w:rPr>
    </w:pPr>
    <w:r w:rsidRPr="00D57F64">
      <w:rPr>
        <w:b/>
        <w:sz w:val="18"/>
      </w:rPr>
      <w:fldChar w:fldCharType="begin"/>
    </w:r>
    <w:r w:rsidRPr="00D57F64">
      <w:rPr>
        <w:b/>
        <w:sz w:val="18"/>
      </w:rPr>
      <w:instrText xml:space="preserve"> PAGE  \* MERGEFORMAT </w:instrText>
    </w:r>
    <w:r w:rsidRPr="00D57F64">
      <w:rPr>
        <w:b/>
        <w:sz w:val="18"/>
      </w:rPr>
      <w:fldChar w:fldCharType="separate"/>
    </w:r>
    <w:r w:rsidRPr="00D57F64">
      <w:rPr>
        <w:b/>
        <w:noProof/>
        <w:sz w:val="18"/>
      </w:rPr>
      <w:t>2</w:t>
    </w:r>
    <w:r w:rsidRPr="00D57F6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C887" w14:textId="77777777" w:rsidR="00D94B05" w:rsidRPr="00E13A3F" w:rsidRDefault="00D57F64" w:rsidP="00E13A3F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E13A3F">
      <w:rPr>
        <w:b/>
        <w:bCs/>
        <w:sz w:val="18"/>
      </w:rPr>
      <w:fldChar w:fldCharType="begin"/>
    </w:r>
    <w:r w:rsidRPr="00E13A3F">
      <w:rPr>
        <w:b/>
        <w:bCs/>
        <w:sz w:val="18"/>
      </w:rPr>
      <w:instrText xml:space="preserve"> PAGE  \* MERGEFORMAT </w:instrText>
    </w:r>
    <w:r w:rsidRPr="00E13A3F">
      <w:rPr>
        <w:b/>
        <w:bCs/>
        <w:sz w:val="18"/>
      </w:rPr>
      <w:fldChar w:fldCharType="separate"/>
    </w:r>
    <w:r w:rsidRPr="00E13A3F">
      <w:rPr>
        <w:b/>
        <w:bCs/>
        <w:noProof/>
        <w:sz w:val="18"/>
      </w:rPr>
      <w:t>3</w:t>
    </w:r>
    <w:r w:rsidRPr="00E13A3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028F" w14:textId="77777777" w:rsidR="00BC422B" w:rsidRDefault="00BC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55D4" w14:textId="77777777" w:rsidR="00C352B2" w:rsidRPr="00C47B2E" w:rsidRDefault="00C352B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CADCD1C" w14:textId="77777777" w:rsidR="00C352B2" w:rsidRPr="00C47B2E" w:rsidRDefault="00C352B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305F108" w14:textId="77777777" w:rsidR="00C352B2" w:rsidRPr="00C47B2E" w:rsidRDefault="00C352B2" w:rsidP="00C47B2E">
      <w:pPr>
        <w:pStyle w:val="Footer"/>
      </w:pPr>
    </w:p>
  </w:footnote>
  <w:footnote w:id="2">
    <w:p w14:paraId="1BC23DA9" w14:textId="057681A7" w:rsidR="0035091E" w:rsidRPr="00D446A3" w:rsidRDefault="0035091E" w:rsidP="0035091E">
      <w:pPr>
        <w:pStyle w:val="FootnoteText"/>
        <w:tabs>
          <w:tab w:val="left" w:pos="1418"/>
        </w:tabs>
        <w:ind w:firstLine="0"/>
        <w:jc w:val="both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B54F83" w:rsidRPr="00493B59">
        <w:rPr>
          <w:lang w:val="en-US"/>
        </w:rPr>
        <w:t xml:space="preserve">2020 (A/74/6 (Sect.20) and Supplementary, </w:t>
      </w:r>
      <w:proofErr w:type="spellStart"/>
      <w:r w:rsidR="00B54F83" w:rsidRPr="00493B59">
        <w:rPr>
          <w:lang w:val="en-US"/>
        </w:rPr>
        <w:t>Subprogramme</w:t>
      </w:r>
      <w:proofErr w:type="spellEnd"/>
      <w:r w:rsidR="00B54F83" w:rsidRPr="00493B59">
        <w:rPr>
          <w:lang w:val="en-US"/>
        </w:rPr>
        <w:t xml:space="preserve"> 2</w:t>
      </w:r>
      <w:r w:rsidR="00B54F8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A792" w14:textId="09CBA743" w:rsidR="00D57F64" w:rsidRPr="00B04196" w:rsidRDefault="00B04196">
    <w:pPr>
      <w:pStyle w:val="Header"/>
      <w:rPr>
        <w:lang w:val="fr-CH"/>
      </w:rPr>
    </w:pPr>
    <w:r>
      <w:rPr>
        <w:lang w:val="fr-CH"/>
      </w:rPr>
      <w:t>ST/SG/AC.10/C.3/20</w:t>
    </w:r>
    <w:r w:rsidR="00EB5F45">
      <w:rPr>
        <w:lang w:val="fr-CH"/>
      </w:rPr>
      <w:t>20</w:t>
    </w:r>
    <w:r>
      <w:rPr>
        <w:lang w:val="fr-CH"/>
      </w:rPr>
      <w:t>/</w:t>
    </w:r>
    <w:r w:rsidR="00B54F83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E11" w14:textId="21F71AEC" w:rsidR="00D94B05" w:rsidRPr="00BC422B" w:rsidRDefault="00BC422B" w:rsidP="00D57F64">
    <w:pPr>
      <w:pStyle w:val="Header"/>
      <w:jc w:val="right"/>
      <w:rPr>
        <w:lang w:val="fr-CH"/>
      </w:rPr>
    </w:pPr>
    <w:r>
      <w:rPr>
        <w:lang w:val="fr-CH"/>
      </w:rPr>
      <w:t>ST/SG/AC.10/C.3/2020/4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D757" w14:textId="77777777" w:rsidR="00BC422B" w:rsidRDefault="00BC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7F76E3"/>
    <w:multiLevelType w:val="hybridMultilevel"/>
    <w:tmpl w:val="57C2142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4"/>
    <w:rsid w:val="00000B11"/>
    <w:rsid w:val="000055F5"/>
    <w:rsid w:val="00015CD8"/>
    <w:rsid w:val="0004244F"/>
    <w:rsid w:val="00046E92"/>
    <w:rsid w:val="00063C90"/>
    <w:rsid w:val="000857F8"/>
    <w:rsid w:val="00097723"/>
    <w:rsid w:val="00101B98"/>
    <w:rsid w:val="0011563A"/>
    <w:rsid w:val="0014328B"/>
    <w:rsid w:val="001514D1"/>
    <w:rsid w:val="00153471"/>
    <w:rsid w:val="00166D9F"/>
    <w:rsid w:val="00185300"/>
    <w:rsid w:val="001B3B1E"/>
    <w:rsid w:val="001C4EED"/>
    <w:rsid w:val="001D3D57"/>
    <w:rsid w:val="001E3D58"/>
    <w:rsid w:val="001E5AE5"/>
    <w:rsid w:val="001F5962"/>
    <w:rsid w:val="00207729"/>
    <w:rsid w:val="00234C6E"/>
    <w:rsid w:val="002472A1"/>
    <w:rsid w:val="00247E2C"/>
    <w:rsid w:val="002A32CB"/>
    <w:rsid w:val="002D5B2C"/>
    <w:rsid w:val="002D6C53"/>
    <w:rsid w:val="002F5595"/>
    <w:rsid w:val="00300EDE"/>
    <w:rsid w:val="00334F6A"/>
    <w:rsid w:val="00342AC8"/>
    <w:rsid w:val="00343302"/>
    <w:rsid w:val="0035091E"/>
    <w:rsid w:val="003979DE"/>
    <w:rsid w:val="003B333A"/>
    <w:rsid w:val="003B4550"/>
    <w:rsid w:val="003D2A18"/>
    <w:rsid w:val="003E10D3"/>
    <w:rsid w:val="003F50CE"/>
    <w:rsid w:val="00403D89"/>
    <w:rsid w:val="00405152"/>
    <w:rsid w:val="00413386"/>
    <w:rsid w:val="00455134"/>
    <w:rsid w:val="00461253"/>
    <w:rsid w:val="00463ABB"/>
    <w:rsid w:val="004858F5"/>
    <w:rsid w:val="00492D64"/>
    <w:rsid w:val="00497372"/>
    <w:rsid w:val="00497D60"/>
    <w:rsid w:val="004A2814"/>
    <w:rsid w:val="004C0622"/>
    <w:rsid w:val="004D675F"/>
    <w:rsid w:val="005040D3"/>
    <w:rsid w:val="005042C2"/>
    <w:rsid w:val="00523711"/>
    <w:rsid w:val="0053061B"/>
    <w:rsid w:val="00546D49"/>
    <w:rsid w:val="00577BED"/>
    <w:rsid w:val="00585DF0"/>
    <w:rsid w:val="0059112E"/>
    <w:rsid w:val="005A0744"/>
    <w:rsid w:val="005E716E"/>
    <w:rsid w:val="00630941"/>
    <w:rsid w:val="006476E1"/>
    <w:rsid w:val="00656322"/>
    <w:rsid w:val="006604DF"/>
    <w:rsid w:val="00671529"/>
    <w:rsid w:val="00671CFA"/>
    <w:rsid w:val="0069555F"/>
    <w:rsid w:val="006A3CB9"/>
    <w:rsid w:val="006D0865"/>
    <w:rsid w:val="006D2485"/>
    <w:rsid w:val="006E5BD8"/>
    <w:rsid w:val="006F1C9B"/>
    <w:rsid w:val="0070489D"/>
    <w:rsid w:val="007116F5"/>
    <w:rsid w:val="0072275B"/>
    <w:rsid w:val="007268F9"/>
    <w:rsid w:val="00747439"/>
    <w:rsid w:val="00750282"/>
    <w:rsid w:val="00764440"/>
    <w:rsid w:val="0077101B"/>
    <w:rsid w:val="00772BAD"/>
    <w:rsid w:val="00775A2F"/>
    <w:rsid w:val="00780848"/>
    <w:rsid w:val="007A19B1"/>
    <w:rsid w:val="007C52B0"/>
    <w:rsid w:val="007C6033"/>
    <w:rsid w:val="007D3237"/>
    <w:rsid w:val="007F549D"/>
    <w:rsid w:val="00805809"/>
    <w:rsid w:val="008147C8"/>
    <w:rsid w:val="0081753A"/>
    <w:rsid w:val="00817CAF"/>
    <w:rsid w:val="0082617B"/>
    <w:rsid w:val="00831B49"/>
    <w:rsid w:val="00841BAE"/>
    <w:rsid w:val="00857472"/>
    <w:rsid w:val="00857D23"/>
    <w:rsid w:val="008773AB"/>
    <w:rsid w:val="008A3B82"/>
    <w:rsid w:val="008F67A1"/>
    <w:rsid w:val="009411B4"/>
    <w:rsid w:val="00946F1D"/>
    <w:rsid w:val="00946F34"/>
    <w:rsid w:val="00983368"/>
    <w:rsid w:val="00990311"/>
    <w:rsid w:val="009A608D"/>
    <w:rsid w:val="009D0139"/>
    <w:rsid w:val="009D0BC3"/>
    <w:rsid w:val="009D717D"/>
    <w:rsid w:val="009F5CDC"/>
    <w:rsid w:val="00A072D7"/>
    <w:rsid w:val="00A153FF"/>
    <w:rsid w:val="00A50673"/>
    <w:rsid w:val="00A633D5"/>
    <w:rsid w:val="00A775CF"/>
    <w:rsid w:val="00A82F6F"/>
    <w:rsid w:val="00A84C66"/>
    <w:rsid w:val="00A91514"/>
    <w:rsid w:val="00A93E8C"/>
    <w:rsid w:val="00AD1A9C"/>
    <w:rsid w:val="00AE798C"/>
    <w:rsid w:val="00AE7A5C"/>
    <w:rsid w:val="00AF5869"/>
    <w:rsid w:val="00AF5DE1"/>
    <w:rsid w:val="00AF76C3"/>
    <w:rsid w:val="00B04196"/>
    <w:rsid w:val="00B06045"/>
    <w:rsid w:val="00B206DD"/>
    <w:rsid w:val="00B22868"/>
    <w:rsid w:val="00B330B3"/>
    <w:rsid w:val="00B52EF4"/>
    <w:rsid w:val="00B54F83"/>
    <w:rsid w:val="00B616E6"/>
    <w:rsid w:val="00B777AD"/>
    <w:rsid w:val="00BA7F55"/>
    <w:rsid w:val="00BC422B"/>
    <w:rsid w:val="00BD5B32"/>
    <w:rsid w:val="00C03015"/>
    <w:rsid w:val="00C0358D"/>
    <w:rsid w:val="00C13DC8"/>
    <w:rsid w:val="00C15FEF"/>
    <w:rsid w:val="00C352B2"/>
    <w:rsid w:val="00C35A27"/>
    <w:rsid w:val="00C416BE"/>
    <w:rsid w:val="00C47B2E"/>
    <w:rsid w:val="00CB3BB2"/>
    <w:rsid w:val="00CD5560"/>
    <w:rsid w:val="00CF5091"/>
    <w:rsid w:val="00D20A95"/>
    <w:rsid w:val="00D41BC0"/>
    <w:rsid w:val="00D57F64"/>
    <w:rsid w:val="00D63CD2"/>
    <w:rsid w:val="00D8333A"/>
    <w:rsid w:val="00D83C43"/>
    <w:rsid w:val="00D87DC2"/>
    <w:rsid w:val="00D90591"/>
    <w:rsid w:val="00D94B05"/>
    <w:rsid w:val="00DA57CB"/>
    <w:rsid w:val="00DB19C6"/>
    <w:rsid w:val="00DC033F"/>
    <w:rsid w:val="00DC67F6"/>
    <w:rsid w:val="00E02C2B"/>
    <w:rsid w:val="00E13A3F"/>
    <w:rsid w:val="00E21C27"/>
    <w:rsid w:val="00E26BCF"/>
    <w:rsid w:val="00E5085E"/>
    <w:rsid w:val="00E52109"/>
    <w:rsid w:val="00E54036"/>
    <w:rsid w:val="00E70F51"/>
    <w:rsid w:val="00E75317"/>
    <w:rsid w:val="00EB5F45"/>
    <w:rsid w:val="00EC0CE6"/>
    <w:rsid w:val="00EC5C0E"/>
    <w:rsid w:val="00EC7C1D"/>
    <w:rsid w:val="00ED6C48"/>
    <w:rsid w:val="00EE3045"/>
    <w:rsid w:val="00EF2DD8"/>
    <w:rsid w:val="00EF78BB"/>
    <w:rsid w:val="00F41066"/>
    <w:rsid w:val="00F648CC"/>
    <w:rsid w:val="00F65F5D"/>
    <w:rsid w:val="00F832DE"/>
    <w:rsid w:val="00F86A3A"/>
    <w:rsid w:val="00FB2A72"/>
    <w:rsid w:val="00FD5E74"/>
    <w:rsid w:val="00FE17B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D3E7A5"/>
  <w15:docId w15:val="{55C3F76D-B338-4CA9-8B41-D3C31A7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D6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5091E"/>
    <w:rPr>
      <w:b/>
      <w:sz w:val="24"/>
    </w:rPr>
  </w:style>
  <w:style w:type="paragraph" w:styleId="ListParagraph">
    <w:name w:val="List Paragraph"/>
    <w:basedOn w:val="Normal"/>
    <w:uiPriority w:val="34"/>
    <w:semiHidden/>
    <w:rsid w:val="001B3B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B2"/>
    <w:rPr>
      <w:b/>
      <w:bCs/>
    </w:rPr>
  </w:style>
  <w:style w:type="paragraph" w:styleId="Revision">
    <w:name w:val="Revision"/>
    <w:hidden/>
    <w:uiPriority w:val="99"/>
    <w:semiHidden/>
    <w:rsid w:val="0000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D288-455F-46DA-99F6-A886EF00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180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ST/SG/AC.10/C.3/2019/xx</vt:lpstr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ST/SG/AC.10/C.3/2019/xx</dc:title>
  <dc:subject/>
  <dc:creator>Editorial</dc:creator>
  <cp:lastModifiedBy>Laurence Berthet</cp:lastModifiedBy>
  <cp:revision>16</cp:revision>
  <cp:lastPrinted>2020-03-24T13:10:00Z</cp:lastPrinted>
  <dcterms:created xsi:type="dcterms:W3CDTF">2020-03-16T06:55:00Z</dcterms:created>
  <dcterms:modified xsi:type="dcterms:W3CDTF">2020-03-24T15:25:00Z</dcterms:modified>
</cp:coreProperties>
</file>