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5663AD" w14:paraId="679A8D16" w14:textId="77777777" w:rsidTr="00F01738">
        <w:trPr>
          <w:trHeight w:hRule="exact" w:val="851"/>
        </w:trPr>
        <w:tc>
          <w:tcPr>
            <w:tcW w:w="1276" w:type="dxa"/>
            <w:tcBorders>
              <w:bottom w:val="single" w:sz="4" w:space="0" w:color="auto"/>
            </w:tcBorders>
          </w:tcPr>
          <w:p w14:paraId="5AC39489" w14:textId="77777777" w:rsidR="00132EA9" w:rsidRPr="00DB58B5" w:rsidRDefault="00132EA9" w:rsidP="005663AD">
            <w:bookmarkStart w:id="0" w:name="_GoBack"/>
            <w:bookmarkEnd w:id="0"/>
          </w:p>
        </w:tc>
        <w:tc>
          <w:tcPr>
            <w:tcW w:w="2268" w:type="dxa"/>
            <w:tcBorders>
              <w:bottom w:val="single" w:sz="4" w:space="0" w:color="auto"/>
            </w:tcBorders>
            <w:vAlign w:val="bottom"/>
          </w:tcPr>
          <w:p w14:paraId="1C263B0A" w14:textId="77777777" w:rsidR="00132EA9" w:rsidRPr="005663AD" w:rsidRDefault="00132EA9" w:rsidP="00F01738">
            <w:pPr>
              <w:spacing w:after="80" w:line="300" w:lineRule="exact"/>
              <w:rPr>
                <w:sz w:val="28"/>
              </w:rPr>
            </w:pPr>
            <w:r w:rsidRPr="005663AD">
              <w:rPr>
                <w:sz w:val="28"/>
              </w:rPr>
              <w:t>Nations Unies</w:t>
            </w:r>
          </w:p>
        </w:tc>
        <w:tc>
          <w:tcPr>
            <w:tcW w:w="6095" w:type="dxa"/>
            <w:gridSpan w:val="2"/>
            <w:tcBorders>
              <w:bottom w:val="single" w:sz="4" w:space="0" w:color="auto"/>
            </w:tcBorders>
            <w:vAlign w:val="bottom"/>
          </w:tcPr>
          <w:p w14:paraId="01B3BE5C" w14:textId="77777777" w:rsidR="00132EA9" w:rsidRPr="005663AD" w:rsidRDefault="005663AD" w:rsidP="005663AD">
            <w:pPr>
              <w:jc w:val="right"/>
              <w:rPr>
                <w:lang w:val="en-US"/>
              </w:rPr>
            </w:pPr>
            <w:r w:rsidRPr="005663AD">
              <w:rPr>
                <w:sz w:val="40"/>
                <w:lang w:val="en-US"/>
              </w:rPr>
              <w:t>ST</w:t>
            </w:r>
            <w:r w:rsidRPr="005663AD">
              <w:rPr>
                <w:lang w:val="en-US"/>
              </w:rPr>
              <w:t>/SG/AC.10/C.3/113/Rev.1</w:t>
            </w:r>
          </w:p>
        </w:tc>
      </w:tr>
      <w:tr w:rsidR="00132EA9" w:rsidRPr="005663AD" w14:paraId="0AB66A9D" w14:textId="77777777" w:rsidTr="00F01738">
        <w:trPr>
          <w:trHeight w:hRule="exact" w:val="2835"/>
        </w:trPr>
        <w:tc>
          <w:tcPr>
            <w:tcW w:w="1276" w:type="dxa"/>
            <w:tcBorders>
              <w:top w:val="single" w:sz="4" w:space="0" w:color="auto"/>
              <w:bottom w:val="single" w:sz="12" w:space="0" w:color="auto"/>
            </w:tcBorders>
          </w:tcPr>
          <w:p w14:paraId="2F2371A4" w14:textId="77777777" w:rsidR="00132EA9" w:rsidRPr="005663AD" w:rsidRDefault="00132EA9" w:rsidP="00F01738">
            <w:pPr>
              <w:spacing w:before="120"/>
              <w:jc w:val="center"/>
            </w:pPr>
            <w:r w:rsidRPr="005663AD">
              <w:rPr>
                <w:noProof/>
                <w:lang w:eastAsia="fr-CH"/>
              </w:rPr>
              <w:drawing>
                <wp:inline distT="0" distB="0" distL="0" distR="0" wp14:anchorId="3A5C4148" wp14:editId="00414B7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CB7997" w14:textId="77777777" w:rsidR="00132EA9" w:rsidRPr="005663AD" w:rsidRDefault="00132EA9" w:rsidP="00F01738">
            <w:pPr>
              <w:spacing w:before="120" w:line="420" w:lineRule="exact"/>
              <w:rPr>
                <w:b/>
                <w:sz w:val="40"/>
                <w:szCs w:val="40"/>
              </w:rPr>
            </w:pPr>
            <w:r w:rsidRPr="005663AD">
              <w:rPr>
                <w:b/>
                <w:sz w:val="40"/>
                <w:szCs w:val="40"/>
              </w:rPr>
              <w:t>Secrétariat</w:t>
            </w:r>
          </w:p>
        </w:tc>
        <w:tc>
          <w:tcPr>
            <w:tcW w:w="2835" w:type="dxa"/>
            <w:tcBorders>
              <w:top w:val="single" w:sz="4" w:space="0" w:color="auto"/>
              <w:bottom w:val="single" w:sz="12" w:space="0" w:color="auto"/>
            </w:tcBorders>
          </w:tcPr>
          <w:p w14:paraId="02048DF8" w14:textId="77777777" w:rsidR="00132EA9" w:rsidRPr="005663AD" w:rsidRDefault="005663AD" w:rsidP="00F01738">
            <w:pPr>
              <w:spacing w:before="240"/>
            </w:pPr>
            <w:r w:rsidRPr="005663AD">
              <w:t>Distr. générale</w:t>
            </w:r>
          </w:p>
          <w:p w14:paraId="03C71D2B" w14:textId="77777777" w:rsidR="005663AD" w:rsidRPr="005663AD" w:rsidRDefault="005663AD" w:rsidP="005663AD">
            <w:pPr>
              <w:spacing w:line="240" w:lineRule="exact"/>
            </w:pPr>
            <w:r w:rsidRPr="005663AD">
              <w:t>24 août 2020</w:t>
            </w:r>
          </w:p>
          <w:p w14:paraId="08B6A556" w14:textId="77777777" w:rsidR="005663AD" w:rsidRPr="005663AD" w:rsidRDefault="005663AD" w:rsidP="005663AD">
            <w:pPr>
              <w:spacing w:line="240" w:lineRule="exact"/>
            </w:pPr>
            <w:r w:rsidRPr="005663AD">
              <w:t>Français</w:t>
            </w:r>
          </w:p>
          <w:p w14:paraId="61F18CE0" w14:textId="77777777" w:rsidR="005663AD" w:rsidRPr="005663AD" w:rsidRDefault="005663AD" w:rsidP="005663AD">
            <w:pPr>
              <w:spacing w:line="240" w:lineRule="exact"/>
            </w:pPr>
            <w:r w:rsidRPr="005663AD">
              <w:t>Original</w:t>
            </w:r>
            <w:r>
              <w:t> :</w:t>
            </w:r>
            <w:r w:rsidRPr="005663AD">
              <w:t xml:space="preserve"> anglais</w:t>
            </w:r>
          </w:p>
        </w:tc>
      </w:tr>
    </w:tbl>
    <w:p w14:paraId="1324B193" w14:textId="77777777" w:rsidR="005663AD" w:rsidRPr="005663AD" w:rsidRDefault="005663AD" w:rsidP="000305D3">
      <w:pPr>
        <w:spacing w:before="120"/>
        <w:rPr>
          <w:b/>
          <w:sz w:val="24"/>
          <w:szCs w:val="24"/>
        </w:rPr>
      </w:pPr>
      <w:r w:rsidRPr="005663AD">
        <w:rPr>
          <w:b/>
          <w:sz w:val="24"/>
          <w:szCs w:val="24"/>
        </w:rPr>
        <w:t>Comité d</w:t>
      </w:r>
      <w:r>
        <w:rPr>
          <w:b/>
          <w:sz w:val="24"/>
          <w:szCs w:val="24"/>
        </w:rPr>
        <w:t>’</w:t>
      </w:r>
      <w:r w:rsidRPr="005663AD">
        <w:rPr>
          <w:b/>
          <w:sz w:val="24"/>
          <w:szCs w:val="24"/>
        </w:rPr>
        <w:t>experts du transport des marchandises dangereuses</w:t>
      </w:r>
      <w:r w:rsidRPr="005663AD">
        <w:rPr>
          <w:b/>
          <w:sz w:val="24"/>
          <w:szCs w:val="24"/>
        </w:rPr>
        <w:br/>
        <w:t>et du Système général harmonisé de classification</w:t>
      </w:r>
      <w:r w:rsidRPr="005663AD">
        <w:rPr>
          <w:b/>
          <w:sz w:val="24"/>
          <w:szCs w:val="24"/>
        </w:rPr>
        <w:br/>
        <w:t>et d</w:t>
      </w:r>
      <w:r>
        <w:rPr>
          <w:b/>
          <w:sz w:val="24"/>
          <w:szCs w:val="24"/>
        </w:rPr>
        <w:t>’</w:t>
      </w:r>
      <w:r w:rsidRPr="005663AD">
        <w:rPr>
          <w:b/>
          <w:sz w:val="24"/>
          <w:szCs w:val="24"/>
        </w:rPr>
        <w:t>étiquetage des produits chimiques</w:t>
      </w:r>
    </w:p>
    <w:p w14:paraId="01BD1226" w14:textId="77777777" w:rsidR="005663AD" w:rsidRPr="005663AD" w:rsidRDefault="005663AD" w:rsidP="000305D3">
      <w:pPr>
        <w:spacing w:before="120"/>
        <w:rPr>
          <w:b/>
        </w:rPr>
      </w:pPr>
      <w:r w:rsidRPr="005663AD">
        <w:rPr>
          <w:b/>
        </w:rPr>
        <w:t>Sous-Comité d</w:t>
      </w:r>
      <w:r>
        <w:rPr>
          <w:b/>
        </w:rPr>
        <w:t>’</w:t>
      </w:r>
      <w:r w:rsidRPr="005663AD">
        <w:rPr>
          <w:b/>
        </w:rPr>
        <w:t>experts du transport des marchandises dangereuses</w:t>
      </w:r>
    </w:p>
    <w:p w14:paraId="4D6DE2B1" w14:textId="77777777" w:rsidR="005663AD" w:rsidRPr="005663AD" w:rsidRDefault="005663AD" w:rsidP="005663AD">
      <w:pPr>
        <w:spacing w:before="120"/>
        <w:rPr>
          <w:b/>
        </w:rPr>
      </w:pPr>
      <w:r w:rsidRPr="005663AD">
        <w:rPr>
          <w:b/>
          <w:bCs/>
          <w:lang w:val="fr-FR"/>
        </w:rPr>
        <w:t>Cinquante-septième session</w:t>
      </w:r>
    </w:p>
    <w:p w14:paraId="0B9E8490" w14:textId="77777777" w:rsidR="005663AD" w:rsidRPr="005663AD" w:rsidRDefault="005663AD" w:rsidP="005663AD">
      <w:pPr>
        <w:rPr>
          <w:lang w:val="fr-FR"/>
        </w:rPr>
      </w:pPr>
      <w:r w:rsidRPr="005663AD">
        <w:rPr>
          <w:lang w:val="fr-FR"/>
        </w:rPr>
        <w:t>Genève, 30 novembre-8 décembre 2020</w:t>
      </w:r>
    </w:p>
    <w:p w14:paraId="5B502DC6" w14:textId="77777777" w:rsidR="005663AD" w:rsidRPr="005663AD" w:rsidRDefault="005663AD" w:rsidP="005663AD">
      <w:r w:rsidRPr="005663AD">
        <w:rPr>
          <w:lang w:val="fr-FR"/>
        </w:rPr>
        <w:t>Point 1 de l</w:t>
      </w:r>
      <w:r>
        <w:rPr>
          <w:lang w:val="fr-FR"/>
        </w:rPr>
        <w:t>’</w:t>
      </w:r>
      <w:r w:rsidRPr="005663AD">
        <w:rPr>
          <w:lang w:val="fr-FR"/>
        </w:rPr>
        <w:t>ordre du jour provisoire</w:t>
      </w:r>
    </w:p>
    <w:p w14:paraId="2DF8FE3D" w14:textId="77777777" w:rsidR="005663AD" w:rsidRPr="005663AD" w:rsidRDefault="005663AD" w:rsidP="005663AD">
      <w:r w:rsidRPr="005663AD">
        <w:rPr>
          <w:b/>
          <w:bCs/>
          <w:lang w:val="fr-FR"/>
        </w:rPr>
        <w:t>Adoption de l</w:t>
      </w:r>
      <w:r>
        <w:rPr>
          <w:b/>
          <w:bCs/>
          <w:lang w:val="fr-FR"/>
        </w:rPr>
        <w:t>’</w:t>
      </w:r>
      <w:r w:rsidRPr="005663AD">
        <w:rPr>
          <w:b/>
          <w:bCs/>
          <w:lang w:val="fr-FR"/>
        </w:rPr>
        <w:t>ordre du jour</w:t>
      </w:r>
    </w:p>
    <w:p w14:paraId="443E46EC" w14:textId="77777777" w:rsidR="005663AD" w:rsidRPr="005663AD" w:rsidRDefault="005663AD" w:rsidP="005663AD">
      <w:pPr>
        <w:pStyle w:val="HChG"/>
        <w:rPr>
          <w:sz w:val="20"/>
        </w:rPr>
      </w:pPr>
      <w:r>
        <w:rPr>
          <w:lang w:val="fr-FR"/>
        </w:rPr>
        <w:tab/>
      </w:r>
      <w:r>
        <w:rPr>
          <w:lang w:val="fr-FR"/>
        </w:rPr>
        <w:tab/>
      </w:r>
      <w:r w:rsidRPr="005663AD">
        <w:rPr>
          <w:lang w:val="fr-FR"/>
        </w:rPr>
        <w:t xml:space="preserve">Ordre du jour provisoire révisé </w:t>
      </w:r>
      <w:r>
        <w:rPr>
          <w:lang w:val="fr-FR"/>
        </w:rPr>
        <w:br/>
      </w:r>
      <w:r w:rsidRPr="005663AD">
        <w:rPr>
          <w:lang w:val="fr-FR"/>
        </w:rPr>
        <w:t>de la cinquante-septième session</w:t>
      </w:r>
      <w:r w:rsidRPr="005663AD">
        <w:rPr>
          <w:rStyle w:val="FootnoteReference"/>
          <w:b w:val="0"/>
          <w:bCs/>
          <w:sz w:val="20"/>
          <w:vertAlign w:val="baseline"/>
          <w:lang w:val="fr-FR"/>
        </w:rPr>
        <w:footnoteReference w:customMarkFollows="1" w:id="2"/>
        <w:t>*</w:t>
      </w:r>
      <w:r w:rsidRPr="005663AD">
        <w:rPr>
          <w:rStyle w:val="FootnoteReference"/>
          <w:b w:val="0"/>
          <w:bCs/>
          <w:position w:val="6"/>
          <w:sz w:val="20"/>
          <w:vertAlign w:val="baseline"/>
          <w:lang w:val="fr-FR"/>
        </w:rPr>
        <w:t>,</w:t>
      </w:r>
      <w:r>
        <w:rPr>
          <w:rStyle w:val="FootnoteReference"/>
          <w:b w:val="0"/>
          <w:bCs/>
          <w:sz w:val="20"/>
          <w:vertAlign w:val="baseline"/>
          <w:lang w:val="fr-FR"/>
        </w:rPr>
        <w:t xml:space="preserve"> </w:t>
      </w:r>
      <w:r w:rsidRPr="005663AD">
        <w:rPr>
          <w:rStyle w:val="FootnoteReference"/>
          <w:b w:val="0"/>
          <w:bCs/>
          <w:sz w:val="20"/>
          <w:vertAlign w:val="baseline"/>
          <w:lang w:val="fr-FR"/>
        </w:rPr>
        <w:footnoteReference w:customMarkFollows="1" w:id="3"/>
        <w:t>**</w:t>
      </w:r>
      <w:r w:rsidRPr="005663AD">
        <w:rPr>
          <w:rStyle w:val="FootnoteReference"/>
          <w:b w:val="0"/>
          <w:bCs/>
          <w:position w:val="6"/>
          <w:sz w:val="20"/>
          <w:vertAlign w:val="baseline"/>
          <w:lang w:val="fr-FR"/>
        </w:rPr>
        <w:t>,</w:t>
      </w:r>
      <w:r>
        <w:rPr>
          <w:b w:val="0"/>
          <w:bCs/>
          <w:sz w:val="20"/>
          <w:lang w:val="fr-FR"/>
        </w:rPr>
        <w:t xml:space="preserve"> </w:t>
      </w:r>
      <w:r w:rsidRPr="005663AD">
        <w:rPr>
          <w:rStyle w:val="FootnoteReference"/>
          <w:b w:val="0"/>
          <w:bCs/>
          <w:sz w:val="20"/>
          <w:vertAlign w:val="baseline"/>
          <w:lang w:val="fr-FR"/>
        </w:rPr>
        <w:footnoteReference w:customMarkFollows="1" w:id="4"/>
        <w:t>***</w:t>
      </w:r>
      <w:r w:rsidRPr="005663AD">
        <w:rPr>
          <w:lang w:val="fr-FR"/>
        </w:rPr>
        <w:t xml:space="preserve">  </w:t>
      </w:r>
    </w:p>
    <w:p w14:paraId="2433A0A1" w14:textId="502DA405" w:rsidR="005663AD" w:rsidRPr="005663AD" w:rsidRDefault="005663AD" w:rsidP="005663AD">
      <w:pPr>
        <w:pStyle w:val="H56G"/>
      </w:pPr>
      <w:r w:rsidRPr="005663AD">
        <w:rPr>
          <w:lang w:val="fr-FR"/>
        </w:rPr>
        <w:tab/>
      </w:r>
      <w:r>
        <w:rPr>
          <w:lang w:val="fr-FR"/>
        </w:rPr>
        <w:tab/>
      </w:r>
      <w:r w:rsidRPr="005663AD">
        <w:rPr>
          <w:lang w:val="fr-FR"/>
        </w:rPr>
        <w:t>Qui s</w:t>
      </w:r>
      <w:r>
        <w:rPr>
          <w:lang w:val="fr-FR"/>
        </w:rPr>
        <w:t>’</w:t>
      </w:r>
      <w:r w:rsidRPr="005663AD">
        <w:rPr>
          <w:lang w:val="fr-FR"/>
        </w:rPr>
        <w:t>ouvrira au Palais des Nations, à Genève, le lundi 30</w:t>
      </w:r>
      <w:r>
        <w:rPr>
          <w:lang w:val="fr-FR"/>
        </w:rPr>
        <w:t> </w:t>
      </w:r>
      <w:r w:rsidRPr="005663AD">
        <w:rPr>
          <w:lang w:val="fr-FR"/>
        </w:rPr>
        <w:t>novembre 2020 à 10</w:t>
      </w:r>
      <w:r>
        <w:rPr>
          <w:lang w:val="fr-FR"/>
        </w:rPr>
        <w:t> </w:t>
      </w:r>
      <w:r w:rsidRPr="005663AD">
        <w:rPr>
          <w:lang w:val="fr-FR"/>
        </w:rPr>
        <w:t>heures et</w:t>
      </w:r>
      <w:r>
        <w:rPr>
          <w:lang w:val="fr-FR"/>
        </w:rPr>
        <w:t> </w:t>
      </w:r>
      <w:r w:rsidRPr="005663AD">
        <w:rPr>
          <w:lang w:val="fr-FR"/>
        </w:rPr>
        <w:t>s</w:t>
      </w:r>
      <w:r>
        <w:rPr>
          <w:lang w:val="fr-FR"/>
        </w:rPr>
        <w:t>’</w:t>
      </w:r>
      <w:r w:rsidRPr="005663AD">
        <w:rPr>
          <w:lang w:val="fr-FR"/>
        </w:rPr>
        <w:t xml:space="preserve">achèvera le 8 décembre </w:t>
      </w:r>
      <w:r w:rsidR="004C76F4">
        <w:rPr>
          <w:lang w:val="fr-FR"/>
        </w:rPr>
        <w:t>2020</w:t>
      </w:r>
    </w:p>
    <w:p w14:paraId="6BA6129B" w14:textId="77777777" w:rsidR="005663AD" w:rsidRPr="005663AD" w:rsidRDefault="005663AD" w:rsidP="005663AD">
      <w:pPr>
        <w:pStyle w:val="SingleTxtG"/>
        <w:rPr>
          <w:i/>
          <w:iCs/>
        </w:rPr>
      </w:pPr>
      <w:r w:rsidRPr="005663AD">
        <w:rPr>
          <w:b/>
          <w:bCs/>
          <w:lang w:val="fr-FR"/>
        </w:rPr>
        <w:t>Note du secrétariat</w:t>
      </w:r>
      <w:r>
        <w:rPr>
          <w:lang w:val="fr-FR"/>
        </w:rPr>
        <w:t> :</w:t>
      </w:r>
      <w:r w:rsidRPr="005663AD">
        <w:rPr>
          <w:i/>
          <w:iCs/>
          <w:lang w:val="fr-FR"/>
        </w:rPr>
        <w:t xml:space="preserve"> En raison des risques liés à la propagation de la COVID-19 et des mesures visant à l</w:t>
      </w:r>
      <w:r>
        <w:rPr>
          <w:i/>
          <w:iCs/>
          <w:lang w:val="fr-FR"/>
        </w:rPr>
        <w:t>’</w:t>
      </w:r>
      <w:r w:rsidRPr="005663AD">
        <w:rPr>
          <w:i/>
          <w:iCs/>
          <w:lang w:val="fr-FR"/>
        </w:rPr>
        <w:t>endiguer mises en œuvre dans le monde entier, notamment les restrictions de voyage et le confinement, la cinquante-septième session du Sous-Comité, initialement prévue en juin et juillet, a été reportée à novembre et décembre aux dates initialement prévues pour la cinquante-huitième session (30 novembre-8 décembre).</w:t>
      </w:r>
    </w:p>
    <w:p w14:paraId="5D24C782" w14:textId="77777777" w:rsidR="005663AD" w:rsidRPr="005663AD" w:rsidRDefault="005663AD" w:rsidP="005663AD">
      <w:pPr>
        <w:pStyle w:val="SingleTxtG"/>
        <w:rPr>
          <w:i/>
          <w:iCs/>
        </w:rPr>
      </w:pPr>
      <w:r w:rsidRPr="005663AD">
        <w:rPr>
          <w:i/>
          <w:iCs/>
          <w:lang w:val="fr-FR"/>
        </w:rPr>
        <w:t>À moins qu</w:t>
      </w:r>
      <w:r>
        <w:rPr>
          <w:i/>
          <w:iCs/>
          <w:lang w:val="fr-FR"/>
        </w:rPr>
        <w:t>’</w:t>
      </w:r>
      <w:r w:rsidRPr="005663AD">
        <w:rPr>
          <w:i/>
          <w:iCs/>
          <w:lang w:val="fr-FR"/>
        </w:rPr>
        <w:t>ils ne soient retirés par leurs auteurs, tous les documents initialement soumis pour examen en juin et juillet, à savoir les documents officiels ST/SG/AC.10/C.3/2020/1 à ST/SG/AC.10/C.3/2020/58 et les documents informels connexes, seront automatiquement inscrits à l</w:t>
      </w:r>
      <w:r>
        <w:rPr>
          <w:i/>
          <w:iCs/>
          <w:lang w:val="fr-FR"/>
        </w:rPr>
        <w:t>’</w:t>
      </w:r>
      <w:r w:rsidRPr="005663AD">
        <w:rPr>
          <w:i/>
          <w:iCs/>
          <w:lang w:val="fr-FR"/>
        </w:rPr>
        <w:t>ordre du jour de la session de novembre/décembre.</w:t>
      </w:r>
      <w:r w:rsidRPr="005663AD">
        <w:rPr>
          <w:lang w:val="fr-FR"/>
        </w:rPr>
        <w:t xml:space="preserve"> </w:t>
      </w:r>
      <w:r w:rsidRPr="005663AD">
        <w:rPr>
          <w:i/>
          <w:iCs/>
          <w:lang w:val="fr-FR"/>
        </w:rPr>
        <w:t>Suite aux débats informels en ligne qui se sont tenus en juin et juillet, certaines propositions devront peut-être  faire l</w:t>
      </w:r>
      <w:r>
        <w:rPr>
          <w:i/>
          <w:iCs/>
          <w:lang w:val="fr-FR"/>
        </w:rPr>
        <w:t>’</w:t>
      </w:r>
      <w:r w:rsidRPr="005663AD">
        <w:rPr>
          <w:i/>
          <w:iCs/>
          <w:lang w:val="fr-FR"/>
        </w:rPr>
        <w:t>objet de  modifications pour tenir compte des observations reçues.</w:t>
      </w:r>
      <w:r w:rsidRPr="005663AD">
        <w:rPr>
          <w:lang w:val="fr-FR"/>
        </w:rPr>
        <w:t xml:space="preserve"> </w:t>
      </w:r>
      <w:r w:rsidRPr="005663AD">
        <w:rPr>
          <w:i/>
          <w:iCs/>
          <w:lang w:val="fr-FR"/>
        </w:rPr>
        <w:t>Les auteurs sont invités à soumettre les propositions révisées sous la forme d</w:t>
      </w:r>
      <w:r>
        <w:rPr>
          <w:i/>
          <w:iCs/>
          <w:lang w:val="fr-FR"/>
        </w:rPr>
        <w:t>’</w:t>
      </w:r>
      <w:r w:rsidRPr="005663AD">
        <w:rPr>
          <w:i/>
          <w:iCs/>
          <w:lang w:val="fr-FR"/>
        </w:rPr>
        <w:t>un additif (Add.1) au document original.</w:t>
      </w:r>
      <w:r w:rsidRPr="005663AD">
        <w:rPr>
          <w:lang w:val="fr-FR"/>
        </w:rPr>
        <w:t xml:space="preserve"> </w:t>
      </w:r>
      <w:r w:rsidRPr="005663AD">
        <w:rPr>
          <w:i/>
          <w:iCs/>
          <w:lang w:val="fr-FR"/>
        </w:rPr>
        <w:t>L</w:t>
      </w:r>
      <w:r>
        <w:rPr>
          <w:i/>
          <w:iCs/>
          <w:lang w:val="fr-FR"/>
        </w:rPr>
        <w:t>’</w:t>
      </w:r>
      <w:r w:rsidRPr="005663AD">
        <w:rPr>
          <w:i/>
          <w:iCs/>
          <w:lang w:val="fr-FR"/>
        </w:rPr>
        <w:t>additif ne devrait pas reproduire le contenu du document original, mais se  limiter à présenter quelques informations générales sur la raison d</w:t>
      </w:r>
      <w:r>
        <w:rPr>
          <w:i/>
          <w:iCs/>
          <w:lang w:val="fr-FR"/>
        </w:rPr>
        <w:t>’</w:t>
      </w:r>
      <w:r w:rsidRPr="005663AD">
        <w:rPr>
          <w:i/>
          <w:iCs/>
          <w:lang w:val="fr-FR"/>
        </w:rPr>
        <w:t xml:space="preserve">être des changements proposés, </w:t>
      </w:r>
      <w:r w:rsidRPr="005663AD">
        <w:rPr>
          <w:i/>
          <w:iCs/>
          <w:lang w:val="fr-FR"/>
        </w:rPr>
        <w:lastRenderedPageBreak/>
        <w:t>ainsi que la proposition modifiée.</w:t>
      </w:r>
      <w:r w:rsidRPr="005663AD">
        <w:rPr>
          <w:lang w:val="fr-FR"/>
        </w:rPr>
        <w:t xml:space="preserve"> </w:t>
      </w:r>
      <w:r w:rsidRPr="005663AD">
        <w:rPr>
          <w:i/>
          <w:iCs/>
          <w:lang w:val="fr-FR"/>
        </w:rPr>
        <w:t>Les modifications apportées à la proposition originale devraient être indiquées.</w:t>
      </w:r>
    </w:p>
    <w:p w14:paraId="6706A229" w14:textId="77777777" w:rsidR="005663AD" w:rsidRPr="004E71D4" w:rsidRDefault="005663AD" w:rsidP="004E71D4">
      <w:pPr>
        <w:pStyle w:val="SingleTxtG"/>
        <w:rPr>
          <w:i/>
          <w:iCs/>
        </w:rPr>
      </w:pPr>
      <w:r w:rsidRPr="004E71D4">
        <w:rPr>
          <w:i/>
          <w:iCs/>
          <w:lang w:val="fr-FR"/>
        </w:rPr>
        <w:t>Lorsqu’une révision complète du document original est nécessaire, les auteurs sont invités à soumettre une version révisée récapitulative du document original (Rev.1), ainsi qu’une copie annotée (marked-up) mettant en évidence toutes les modifications apportées à l’original.</w:t>
      </w:r>
    </w:p>
    <w:p w14:paraId="0487FA3B" w14:textId="77777777" w:rsidR="005663AD" w:rsidRPr="005663AD" w:rsidRDefault="005663AD" w:rsidP="005663AD">
      <w:pPr>
        <w:pStyle w:val="SingleTxtG"/>
      </w:pPr>
      <w:r w:rsidRPr="005663AD">
        <w:rPr>
          <w:lang w:val="fr-FR"/>
        </w:rPr>
        <w:t>1.</w:t>
      </w:r>
      <w:r w:rsidRPr="005663AD">
        <w:rPr>
          <w:lang w:val="fr-FR"/>
        </w:rPr>
        <w:tab/>
        <w:t>Adoption de l</w:t>
      </w:r>
      <w:r>
        <w:rPr>
          <w:lang w:val="fr-FR"/>
        </w:rPr>
        <w:t>’</w:t>
      </w:r>
      <w:r w:rsidRPr="005663AD">
        <w:rPr>
          <w:lang w:val="fr-FR"/>
        </w:rPr>
        <w:t>ordre du jour.</w:t>
      </w:r>
    </w:p>
    <w:p w14:paraId="6F975C28" w14:textId="77777777" w:rsidR="005663AD" w:rsidRPr="005663AD" w:rsidRDefault="005663AD" w:rsidP="005663AD">
      <w:pPr>
        <w:pStyle w:val="SingleTxtG"/>
        <w:ind w:left="1701" w:hanging="567"/>
      </w:pPr>
      <w:r w:rsidRPr="005663AD">
        <w:rPr>
          <w:lang w:val="fr-FR"/>
        </w:rPr>
        <w:t>2.</w:t>
      </w:r>
      <w:r w:rsidRPr="005663AD">
        <w:rPr>
          <w:lang w:val="fr-FR"/>
        </w:rPr>
        <w:tab/>
        <w:t>Recommandations du Sous-Comité formulées à ses cinquante-cinquième et cinquante-sixième sessions et questions en suspens</w:t>
      </w:r>
      <w:r>
        <w:rPr>
          <w:lang w:val="fr-FR"/>
        </w:rPr>
        <w:t> :</w:t>
      </w:r>
    </w:p>
    <w:p w14:paraId="1CB7699D" w14:textId="77777777" w:rsidR="005663AD" w:rsidRPr="005663AD" w:rsidRDefault="005663AD" w:rsidP="005663AD">
      <w:pPr>
        <w:pStyle w:val="SingleTxtG"/>
        <w:ind w:left="1710" w:hanging="9"/>
      </w:pPr>
      <w:r w:rsidRPr="005663AD">
        <w:rPr>
          <w:lang w:val="fr-FR"/>
        </w:rPr>
        <w:t>a)</w:t>
      </w:r>
      <w:r w:rsidRPr="005663AD">
        <w:rPr>
          <w:lang w:val="fr-FR"/>
        </w:rPr>
        <w:tab/>
        <w:t>Examen des projets d</w:t>
      </w:r>
      <w:r>
        <w:rPr>
          <w:lang w:val="fr-FR"/>
        </w:rPr>
        <w:t>’</w:t>
      </w:r>
      <w:r w:rsidRPr="005663AD">
        <w:rPr>
          <w:lang w:val="fr-FR"/>
        </w:rPr>
        <w:t>amendements déjà adoptés durant la période biennale;</w:t>
      </w:r>
    </w:p>
    <w:p w14:paraId="435B61E9" w14:textId="77777777" w:rsidR="005663AD" w:rsidRPr="005663AD" w:rsidRDefault="005663AD" w:rsidP="005663AD">
      <w:pPr>
        <w:pStyle w:val="SingleTxtG"/>
        <w:ind w:left="1710" w:hanging="9"/>
      </w:pPr>
      <w:r w:rsidRPr="005663AD">
        <w:rPr>
          <w:lang w:val="fr-FR"/>
        </w:rPr>
        <w:t>b)</w:t>
      </w:r>
      <w:r w:rsidRPr="005663AD">
        <w:rPr>
          <w:lang w:val="fr-FR"/>
        </w:rPr>
        <w:tab/>
        <w:t>Explosifs et questions connexes</w:t>
      </w:r>
      <w:r>
        <w:rPr>
          <w:lang w:val="fr-FR"/>
        </w:rPr>
        <w:t> :</w:t>
      </w:r>
    </w:p>
    <w:p w14:paraId="23C7F220" w14:textId="77777777" w:rsidR="005663AD" w:rsidRPr="005663AD" w:rsidRDefault="005663AD" w:rsidP="005663AD">
      <w:pPr>
        <w:pStyle w:val="SingleTxtG"/>
        <w:ind w:left="2268" w:hanging="9"/>
      </w:pPr>
      <w:r w:rsidRPr="005663AD">
        <w:rPr>
          <w:lang w:val="fr-FR"/>
        </w:rPr>
        <w:t>i)</w:t>
      </w:r>
      <w:r w:rsidRPr="005663AD">
        <w:rPr>
          <w:lang w:val="fr-FR"/>
        </w:rPr>
        <w:tab/>
        <w:t>Examen des épreuves de la série 6</w:t>
      </w:r>
      <w:r>
        <w:rPr>
          <w:lang w:val="fr-FR"/>
        </w:rPr>
        <w:t> ;</w:t>
      </w:r>
    </w:p>
    <w:p w14:paraId="48A07E3B" w14:textId="77777777" w:rsidR="005663AD" w:rsidRPr="005663AD" w:rsidRDefault="005663AD" w:rsidP="005663AD">
      <w:pPr>
        <w:pStyle w:val="SingleTxtG"/>
        <w:ind w:left="2268" w:hanging="9"/>
      </w:pPr>
      <w:r w:rsidRPr="005663AD">
        <w:rPr>
          <w:lang w:val="fr-FR"/>
        </w:rPr>
        <w:t>ii)</w:t>
      </w:r>
      <w:r w:rsidRPr="005663AD">
        <w:rPr>
          <w:lang w:val="fr-FR"/>
        </w:rPr>
        <w:tab/>
        <w:t>Amélioration des  épreuves de la série 8</w:t>
      </w:r>
      <w:r>
        <w:rPr>
          <w:lang w:val="fr-FR"/>
        </w:rPr>
        <w:t> ;</w:t>
      </w:r>
    </w:p>
    <w:p w14:paraId="501777A6" w14:textId="77777777" w:rsidR="005663AD" w:rsidRPr="005663AD" w:rsidRDefault="005663AD" w:rsidP="005663AD">
      <w:pPr>
        <w:pStyle w:val="SingleTxtG"/>
        <w:ind w:left="2835" w:hanging="576"/>
      </w:pPr>
      <w:r w:rsidRPr="005663AD">
        <w:rPr>
          <w:lang w:val="fr-FR"/>
        </w:rPr>
        <w:t>iii)</w:t>
      </w:r>
      <w:r w:rsidRPr="005663AD">
        <w:rPr>
          <w:lang w:val="fr-FR"/>
        </w:rPr>
        <w:tab/>
        <w:t>Révision des épreuves des parties I, II et III du Manuel d</w:t>
      </w:r>
      <w:r>
        <w:rPr>
          <w:lang w:val="fr-FR"/>
        </w:rPr>
        <w:t>’</w:t>
      </w:r>
      <w:r w:rsidRPr="005663AD">
        <w:rPr>
          <w:lang w:val="fr-FR"/>
        </w:rPr>
        <w:t>épreuves et de critères</w:t>
      </w:r>
      <w:r>
        <w:rPr>
          <w:lang w:val="fr-FR"/>
        </w:rPr>
        <w:t> ;</w:t>
      </w:r>
    </w:p>
    <w:p w14:paraId="2F55E975" w14:textId="77777777" w:rsidR="005663AD" w:rsidRPr="005663AD" w:rsidRDefault="005663AD" w:rsidP="005663AD">
      <w:pPr>
        <w:pStyle w:val="SingleTxtG"/>
        <w:ind w:left="2268" w:hanging="9"/>
      </w:pPr>
      <w:r w:rsidRPr="005663AD">
        <w:rPr>
          <w:lang w:val="fr-FR"/>
        </w:rPr>
        <w:t>iv)</w:t>
      </w:r>
      <w:r w:rsidRPr="005663AD">
        <w:rPr>
          <w:lang w:val="fr-FR"/>
        </w:rPr>
        <w:tab/>
        <w:t>Détonateurs normalisés «</w:t>
      </w:r>
      <w:r w:rsidR="004E71D4">
        <w:rPr>
          <w:lang w:val="fr-FR"/>
        </w:rPr>
        <w:t> </w:t>
      </w:r>
      <w:r w:rsidRPr="005663AD">
        <w:rPr>
          <w:lang w:val="fr-FR"/>
        </w:rPr>
        <w:t>UN</w:t>
      </w:r>
      <w:r w:rsidR="004E71D4">
        <w:rPr>
          <w:lang w:val="fr-FR"/>
        </w:rPr>
        <w:t> </w:t>
      </w:r>
      <w:r w:rsidRPr="005663AD">
        <w:rPr>
          <w:lang w:val="fr-FR"/>
        </w:rPr>
        <w:t>»</w:t>
      </w:r>
      <w:r>
        <w:rPr>
          <w:lang w:val="fr-FR"/>
        </w:rPr>
        <w:t> ;</w:t>
      </w:r>
    </w:p>
    <w:p w14:paraId="0DE9F24B" w14:textId="77777777" w:rsidR="005663AD" w:rsidRPr="005663AD" w:rsidRDefault="005663AD" w:rsidP="005663AD">
      <w:pPr>
        <w:pStyle w:val="SingleTxtG"/>
        <w:ind w:left="2268" w:hanging="9"/>
      </w:pPr>
      <w:r w:rsidRPr="005663AD">
        <w:rPr>
          <w:lang w:val="fr-FR"/>
        </w:rPr>
        <w:t>v)</w:t>
      </w:r>
      <w:r w:rsidRPr="005663AD">
        <w:rPr>
          <w:lang w:val="fr-FR"/>
        </w:rPr>
        <w:tab/>
        <w:t>Révision des instructions d</w:t>
      </w:r>
      <w:r>
        <w:rPr>
          <w:lang w:val="fr-FR"/>
        </w:rPr>
        <w:t>’</w:t>
      </w:r>
      <w:r w:rsidRPr="005663AD">
        <w:rPr>
          <w:lang w:val="fr-FR"/>
        </w:rPr>
        <w:t>emballage relatives aux explosifs</w:t>
      </w:r>
      <w:r>
        <w:rPr>
          <w:lang w:val="fr-FR"/>
        </w:rPr>
        <w:t> ;</w:t>
      </w:r>
    </w:p>
    <w:p w14:paraId="6300D0FB" w14:textId="77777777" w:rsidR="005663AD" w:rsidRPr="005663AD" w:rsidRDefault="005663AD" w:rsidP="005663AD">
      <w:pPr>
        <w:pStyle w:val="SingleTxtG"/>
        <w:ind w:left="2835" w:hanging="576"/>
      </w:pPr>
      <w:r w:rsidRPr="005663AD">
        <w:rPr>
          <w:lang w:val="fr-FR"/>
        </w:rPr>
        <w:t>vi)</w:t>
      </w:r>
      <w:r w:rsidRPr="005663AD">
        <w:rPr>
          <w:lang w:val="fr-FR"/>
        </w:rPr>
        <w:tab/>
        <w:t>Application des dispositions relatives à la sûreté aux explosifs relevant de rubriques n.s.a</w:t>
      </w:r>
      <w:r>
        <w:rPr>
          <w:lang w:val="fr-FR"/>
        </w:rPr>
        <w:t> ;</w:t>
      </w:r>
    </w:p>
    <w:p w14:paraId="315E0DB1" w14:textId="77777777" w:rsidR="005663AD" w:rsidRPr="005663AD" w:rsidRDefault="005663AD" w:rsidP="005663AD">
      <w:pPr>
        <w:pStyle w:val="SingleTxtG"/>
        <w:ind w:left="2268" w:hanging="9"/>
      </w:pPr>
      <w:r w:rsidRPr="005663AD">
        <w:rPr>
          <w:lang w:val="fr-FR"/>
        </w:rPr>
        <w:t>vii)</w:t>
      </w:r>
      <w:r w:rsidRPr="005663AD">
        <w:rPr>
          <w:lang w:val="fr-FR"/>
        </w:rPr>
        <w:tab/>
        <w:t>Épreuve N.1 pour les matières solides facilement inflammables</w:t>
      </w:r>
      <w:r>
        <w:rPr>
          <w:lang w:val="fr-FR"/>
        </w:rPr>
        <w:t> ;</w:t>
      </w:r>
    </w:p>
    <w:p w14:paraId="00401759" w14:textId="77777777" w:rsidR="005663AD" w:rsidRPr="005663AD" w:rsidRDefault="005663AD" w:rsidP="005663AD">
      <w:pPr>
        <w:pStyle w:val="SingleTxtG"/>
        <w:ind w:left="2268" w:hanging="9"/>
      </w:pPr>
      <w:r w:rsidRPr="005663AD">
        <w:rPr>
          <w:lang w:val="fr-FR"/>
        </w:rPr>
        <w:t>viii)</w:t>
      </w:r>
      <w:r w:rsidRPr="005663AD">
        <w:rPr>
          <w:lang w:val="fr-FR"/>
        </w:rPr>
        <w:tab/>
        <w:t>Révision du chapitre 2.1 du SGH</w:t>
      </w:r>
      <w:r>
        <w:rPr>
          <w:lang w:val="fr-FR"/>
        </w:rPr>
        <w:t> ;</w:t>
      </w:r>
    </w:p>
    <w:p w14:paraId="35CC4EDB" w14:textId="77777777" w:rsidR="005663AD" w:rsidRPr="005663AD" w:rsidRDefault="005663AD" w:rsidP="005663AD">
      <w:pPr>
        <w:pStyle w:val="SingleTxtG"/>
        <w:ind w:left="2268" w:hanging="9"/>
      </w:pPr>
      <w:r w:rsidRPr="005663AD">
        <w:rPr>
          <w:lang w:val="fr-FR"/>
        </w:rPr>
        <w:t>ix)</w:t>
      </w:r>
      <w:r w:rsidRPr="005663AD">
        <w:rPr>
          <w:lang w:val="fr-FR"/>
        </w:rPr>
        <w:tab/>
        <w:t>Échantillons énergétiques</w:t>
      </w:r>
      <w:r>
        <w:rPr>
          <w:lang w:val="fr-FR"/>
        </w:rPr>
        <w:t> ;</w:t>
      </w:r>
      <w:r w:rsidRPr="005663AD">
        <w:rPr>
          <w:lang w:val="fr-FR"/>
        </w:rPr>
        <w:t xml:space="preserve"> </w:t>
      </w:r>
    </w:p>
    <w:p w14:paraId="79F9F0C3" w14:textId="77777777" w:rsidR="005663AD" w:rsidRPr="005663AD" w:rsidRDefault="005663AD" w:rsidP="005663AD">
      <w:pPr>
        <w:pStyle w:val="SingleTxtG"/>
        <w:ind w:left="2268" w:hanging="9"/>
      </w:pPr>
      <w:r w:rsidRPr="005663AD">
        <w:rPr>
          <w:lang w:val="fr-FR"/>
        </w:rPr>
        <w:t>x)</w:t>
      </w:r>
      <w:r w:rsidRPr="005663AD">
        <w:rPr>
          <w:lang w:val="fr-FR"/>
        </w:rPr>
        <w:tab/>
        <w:t>Questions liées à la définition des explosifs</w:t>
      </w:r>
      <w:r>
        <w:rPr>
          <w:lang w:val="fr-FR"/>
        </w:rPr>
        <w:t> ;</w:t>
      </w:r>
      <w:r w:rsidRPr="005663AD">
        <w:rPr>
          <w:lang w:val="fr-FR"/>
        </w:rPr>
        <w:t xml:space="preserve"> </w:t>
      </w:r>
    </w:p>
    <w:p w14:paraId="049662D4" w14:textId="77777777" w:rsidR="005663AD" w:rsidRPr="005663AD" w:rsidRDefault="005663AD" w:rsidP="005663AD">
      <w:pPr>
        <w:pStyle w:val="SingleTxtG"/>
        <w:ind w:left="2835" w:hanging="576"/>
      </w:pPr>
      <w:r w:rsidRPr="005663AD">
        <w:rPr>
          <w:lang w:val="fr-FR"/>
        </w:rPr>
        <w:t>xi)</w:t>
      </w:r>
      <w:r w:rsidRPr="005663AD">
        <w:rPr>
          <w:lang w:val="fr-FR"/>
        </w:rPr>
        <w:tab/>
        <w:t>Examen des prescriptions en matière d</w:t>
      </w:r>
      <w:r>
        <w:rPr>
          <w:lang w:val="fr-FR"/>
        </w:rPr>
        <w:t>’</w:t>
      </w:r>
      <w:r w:rsidRPr="005663AD">
        <w:rPr>
          <w:lang w:val="fr-FR"/>
        </w:rPr>
        <w:t>emballage et de transport pour les ENA</w:t>
      </w:r>
      <w:r>
        <w:rPr>
          <w:lang w:val="fr-FR"/>
        </w:rPr>
        <w:t> ;</w:t>
      </w:r>
    </w:p>
    <w:p w14:paraId="185A0768" w14:textId="77777777" w:rsidR="005663AD" w:rsidRPr="005663AD" w:rsidRDefault="005663AD" w:rsidP="005663AD">
      <w:pPr>
        <w:pStyle w:val="SingleTxtG"/>
        <w:ind w:left="2268" w:hanging="9"/>
      </w:pPr>
      <w:r w:rsidRPr="005663AD">
        <w:rPr>
          <w:lang w:val="fr-FR"/>
        </w:rPr>
        <w:t>xii)</w:t>
      </w:r>
      <w:r w:rsidRPr="005663AD">
        <w:rPr>
          <w:lang w:val="fr-FR"/>
        </w:rPr>
        <w:tab/>
        <w:t>Autres questions.</w:t>
      </w:r>
    </w:p>
    <w:p w14:paraId="50DAD096" w14:textId="77777777" w:rsidR="005663AD" w:rsidRPr="005663AD" w:rsidRDefault="005663AD" w:rsidP="005663AD">
      <w:pPr>
        <w:pStyle w:val="SingleTxtG"/>
        <w:ind w:left="1710" w:hanging="9"/>
      </w:pPr>
      <w:r w:rsidRPr="005663AD">
        <w:rPr>
          <w:lang w:val="fr-FR"/>
        </w:rPr>
        <w:t>Il est prévu qu</w:t>
      </w:r>
      <w:r>
        <w:rPr>
          <w:lang w:val="fr-FR"/>
        </w:rPr>
        <w:t>’</w:t>
      </w:r>
      <w:r w:rsidRPr="005663AD">
        <w:rPr>
          <w:lang w:val="fr-FR"/>
        </w:rPr>
        <w:t>après un examen préliminaire en plénière, la plupart des questions relatives au point</w:t>
      </w:r>
      <w:r>
        <w:rPr>
          <w:lang w:val="fr-FR"/>
        </w:rPr>
        <w:t> </w:t>
      </w:r>
      <w:r w:rsidRPr="005663AD">
        <w:rPr>
          <w:lang w:val="fr-FR"/>
        </w:rPr>
        <w:t>b) ci-dessus soient confiées  au Groupe de travail des explosifs, qui se réunira en parallèle. À sa cinquantième session, le Sous-Comité a considéré que la participation d</w:t>
      </w:r>
      <w:r>
        <w:rPr>
          <w:lang w:val="fr-FR"/>
        </w:rPr>
        <w:t>’</w:t>
      </w:r>
      <w:r w:rsidRPr="005663AD">
        <w:rPr>
          <w:lang w:val="fr-FR"/>
        </w:rPr>
        <w:t>experts représentant des secteurs autres que le transport aux travaux du Groupe de travail  des explosifs était très souhaitable et a exprimé le souhait que davantage d</w:t>
      </w:r>
      <w:r>
        <w:rPr>
          <w:lang w:val="fr-FR"/>
        </w:rPr>
        <w:t>’</w:t>
      </w:r>
      <w:r w:rsidRPr="005663AD">
        <w:rPr>
          <w:lang w:val="fr-FR"/>
        </w:rPr>
        <w:t>experts d</w:t>
      </w:r>
      <w:r>
        <w:rPr>
          <w:lang w:val="fr-FR"/>
        </w:rPr>
        <w:t>’</w:t>
      </w:r>
      <w:r w:rsidRPr="005663AD">
        <w:rPr>
          <w:lang w:val="fr-FR"/>
        </w:rPr>
        <w:t>autres secteurs participent à ses sessions</w:t>
      </w:r>
      <w:r w:rsidRPr="005663AD">
        <w:rPr>
          <w:rStyle w:val="FootnoteReference"/>
        </w:rPr>
        <w:footnoteReference w:id="5"/>
      </w:r>
      <w:r w:rsidRPr="005663AD">
        <w:rPr>
          <w:lang w:val="fr-FR"/>
        </w:rPr>
        <w:t>.</w:t>
      </w:r>
    </w:p>
    <w:p w14:paraId="7580DFFC" w14:textId="77777777" w:rsidR="005663AD" w:rsidRPr="005663AD" w:rsidRDefault="005663AD" w:rsidP="005663AD">
      <w:pPr>
        <w:pStyle w:val="SingleTxtG"/>
      </w:pPr>
      <w:r w:rsidRPr="005663AD">
        <w:rPr>
          <w:lang w:val="fr-FR"/>
        </w:rPr>
        <w:t>3.</w:t>
      </w:r>
      <w:r w:rsidRPr="005663AD">
        <w:rPr>
          <w:lang w:val="fr-FR"/>
        </w:rPr>
        <w:tab/>
        <w:t>Inscription, classement et emballage.</w:t>
      </w:r>
    </w:p>
    <w:p w14:paraId="6C1DAA0D" w14:textId="77777777" w:rsidR="005663AD" w:rsidRPr="005663AD" w:rsidRDefault="005663AD" w:rsidP="005663AD">
      <w:pPr>
        <w:pStyle w:val="SingleTxtG"/>
        <w:tabs>
          <w:tab w:val="left" w:pos="1701"/>
          <w:tab w:val="left" w:pos="2268"/>
        </w:tabs>
        <w:spacing w:after="0" w:line="360" w:lineRule="auto"/>
      </w:pPr>
      <w:r w:rsidRPr="005663AD">
        <w:rPr>
          <w:lang w:val="fr-FR"/>
        </w:rPr>
        <w:t>4.</w:t>
      </w:r>
      <w:r w:rsidRPr="005663AD">
        <w:rPr>
          <w:lang w:val="fr-FR"/>
        </w:rPr>
        <w:tab/>
        <w:t>Systèmes de stockage de l</w:t>
      </w:r>
      <w:r>
        <w:rPr>
          <w:lang w:val="fr-FR"/>
        </w:rPr>
        <w:t>’</w:t>
      </w:r>
      <w:r w:rsidRPr="005663AD">
        <w:rPr>
          <w:lang w:val="fr-FR"/>
        </w:rPr>
        <w:t>électricité</w:t>
      </w:r>
      <w:r>
        <w:rPr>
          <w:lang w:val="fr-FR"/>
        </w:rPr>
        <w:t> :</w:t>
      </w:r>
    </w:p>
    <w:p w14:paraId="491196F4" w14:textId="77777777" w:rsidR="005663AD" w:rsidRPr="005663AD" w:rsidRDefault="005663AD" w:rsidP="005663AD">
      <w:pPr>
        <w:pStyle w:val="SingleTxtG"/>
        <w:ind w:left="1710" w:hanging="9"/>
      </w:pPr>
      <w:r w:rsidRPr="005663AD">
        <w:rPr>
          <w:lang w:val="fr-FR"/>
        </w:rPr>
        <w:t>a)</w:t>
      </w:r>
      <w:r w:rsidRPr="005663AD">
        <w:rPr>
          <w:lang w:val="fr-FR"/>
        </w:rPr>
        <w:tab/>
        <w:t>Épreuves pour les batteries au lithium</w:t>
      </w:r>
      <w:r>
        <w:rPr>
          <w:lang w:val="fr-FR"/>
        </w:rPr>
        <w:t> ;</w:t>
      </w:r>
    </w:p>
    <w:p w14:paraId="42D8ED93" w14:textId="77777777" w:rsidR="005663AD" w:rsidRPr="005663AD" w:rsidRDefault="005663AD" w:rsidP="005663AD">
      <w:pPr>
        <w:pStyle w:val="SingleTxtG"/>
        <w:ind w:left="1710" w:hanging="9"/>
      </w:pPr>
      <w:r w:rsidRPr="005663AD">
        <w:rPr>
          <w:lang w:val="fr-FR"/>
        </w:rPr>
        <w:t>b)</w:t>
      </w:r>
      <w:r w:rsidRPr="005663AD">
        <w:rPr>
          <w:lang w:val="fr-FR"/>
        </w:rPr>
        <w:tab/>
        <w:t>Système de classification des batteries au lithium en fonction du danger</w:t>
      </w:r>
      <w:r>
        <w:rPr>
          <w:lang w:val="fr-FR"/>
        </w:rPr>
        <w:t> ;</w:t>
      </w:r>
    </w:p>
    <w:p w14:paraId="171EFF90" w14:textId="77777777" w:rsidR="005663AD" w:rsidRPr="005663AD" w:rsidRDefault="005663AD" w:rsidP="005663AD">
      <w:pPr>
        <w:pStyle w:val="SingleTxtG"/>
        <w:ind w:left="1710" w:hanging="9"/>
      </w:pPr>
      <w:r w:rsidRPr="005663AD">
        <w:rPr>
          <w:lang w:val="fr-FR"/>
        </w:rPr>
        <w:t>c)</w:t>
      </w:r>
      <w:r w:rsidRPr="005663AD">
        <w:rPr>
          <w:lang w:val="fr-FR"/>
        </w:rPr>
        <w:tab/>
        <w:t>Dispositions relatives au transport</w:t>
      </w:r>
      <w:r>
        <w:rPr>
          <w:lang w:val="fr-FR"/>
        </w:rPr>
        <w:t> ;</w:t>
      </w:r>
    </w:p>
    <w:p w14:paraId="1B3F0504" w14:textId="77777777" w:rsidR="005663AD" w:rsidRPr="005663AD" w:rsidRDefault="005663AD" w:rsidP="005663AD">
      <w:pPr>
        <w:pStyle w:val="SingleTxtG"/>
        <w:ind w:left="1710" w:hanging="9"/>
      </w:pPr>
      <w:r w:rsidRPr="005663AD">
        <w:rPr>
          <w:lang w:val="fr-FR"/>
        </w:rPr>
        <w:t>d)</w:t>
      </w:r>
      <w:r w:rsidRPr="005663AD">
        <w:rPr>
          <w:lang w:val="fr-FR"/>
        </w:rPr>
        <w:tab/>
        <w:t>Batteries au lithium endommagées ou défectueuses</w:t>
      </w:r>
      <w:r>
        <w:rPr>
          <w:lang w:val="fr-FR"/>
        </w:rPr>
        <w:t> ;</w:t>
      </w:r>
    </w:p>
    <w:p w14:paraId="5BB02BCA" w14:textId="77777777" w:rsidR="005663AD" w:rsidRPr="005663AD" w:rsidRDefault="005663AD" w:rsidP="005663AD">
      <w:pPr>
        <w:pStyle w:val="SingleTxtG"/>
        <w:ind w:left="1710" w:hanging="9"/>
      </w:pPr>
      <w:r w:rsidRPr="005663AD">
        <w:rPr>
          <w:lang w:val="fr-FR"/>
        </w:rPr>
        <w:t>e)</w:t>
      </w:r>
      <w:r w:rsidRPr="005663AD">
        <w:rPr>
          <w:lang w:val="fr-FR"/>
        </w:rPr>
        <w:tab/>
        <w:t>Batteries au sodium-ion</w:t>
      </w:r>
      <w:r>
        <w:rPr>
          <w:lang w:val="fr-FR"/>
        </w:rPr>
        <w:t> ;</w:t>
      </w:r>
    </w:p>
    <w:p w14:paraId="108CCD36" w14:textId="77777777" w:rsidR="005663AD" w:rsidRPr="005663AD" w:rsidRDefault="005663AD" w:rsidP="005663AD">
      <w:pPr>
        <w:pStyle w:val="SingleTxtG"/>
        <w:ind w:left="1710" w:hanging="9"/>
      </w:pPr>
      <w:r w:rsidRPr="005663AD">
        <w:rPr>
          <w:lang w:val="fr-FR"/>
        </w:rPr>
        <w:t>f)</w:t>
      </w:r>
      <w:r w:rsidRPr="005663AD">
        <w:rPr>
          <w:lang w:val="fr-FR"/>
        </w:rPr>
        <w:tab/>
        <w:t>Autres questions.</w:t>
      </w:r>
    </w:p>
    <w:p w14:paraId="04A94885" w14:textId="77777777" w:rsidR="005663AD" w:rsidRPr="005663AD" w:rsidRDefault="005663AD" w:rsidP="005663AD">
      <w:pPr>
        <w:pStyle w:val="SingleTxtG"/>
      </w:pPr>
      <w:r w:rsidRPr="005663AD">
        <w:rPr>
          <w:lang w:val="fr-FR"/>
        </w:rPr>
        <w:t>5.</w:t>
      </w:r>
      <w:r w:rsidRPr="005663AD">
        <w:rPr>
          <w:lang w:val="fr-FR"/>
        </w:rPr>
        <w:tab/>
        <w:t xml:space="preserve">Transport de gaz </w:t>
      </w:r>
      <w:r>
        <w:rPr>
          <w:lang w:val="fr-FR"/>
        </w:rPr>
        <w:t> :</w:t>
      </w:r>
    </w:p>
    <w:p w14:paraId="6D4FB6C2" w14:textId="77777777" w:rsidR="005663AD" w:rsidRPr="005663AD" w:rsidRDefault="005663AD" w:rsidP="005663AD">
      <w:pPr>
        <w:pStyle w:val="SingleTxtG"/>
        <w:ind w:left="1710" w:hanging="9"/>
      </w:pPr>
      <w:r w:rsidRPr="005663AD">
        <w:rPr>
          <w:lang w:val="fr-FR"/>
        </w:rPr>
        <w:t>a)</w:t>
      </w:r>
      <w:r w:rsidRPr="005663AD">
        <w:rPr>
          <w:lang w:val="fr-FR"/>
        </w:rPr>
        <w:tab/>
        <w:t>Reconnaissance universelle des récipients à pression ONU et non ONU</w:t>
      </w:r>
      <w:r>
        <w:rPr>
          <w:lang w:val="fr-FR"/>
        </w:rPr>
        <w:t> ;</w:t>
      </w:r>
    </w:p>
    <w:p w14:paraId="26232345" w14:textId="77777777" w:rsidR="005663AD" w:rsidRPr="005663AD" w:rsidRDefault="005663AD" w:rsidP="005663AD">
      <w:pPr>
        <w:pStyle w:val="SingleTxtG"/>
        <w:ind w:left="1710" w:hanging="9"/>
      </w:pPr>
      <w:r w:rsidRPr="005663AD">
        <w:rPr>
          <w:lang w:val="fr-FR"/>
        </w:rPr>
        <w:lastRenderedPageBreak/>
        <w:t>b)</w:t>
      </w:r>
      <w:r w:rsidRPr="005663AD">
        <w:rPr>
          <w:lang w:val="fr-FR"/>
        </w:rPr>
        <w:tab/>
        <w:t>Autres questions.</w:t>
      </w:r>
    </w:p>
    <w:p w14:paraId="2D0CCC09" w14:textId="77777777" w:rsidR="005663AD" w:rsidRPr="005663AD" w:rsidRDefault="005663AD" w:rsidP="005663AD">
      <w:pPr>
        <w:pStyle w:val="SingleTxtG"/>
        <w:keepNext/>
        <w:keepLines/>
        <w:ind w:left="1701" w:hanging="567"/>
      </w:pPr>
      <w:r w:rsidRPr="005663AD">
        <w:rPr>
          <w:lang w:val="fr-FR"/>
        </w:rPr>
        <w:t>6.</w:t>
      </w:r>
      <w:r w:rsidRPr="005663AD">
        <w:rPr>
          <w:lang w:val="fr-FR"/>
        </w:rPr>
        <w:tab/>
        <w:t>Propositions diverses d</w:t>
      </w:r>
      <w:r>
        <w:rPr>
          <w:lang w:val="fr-FR"/>
        </w:rPr>
        <w:t>’</w:t>
      </w:r>
      <w:r w:rsidRPr="005663AD">
        <w:rPr>
          <w:lang w:val="fr-FR"/>
        </w:rPr>
        <w:t xml:space="preserve">amendements au Règlement type pour le transport des marchandises dangereuses </w:t>
      </w:r>
      <w:r>
        <w:rPr>
          <w:lang w:val="fr-FR"/>
        </w:rPr>
        <w:t> :</w:t>
      </w:r>
    </w:p>
    <w:p w14:paraId="5EFC3110" w14:textId="77777777" w:rsidR="005663AD" w:rsidRPr="005663AD" w:rsidRDefault="005663AD" w:rsidP="005663AD">
      <w:pPr>
        <w:pStyle w:val="SingleTxtG"/>
        <w:keepNext/>
        <w:keepLines/>
        <w:ind w:left="1710" w:hanging="9"/>
      </w:pPr>
      <w:r w:rsidRPr="005663AD">
        <w:rPr>
          <w:lang w:val="fr-FR"/>
        </w:rPr>
        <w:t>a)</w:t>
      </w:r>
      <w:r w:rsidRPr="005663AD">
        <w:rPr>
          <w:lang w:val="fr-FR"/>
        </w:rPr>
        <w:tab/>
        <w:t>Marquage et étiquetage</w:t>
      </w:r>
      <w:r>
        <w:rPr>
          <w:lang w:val="fr-FR"/>
        </w:rPr>
        <w:t> ;</w:t>
      </w:r>
    </w:p>
    <w:p w14:paraId="0BF30AB5" w14:textId="77777777" w:rsidR="005663AD" w:rsidRPr="005663AD" w:rsidRDefault="005663AD" w:rsidP="005663AD">
      <w:pPr>
        <w:pStyle w:val="SingleTxtG"/>
        <w:ind w:left="1710" w:hanging="9"/>
      </w:pPr>
      <w:r w:rsidRPr="005663AD">
        <w:rPr>
          <w:lang w:val="fr-FR"/>
        </w:rPr>
        <w:t>b)</w:t>
      </w:r>
      <w:r w:rsidRPr="005663AD">
        <w:rPr>
          <w:lang w:val="fr-FR"/>
        </w:rPr>
        <w:tab/>
        <w:t>Emballages</w:t>
      </w:r>
      <w:r>
        <w:rPr>
          <w:lang w:val="fr-FR"/>
        </w:rPr>
        <w:t> ;</w:t>
      </w:r>
    </w:p>
    <w:p w14:paraId="05EE77B5" w14:textId="77777777" w:rsidR="005663AD" w:rsidRPr="005663AD" w:rsidRDefault="005663AD" w:rsidP="005663AD">
      <w:pPr>
        <w:pStyle w:val="SingleTxtG"/>
        <w:ind w:left="1710" w:hanging="9"/>
      </w:pPr>
      <w:r w:rsidRPr="005663AD">
        <w:rPr>
          <w:lang w:val="fr-FR"/>
        </w:rPr>
        <w:t>c)</w:t>
      </w:r>
      <w:r w:rsidRPr="005663AD">
        <w:rPr>
          <w:lang w:val="fr-FR"/>
        </w:rPr>
        <w:tab/>
        <w:t>Citernes mobiles en matière plastique renforcée de fibres</w:t>
      </w:r>
      <w:r>
        <w:rPr>
          <w:lang w:val="fr-FR"/>
        </w:rPr>
        <w:t> ;</w:t>
      </w:r>
    </w:p>
    <w:p w14:paraId="287305D7" w14:textId="77777777" w:rsidR="005663AD" w:rsidRPr="005663AD" w:rsidRDefault="005663AD" w:rsidP="004D7C47">
      <w:pPr>
        <w:pStyle w:val="SingleTxtG"/>
        <w:ind w:left="2268" w:hanging="567"/>
      </w:pPr>
      <w:r w:rsidRPr="005663AD">
        <w:rPr>
          <w:lang w:val="fr-FR"/>
        </w:rPr>
        <w:t>d)</w:t>
      </w:r>
      <w:r w:rsidRPr="005663AD">
        <w:rPr>
          <w:lang w:val="fr-FR"/>
        </w:rPr>
        <w:tab/>
        <w:t>Citernes mobiles (autres que les citernes mobiles en matière plastique renforcée de fibres)</w:t>
      </w:r>
      <w:r>
        <w:rPr>
          <w:lang w:val="fr-FR"/>
        </w:rPr>
        <w:t> ;</w:t>
      </w:r>
    </w:p>
    <w:p w14:paraId="5FB3CD97" w14:textId="77777777" w:rsidR="005663AD" w:rsidRPr="005663AD" w:rsidRDefault="005663AD" w:rsidP="005663AD">
      <w:pPr>
        <w:pStyle w:val="SingleTxtG"/>
        <w:ind w:left="1710" w:hanging="9"/>
      </w:pPr>
      <w:r w:rsidRPr="005663AD">
        <w:rPr>
          <w:lang w:val="fr-FR"/>
        </w:rPr>
        <w:t>e)</w:t>
      </w:r>
      <w:r w:rsidRPr="005663AD">
        <w:rPr>
          <w:lang w:val="fr-FR"/>
        </w:rPr>
        <w:tab/>
        <w:t>Autres propositions diverses.</w:t>
      </w:r>
    </w:p>
    <w:p w14:paraId="0FE2F472" w14:textId="77777777" w:rsidR="005663AD" w:rsidRPr="005663AD" w:rsidRDefault="005663AD" w:rsidP="005663AD">
      <w:pPr>
        <w:pStyle w:val="SingleTxtG"/>
        <w:ind w:left="1701" w:hanging="567"/>
      </w:pPr>
      <w:r w:rsidRPr="005663AD">
        <w:rPr>
          <w:lang w:val="fr-FR"/>
        </w:rPr>
        <w:t>7.</w:t>
      </w:r>
      <w:r w:rsidRPr="005663AD">
        <w:rPr>
          <w:lang w:val="fr-FR"/>
        </w:rPr>
        <w:tab/>
        <w:t>Harmonisation générale des règlements relatifs au transport des marchandises dangereuses avec le Règlement type.</w:t>
      </w:r>
    </w:p>
    <w:p w14:paraId="10C8840C" w14:textId="77777777" w:rsidR="005663AD" w:rsidRPr="005663AD" w:rsidRDefault="005663AD" w:rsidP="005663AD">
      <w:pPr>
        <w:pStyle w:val="SingleTxtG"/>
        <w:tabs>
          <w:tab w:val="left" w:pos="1701"/>
          <w:tab w:val="left" w:pos="2268"/>
        </w:tabs>
        <w:spacing w:line="360" w:lineRule="auto"/>
        <w:jc w:val="left"/>
      </w:pPr>
      <w:r w:rsidRPr="005663AD">
        <w:rPr>
          <w:lang w:val="fr-FR"/>
        </w:rPr>
        <w:t>8.</w:t>
      </w:r>
      <w:r w:rsidRPr="005663AD">
        <w:rPr>
          <w:lang w:val="fr-FR"/>
        </w:rPr>
        <w:tab/>
        <w:t>Coopération avec l</w:t>
      </w:r>
      <w:r>
        <w:rPr>
          <w:lang w:val="fr-FR"/>
        </w:rPr>
        <w:t>’</w:t>
      </w:r>
      <w:r w:rsidRPr="005663AD">
        <w:rPr>
          <w:lang w:val="fr-FR"/>
        </w:rPr>
        <w:t>Agence internationale de l</w:t>
      </w:r>
      <w:r>
        <w:rPr>
          <w:lang w:val="fr-FR"/>
        </w:rPr>
        <w:t>’</w:t>
      </w:r>
      <w:r w:rsidRPr="005663AD">
        <w:rPr>
          <w:lang w:val="fr-FR"/>
        </w:rPr>
        <w:t>énergie atomique.</w:t>
      </w:r>
    </w:p>
    <w:p w14:paraId="777E7089" w14:textId="77777777" w:rsidR="005663AD" w:rsidRPr="005663AD" w:rsidRDefault="005663AD" w:rsidP="005663AD">
      <w:pPr>
        <w:pStyle w:val="SingleTxtG"/>
        <w:tabs>
          <w:tab w:val="left" w:pos="1701"/>
          <w:tab w:val="left" w:pos="2268"/>
        </w:tabs>
        <w:spacing w:line="360" w:lineRule="auto"/>
        <w:jc w:val="left"/>
      </w:pPr>
      <w:r w:rsidRPr="005663AD">
        <w:rPr>
          <w:lang w:val="fr-FR"/>
        </w:rPr>
        <w:t>9.</w:t>
      </w:r>
      <w:r w:rsidRPr="005663AD">
        <w:rPr>
          <w:lang w:val="fr-FR"/>
        </w:rPr>
        <w:tab/>
        <w:t>Principes directeurs du Règlement type.</w:t>
      </w:r>
    </w:p>
    <w:p w14:paraId="48B0301B" w14:textId="77777777" w:rsidR="005663AD" w:rsidRPr="005663AD" w:rsidRDefault="005663AD" w:rsidP="005663AD">
      <w:pPr>
        <w:pStyle w:val="SingleTxtG"/>
        <w:tabs>
          <w:tab w:val="left" w:pos="1701"/>
          <w:tab w:val="left" w:pos="2268"/>
        </w:tabs>
        <w:spacing w:line="360" w:lineRule="auto"/>
        <w:jc w:val="left"/>
      </w:pPr>
      <w:r w:rsidRPr="005663AD">
        <w:rPr>
          <w:lang w:val="fr-FR"/>
        </w:rPr>
        <w:t>10.</w:t>
      </w:r>
      <w:r w:rsidRPr="005663AD">
        <w:rPr>
          <w:lang w:val="fr-FR"/>
        </w:rPr>
        <w:tab/>
        <w:t>Nouvelles propositions</w:t>
      </w:r>
      <w:r w:rsidRPr="005663AD">
        <w:rPr>
          <w:rStyle w:val="FootnoteReference"/>
        </w:rPr>
        <w:footnoteReference w:id="6"/>
      </w:r>
      <w:r w:rsidRPr="005663AD">
        <w:rPr>
          <w:lang w:val="fr-FR"/>
        </w:rPr>
        <w:t>.</w:t>
      </w:r>
    </w:p>
    <w:p w14:paraId="2A324ADC" w14:textId="77777777" w:rsidR="005663AD" w:rsidRPr="005663AD" w:rsidRDefault="005663AD" w:rsidP="005663AD">
      <w:pPr>
        <w:pStyle w:val="SingleTxtG"/>
        <w:ind w:left="1701" w:hanging="567"/>
      </w:pPr>
      <w:r w:rsidRPr="005663AD">
        <w:rPr>
          <w:lang w:val="fr-FR"/>
        </w:rPr>
        <w:t>11.</w:t>
      </w:r>
      <w:r w:rsidRPr="005663AD">
        <w:rPr>
          <w:lang w:val="fr-FR"/>
        </w:rPr>
        <w:tab/>
        <w:t>Questions relatives au Système général harmonisé de classification et d</w:t>
      </w:r>
      <w:r>
        <w:rPr>
          <w:lang w:val="fr-FR"/>
        </w:rPr>
        <w:t>’</w:t>
      </w:r>
      <w:r w:rsidRPr="005663AD">
        <w:rPr>
          <w:lang w:val="fr-FR"/>
        </w:rPr>
        <w:t xml:space="preserve">étiquetage des produits chimiques (SGH) </w:t>
      </w:r>
      <w:r>
        <w:rPr>
          <w:lang w:val="fr-FR"/>
        </w:rPr>
        <w:t> :</w:t>
      </w:r>
    </w:p>
    <w:p w14:paraId="666EA599" w14:textId="77777777" w:rsidR="005663AD" w:rsidRPr="005663AD" w:rsidRDefault="005663AD" w:rsidP="005663AD">
      <w:pPr>
        <w:pStyle w:val="SingleTxtG"/>
        <w:ind w:left="1701"/>
      </w:pPr>
      <w:r w:rsidRPr="005663AD">
        <w:rPr>
          <w:lang w:val="fr-FR"/>
        </w:rPr>
        <w:t>Afin de favoriser la participation des représentants du Sous-Comité SGH intéressés, le Sous-Comité TMD examinera toutes les questions relatives au SGH le lundi 7</w:t>
      </w:r>
      <w:r w:rsidR="004D7C47">
        <w:rPr>
          <w:lang w:val="fr-FR"/>
        </w:rPr>
        <w:t> </w:t>
      </w:r>
      <w:r w:rsidRPr="005663AD">
        <w:rPr>
          <w:lang w:val="fr-FR"/>
        </w:rPr>
        <w:t>décembre. Les  représentants du Sous-Comité SGH qui souhaiteraient participer à ces travaux sont invités à s</w:t>
      </w:r>
      <w:r>
        <w:rPr>
          <w:lang w:val="fr-FR"/>
        </w:rPr>
        <w:t>’</w:t>
      </w:r>
      <w:r w:rsidRPr="005663AD">
        <w:rPr>
          <w:lang w:val="fr-FR"/>
        </w:rPr>
        <w:t>inscrire à la session du Sous-Comité TMD</w:t>
      </w:r>
      <w:r w:rsidRPr="005663AD">
        <w:rPr>
          <w:rStyle w:val="FootnoteReference"/>
        </w:rPr>
        <w:footnoteReference w:id="7"/>
      </w:r>
      <w:r w:rsidRPr="005663AD">
        <w:rPr>
          <w:lang w:val="fr-FR"/>
        </w:rPr>
        <w:t>.</w:t>
      </w:r>
    </w:p>
    <w:p w14:paraId="3DD3C9F4" w14:textId="77777777" w:rsidR="005663AD" w:rsidRPr="005663AD" w:rsidRDefault="005663AD" w:rsidP="005663AD">
      <w:pPr>
        <w:pStyle w:val="SingleTxtG"/>
        <w:ind w:left="1701"/>
      </w:pPr>
      <w:r w:rsidRPr="005663AD">
        <w:rPr>
          <w:lang w:val="fr-FR"/>
        </w:rPr>
        <w:t xml:space="preserve">Les questions abordées seront les suivantes </w:t>
      </w:r>
      <w:r>
        <w:rPr>
          <w:lang w:val="fr-FR"/>
        </w:rPr>
        <w:t> :</w:t>
      </w:r>
    </w:p>
    <w:p w14:paraId="00F77AA6" w14:textId="77777777" w:rsidR="005663AD" w:rsidRPr="005663AD" w:rsidRDefault="005663AD" w:rsidP="005663AD">
      <w:pPr>
        <w:pStyle w:val="SingleTxtG"/>
        <w:spacing w:line="240" w:lineRule="auto"/>
        <w:ind w:left="1701"/>
      </w:pPr>
      <w:r w:rsidRPr="005663AD">
        <w:rPr>
          <w:lang w:val="fr-FR"/>
        </w:rPr>
        <w:t>a)</w:t>
      </w:r>
      <w:r w:rsidRPr="005663AD">
        <w:rPr>
          <w:lang w:val="fr-FR"/>
        </w:rPr>
        <w:tab/>
        <w:t xml:space="preserve">Révision du chapitre 2.1 </w:t>
      </w:r>
      <w:r>
        <w:rPr>
          <w:lang w:val="fr-FR"/>
        </w:rPr>
        <w:t> ;</w:t>
      </w:r>
    </w:p>
    <w:p w14:paraId="3128E016" w14:textId="77777777" w:rsidR="005663AD" w:rsidRPr="005663AD" w:rsidRDefault="005663AD" w:rsidP="004E71D4">
      <w:pPr>
        <w:pStyle w:val="SingleTxtG"/>
        <w:spacing w:line="240" w:lineRule="auto"/>
        <w:ind w:left="2268" w:hanging="567"/>
      </w:pPr>
      <w:r w:rsidRPr="005663AD">
        <w:rPr>
          <w:lang w:val="fr-FR"/>
        </w:rPr>
        <w:t>b)</w:t>
      </w:r>
      <w:r w:rsidRPr="005663AD">
        <w:rPr>
          <w:lang w:val="fr-FR"/>
        </w:rPr>
        <w:tab/>
        <w:t>Précision du paragraphe 2.9.3.4.3.4 du Règlement type et du paragraphe 4.1.3.3.4 du SGH</w:t>
      </w:r>
      <w:r>
        <w:rPr>
          <w:lang w:val="fr-FR"/>
        </w:rPr>
        <w:t> ;</w:t>
      </w:r>
    </w:p>
    <w:p w14:paraId="08298529" w14:textId="77777777" w:rsidR="005663AD" w:rsidRPr="005663AD" w:rsidRDefault="005663AD" w:rsidP="005663AD">
      <w:pPr>
        <w:pStyle w:val="SingleTxtG"/>
        <w:spacing w:line="240" w:lineRule="auto"/>
        <w:ind w:left="1701"/>
      </w:pPr>
      <w:r w:rsidRPr="005663AD">
        <w:rPr>
          <w:lang w:val="fr-FR"/>
        </w:rPr>
        <w:t>c)</w:t>
      </w:r>
      <w:r w:rsidRPr="005663AD">
        <w:rPr>
          <w:lang w:val="fr-FR"/>
        </w:rPr>
        <w:tab/>
        <w:t>Épreuves relatives aux matières comburantes</w:t>
      </w:r>
      <w:r>
        <w:rPr>
          <w:lang w:val="fr-FR"/>
        </w:rPr>
        <w:t> ;</w:t>
      </w:r>
    </w:p>
    <w:p w14:paraId="3BE63AB7" w14:textId="77777777" w:rsidR="005663AD" w:rsidRPr="005663AD" w:rsidRDefault="005663AD" w:rsidP="005663AD">
      <w:pPr>
        <w:pStyle w:val="SingleTxtG"/>
        <w:spacing w:line="240" w:lineRule="auto"/>
        <w:ind w:left="1701"/>
      </w:pPr>
      <w:r w:rsidRPr="005663AD">
        <w:rPr>
          <w:lang w:val="fr-FR"/>
        </w:rPr>
        <w:t>d)</w:t>
      </w:r>
      <w:r w:rsidRPr="005663AD">
        <w:rPr>
          <w:lang w:val="fr-FR"/>
        </w:rPr>
        <w:tab/>
        <w:t>Produits chimiques sous pression</w:t>
      </w:r>
      <w:r>
        <w:rPr>
          <w:lang w:val="fr-FR"/>
        </w:rPr>
        <w:t> ;</w:t>
      </w:r>
    </w:p>
    <w:p w14:paraId="0A676540" w14:textId="77777777" w:rsidR="005663AD" w:rsidRPr="005663AD" w:rsidRDefault="005663AD" w:rsidP="005663AD">
      <w:pPr>
        <w:pStyle w:val="SingleTxtG"/>
        <w:spacing w:line="240" w:lineRule="auto"/>
        <w:ind w:left="1701"/>
      </w:pPr>
      <w:r w:rsidRPr="005663AD">
        <w:rPr>
          <w:lang w:val="fr-FR"/>
        </w:rPr>
        <w:t>e)</w:t>
      </w:r>
      <w:r w:rsidRPr="005663AD">
        <w:rPr>
          <w:lang w:val="fr-FR"/>
        </w:rPr>
        <w:tab/>
        <w:t>Mise à jour des références aux directives de l</w:t>
      </w:r>
      <w:r>
        <w:rPr>
          <w:lang w:val="fr-FR"/>
        </w:rPr>
        <w:t>’</w:t>
      </w:r>
      <w:r w:rsidRPr="005663AD">
        <w:rPr>
          <w:lang w:val="fr-FR"/>
        </w:rPr>
        <w:t>OCDE</w:t>
      </w:r>
      <w:r>
        <w:rPr>
          <w:lang w:val="fr-FR"/>
        </w:rPr>
        <w:t> ;</w:t>
      </w:r>
    </w:p>
    <w:p w14:paraId="3BA3ED1E" w14:textId="77777777" w:rsidR="005663AD" w:rsidRPr="005663AD" w:rsidRDefault="005663AD" w:rsidP="004E71D4">
      <w:pPr>
        <w:pStyle w:val="SingleTxtG"/>
        <w:spacing w:line="240" w:lineRule="auto"/>
        <w:ind w:left="2268" w:hanging="567"/>
      </w:pPr>
      <w:r w:rsidRPr="005663AD">
        <w:rPr>
          <w:lang w:val="fr-FR"/>
        </w:rPr>
        <w:t>f)</w:t>
      </w:r>
      <w:r w:rsidRPr="005663AD">
        <w:rPr>
          <w:lang w:val="fr-FR"/>
        </w:rPr>
        <w:tab/>
        <w:t>Classification simultanée des dangers physiques et ordre de prépondérance des dangers</w:t>
      </w:r>
      <w:r>
        <w:rPr>
          <w:lang w:val="fr-FR"/>
        </w:rPr>
        <w:t> ;</w:t>
      </w:r>
    </w:p>
    <w:p w14:paraId="1ACC5977" w14:textId="77777777" w:rsidR="005663AD" w:rsidRPr="005663AD" w:rsidRDefault="005663AD" w:rsidP="005663AD">
      <w:pPr>
        <w:pStyle w:val="SingleTxtG"/>
        <w:spacing w:after="240"/>
        <w:ind w:left="1701"/>
      </w:pPr>
      <w:r w:rsidRPr="005663AD">
        <w:rPr>
          <w:lang w:val="fr-FR"/>
        </w:rPr>
        <w:t>g)</w:t>
      </w:r>
      <w:r w:rsidRPr="005663AD">
        <w:rPr>
          <w:lang w:val="fr-FR"/>
        </w:rPr>
        <w:tab/>
        <w:t>Autres questions.</w:t>
      </w:r>
    </w:p>
    <w:p w14:paraId="2C90DB3C" w14:textId="77777777" w:rsidR="005663AD" w:rsidRPr="005663AD" w:rsidRDefault="005663AD" w:rsidP="005663AD">
      <w:pPr>
        <w:pStyle w:val="SingleTxtG"/>
        <w:tabs>
          <w:tab w:val="left" w:pos="1701"/>
          <w:tab w:val="left" w:pos="2268"/>
        </w:tabs>
        <w:spacing w:line="360" w:lineRule="auto"/>
      </w:pPr>
      <w:r w:rsidRPr="005663AD">
        <w:rPr>
          <w:lang w:val="fr-FR"/>
        </w:rPr>
        <w:t>12.</w:t>
      </w:r>
      <w:r w:rsidRPr="005663AD">
        <w:rPr>
          <w:lang w:val="fr-FR"/>
        </w:rPr>
        <w:tab/>
        <w:t>Programme de travail pour la période biennale 2021-2022.</w:t>
      </w:r>
    </w:p>
    <w:p w14:paraId="4C375EB1" w14:textId="77777777" w:rsidR="005663AD" w:rsidRPr="005663AD" w:rsidRDefault="005663AD" w:rsidP="005663AD">
      <w:pPr>
        <w:pStyle w:val="SingleTxtG"/>
        <w:tabs>
          <w:tab w:val="left" w:pos="1701"/>
          <w:tab w:val="left" w:pos="2268"/>
        </w:tabs>
        <w:spacing w:line="360" w:lineRule="auto"/>
      </w:pPr>
      <w:r w:rsidRPr="005663AD">
        <w:rPr>
          <w:lang w:val="fr-FR"/>
        </w:rPr>
        <w:t>13.</w:t>
      </w:r>
      <w:r w:rsidRPr="005663AD">
        <w:rPr>
          <w:lang w:val="fr-FR"/>
        </w:rPr>
        <w:tab/>
        <w:t>Projet de résolution 2021/... du Conseil économique et social.</w:t>
      </w:r>
    </w:p>
    <w:p w14:paraId="03389A99" w14:textId="77777777" w:rsidR="005663AD" w:rsidRPr="005663AD" w:rsidRDefault="005663AD" w:rsidP="005663AD">
      <w:pPr>
        <w:pStyle w:val="SingleTxtG"/>
        <w:tabs>
          <w:tab w:val="left" w:pos="1701"/>
          <w:tab w:val="left" w:pos="2268"/>
        </w:tabs>
        <w:spacing w:line="360" w:lineRule="auto"/>
      </w:pPr>
      <w:r w:rsidRPr="005663AD">
        <w:rPr>
          <w:lang w:val="fr-FR"/>
        </w:rPr>
        <w:t>14.</w:t>
      </w:r>
      <w:r w:rsidRPr="005663AD">
        <w:rPr>
          <w:lang w:val="fr-FR"/>
        </w:rPr>
        <w:tab/>
        <w:t>Élection du Bureau pour la période biennale 2021-2022.</w:t>
      </w:r>
    </w:p>
    <w:p w14:paraId="2D8FA172" w14:textId="77777777" w:rsidR="005663AD" w:rsidRPr="005663AD" w:rsidRDefault="005663AD" w:rsidP="005663AD">
      <w:pPr>
        <w:pStyle w:val="SingleTxtG"/>
        <w:tabs>
          <w:tab w:val="left" w:pos="1701"/>
          <w:tab w:val="left" w:pos="2268"/>
        </w:tabs>
        <w:spacing w:line="360" w:lineRule="auto"/>
      </w:pPr>
      <w:r w:rsidRPr="005663AD">
        <w:rPr>
          <w:lang w:val="fr-FR"/>
        </w:rPr>
        <w:t>15.</w:t>
      </w:r>
      <w:r w:rsidRPr="005663AD">
        <w:rPr>
          <w:lang w:val="fr-FR"/>
        </w:rPr>
        <w:tab/>
        <w:t>Questions diverses.</w:t>
      </w:r>
    </w:p>
    <w:p w14:paraId="7A315F4A" w14:textId="77777777" w:rsidR="005663AD" w:rsidRPr="00602D97" w:rsidRDefault="005663AD" w:rsidP="005663AD">
      <w:pPr>
        <w:pStyle w:val="SingleTxtG"/>
        <w:tabs>
          <w:tab w:val="left" w:pos="1701"/>
          <w:tab w:val="left" w:pos="2268"/>
        </w:tabs>
        <w:spacing w:line="360" w:lineRule="auto"/>
        <w:ind w:left="1710" w:hanging="576"/>
      </w:pPr>
      <w:r w:rsidRPr="005663AD">
        <w:rPr>
          <w:lang w:val="fr-FR"/>
        </w:rPr>
        <w:t>16.</w:t>
      </w:r>
      <w:r w:rsidRPr="005663AD">
        <w:rPr>
          <w:lang w:val="fr-FR"/>
        </w:rPr>
        <w:tab/>
        <w:t>Adoption du rapport.</w:t>
      </w:r>
    </w:p>
    <w:p w14:paraId="532198A9" w14:textId="77777777" w:rsidR="005663AD" w:rsidRPr="004E71D4" w:rsidRDefault="004E71D4" w:rsidP="004E71D4">
      <w:pPr>
        <w:pStyle w:val="SingleTxtG"/>
        <w:spacing w:before="240" w:after="0"/>
        <w:jc w:val="center"/>
        <w:rPr>
          <w:u w:val="single"/>
        </w:rPr>
      </w:pPr>
      <w:r>
        <w:rPr>
          <w:u w:val="single"/>
        </w:rPr>
        <w:tab/>
      </w:r>
      <w:r>
        <w:rPr>
          <w:u w:val="single"/>
        </w:rPr>
        <w:tab/>
      </w:r>
      <w:r>
        <w:rPr>
          <w:u w:val="single"/>
        </w:rPr>
        <w:tab/>
      </w:r>
    </w:p>
    <w:p w14:paraId="4AEA721F" w14:textId="77777777" w:rsidR="00446FE5" w:rsidRPr="00AC3823" w:rsidRDefault="00446FE5" w:rsidP="00AC3823"/>
    <w:sectPr w:rsidR="00446FE5" w:rsidRPr="00AC3823" w:rsidSect="005663A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D4B67" w14:textId="77777777" w:rsidR="00FA1642" w:rsidRDefault="00FA1642" w:rsidP="00F95C08">
      <w:pPr>
        <w:spacing w:line="240" w:lineRule="auto"/>
      </w:pPr>
    </w:p>
  </w:endnote>
  <w:endnote w:type="continuationSeparator" w:id="0">
    <w:p w14:paraId="498B6967" w14:textId="77777777" w:rsidR="00FA1642" w:rsidRPr="00AC3823" w:rsidRDefault="00FA1642" w:rsidP="00AC3823">
      <w:pPr>
        <w:pStyle w:val="Footer"/>
      </w:pPr>
    </w:p>
  </w:endnote>
  <w:endnote w:type="continuationNotice" w:id="1">
    <w:p w14:paraId="26D206CF" w14:textId="77777777" w:rsidR="00FA1642" w:rsidRDefault="00FA16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3DDD" w14:textId="77777777" w:rsidR="005663AD" w:rsidRPr="005663AD" w:rsidRDefault="005663AD" w:rsidP="005663AD">
    <w:pPr>
      <w:pStyle w:val="Footer"/>
      <w:tabs>
        <w:tab w:val="right" w:pos="9638"/>
      </w:tabs>
    </w:pPr>
    <w:r w:rsidRPr="005663AD">
      <w:rPr>
        <w:b/>
        <w:sz w:val="18"/>
      </w:rPr>
      <w:fldChar w:fldCharType="begin"/>
    </w:r>
    <w:r w:rsidRPr="005663AD">
      <w:rPr>
        <w:b/>
        <w:sz w:val="18"/>
      </w:rPr>
      <w:instrText xml:space="preserve"> PAGE  \* MERGEFORMAT </w:instrText>
    </w:r>
    <w:r w:rsidRPr="005663AD">
      <w:rPr>
        <w:b/>
        <w:sz w:val="18"/>
      </w:rPr>
      <w:fldChar w:fldCharType="separate"/>
    </w:r>
    <w:r w:rsidRPr="005663AD">
      <w:rPr>
        <w:b/>
        <w:noProof/>
        <w:sz w:val="18"/>
      </w:rPr>
      <w:t>2</w:t>
    </w:r>
    <w:r w:rsidRPr="005663AD">
      <w:rPr>
        <w:b/>
        <w:sz w:val="18"/>
      </w:rPr>
      <w:fldChar w:fldCharType="end"/>
    </w:r>
    <w:r>
      <w:rPr>
        <w:b/>
        <w:sz w:val="18"/>
      </w:rPr>
      <w:tab/>
    </w:r>
    <w:r>
      <w:t>GE.20-10952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72DF" w14:textId="77777777" w:rsidR="005663AD" w:rsidRPr="005663AD" w:rsidRDefault="005663AD" w:rsidP="005663AD">
    <w:pPr>
      <w:pStyle w:val="Footer"/>
      <w:tabs>
        <w:tab w:val="right" w:pos="9638"/>
      </w:tabs>
      <w:rPr>
        <w:b/>
        <w:sz w:val="18"/>
      </w:rPr>
    </w:pPr>
    <w:r>
      <w:t>GE.20-10952</w:t>
    </w:r>
    <w:r>
      <w:tab/>
    </w:r>
    <w:r w:rsidRPr="005663AD">
      <w:rPr>
        <w:b/>
        <w:sz w:val="18"/>
      </w:rPr>
      <w:fldChar w:fldCharType="begin"/>
    </w:r>
    <w:r w:rsidRPr="005663AD">
      <w:rPr>
        <w:b/>
        <w:sz w:val="18"/>
      </w:rPr>
      <w:instrText xml:space="preserve"> PAGE  \* MERGEFORMAT </w:instrText>
    </w:r>
    <w:r w:rsidRPr="005663AD">
      <w:rPr>
        <w:b/>
        <w:sz w:val="18"/>
      </w:rPr>
      <w:fldChar w:fldCharType="separate"/>
    </w:r>
    <w:r w:rsidRPr="005663AD">
      <w:rPr>
        <w:b/>
        <w:noProof/>
        <w:sz w:val="18"/>
      </w:rPr>
      <w:t>3</w:t>
    </w:r>
    <w:r w:rsidRPr="005663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25AB3" w14:textId="77777777" w:rsidR="0068456F" w:rsidRPr="005663AD" w:rsidRDefault="005663AD" w:rsidP="005663AD">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B5C194E" wp14:editId="074390B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20-10952  (F)    170920    170920</w:t>
    </w:r>
    <w:r>
      <w:rPr>
        <w:sz w:val="20"/>
      </w:rPr>
      <w:br/>
    </w:r>
    <w:r w:rsidRPr="005663AD">
      <w:rPr>
        <w:rFonts w:ascii="C39T30Lfz" w:hAnsi="C39T30Lfz"/>
        <w:sz w:val="56"/>
      </w:rPr>
      <w:t>*2010952*</w:t>
    </w:r>
    <w:r>
      <w:rPr>
        <w:noProof/>
        <w:sz w:val="20"/>
      </w:rPr>
      <w:drawing>
        <wp:anchor distT="0" distB="0" distL="114300" distR="114300" simplePos="0" relativeHeight="251658240" behindDoc="0" locked="0" layoutInCell="1" allowOverlap="1" wp14:anchorId="23AB0C1D" wp14:editId="73FC7EC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9B633" w14:textId="77777777" w:rsidR="00FA1642" w:rsidRPr="00AC3823" w:rsidRDefault="00FA1642" w:rsidP="00AC3823">
      <w:pPr>
        <w:pStyle w:val="Footer"/>
        <w:tabs>
          <w:tab w:val="right" w:pos="2155"/>
        </w:tabs>
        <w:spacing w:after="80" w:line="240" w:lineRule="atLeast"/>
        <w:ind w:left="680"/>
        <w:rPr>
          <w:u w:val="single"/>
        </w:rPr>
      </w:pPr>
      <w:r>
        <w:rPr>
          <w:u w:val="single"/>
        </w:rPr>
        <w:tab/>
      </w:r>
    </w:p>
  </w:footnote>
  <w:footnote w:type="continuationSeparator" w:id="0">
    <w:p w14:paraId="2623A35B" w14:textId="77777777" w:rsidR="00FA1642" w:rsidRPr="00AC3823" w:rsidRDefault="00FA1642" w:rsidP="00AC3823">
      <w:pPr>
        <w:pStyle w:val="Footer"/>
        <w:tabs>
          <w:tab w:val="right" w:pos="2155"/>
        </w:tabs>
        <w:spacing w:after="80" w:line="240" w:lineRule="atLeast"/>
        <w:ind w:left="680"/>
        <w:rPr>
          <w:u w:val="single"/>
        </w:rPr>
      </w:pPr>
      <w:r>
        <w:rPr>
          <w:u w:val="single"/>
        </w:rPr>
        <w:tab/>
      </w:r>
    </w:p>
  </w:footnote>
  <w:footnote w:type="continuationNotice" w:id="1">
    <w:p w14:paraId="3E8E66FD" w14:textId="77777777" w:rsidR="00FA1642" w:rsidRPr="00AC3823" w:rsidRDefault="00FA1642">
      <w:pPr>
        <w:spacing w:line="240" w:lineRule="auto"/>
        <w:rPr>
          <w:sz w:val="2"/>
          <w:szCs w:val="2"/>
        </w:rPr>
      </w:pPr>
    </w:p>
  </w:footnote>
  <w:footnote w:id="2">
    <w:p w14:paraId="3898E573" w14:textId="77777777" w:rsidR="005663AD" w:rsidRPr="00602D97" w:rsidRDefault="005663AD" w:rsidP="005663AD">
      <w:pPr>
        <w:pStyle w:val="FootnoteText"/>
      </w:pPr>
      <w:r>
        <w:rPr>
          <w:lang w:val="fr-FR"/>
        </w:rPr>
        <w:tab/>
        <w:t>*</w:t>
      </w:r>
      <w:r>
        <w:rPr>
          <w:lang w:val="fr-FR"/>
        </w:rPr>
        <w:tab/>
        <w:t>Les notes explicatives seront distribuées sous la cote ST/SG/AC.10/C.3/113/Rev.1/Add.1. La date limite de soumission des documents est le 4 septembre 2020.</w:t>
      </w:r>
    </w:p>
  </w:footnote>
  <w:footnote w:id="3">
    <w:p w14:paraId="5CA72D24" w14:textId="77777777" w:rsidR="005663AD" w:rsidRPr="00602D97" w:rsidRDefault="005663AD" w:rsidP="005663AD">
      <w:pPr>
        <w:pStyle w:val="FootnoteText"/>
      </w:pPr>
      <w:r>
        <w:rPr>
          <w:lang w:val="fr-FR"/>
        </w:rPr>
        <w:tab/>
        <w:t>**</w:t>
      </w:r>
      <w:r>
        <w:rPr>
          <w:lang w:val="fr-FR"/>
        </w:rPr>
        <w:tab/>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5663AD">
          <w:rPr>
            <w:rStyle w:val="Hyperlink"/>
            <w:lang w:val="fr-FR"/>
          </w:rPr>
          <w:t>http</w:t>
        </w:r>
        <w:r>
          <w:rPr>
            <w:rStyle w:val="Hyperlink"/>
            <w:lang w:val="fr-FR"/>
          </w:rPr>
          <w:t> :</w:t>
        </w:r>
        <w:r w:rsidRPr="005663AD">
          <w:rPr>
            <w:rStyle w:val="Hyperlink"/>
            <w:lang w:val="fr-FR"/>
          </w:rPr>
          <w:t>//www.unece.org/trans/main/dgdb/dgsubc3/c3age.html</w:t>
        </w:r>
      </w:hyperlink>
      <w:r>
        <w:rPr>
          <w:lang w:val="fr-FR"/>
        </w:rPr>
        <w:t>). Durant la session, les documents officiels peuvent être obtenus auprès de la Section de la distribution des documents de l’ONUG (bureau C.337 au 3</w:t>
      </w:r>
      <w:r w:rsidRPr="004D7C47">
        <w:rPr>
          <w:vertAlign w:val="superscript"/>
          <w:lang w:val="fr-FR"/>
        </w:rPr>
        <w:t>e</w:t>
      </w:r>
      <w:r>
        <w:rPr>
          <w:lang w:val="fr-FR"/>
        </w:rPr>
        <w:t> étage du Palais des Nations).</w:t>
      </w:r>
    </w:p>
  </w:footnote>
  <w:footnote w:id="4">
    <w:p w14:paraId="147B990B" w14:textId="77777777" w:rsidR="005663AD" w:rsidRPr="00100941" w:rsidRDefault="005663AD" w:rsidP="005663AD">
      <w:pPr>
        <w:pStyle w:val="FootnoteText"/>
      </w:pPr>
      <w:r>
        <w:rPr>
          <w:lang w:val="fr-FR"/>
        </w:rPr>
        <w:tab/>
        <w:t>***</w:t>
      </w:r>
      <w:r>
        <w:rPr>
          <w:lang w:val="fr-FR"/>
        </w:rPr>
        <w:tab/>
        <w:t xml:space="preserve">Les représentants sont priés de s’inscrire en ligne à l’adresse </w:t>
      </w:r>
      <w:hyperlink r:id="rId2" w:history="1">
        <w:r w:rsidRPr="005663AD">
          <w:rPr>
            <w:rStyle w:val="Hyperlink"/>
            <w:lang w:val="fr-FR"/>
          </w:rPr>
          <w:t>https</w:t>
        </w:r>
        <w:r>
          <w:rPr>
            <w:rStyle w:val="Hyperlink"/>
            <w:lang w:val="fr-FR"/>
          </w:rPr>
          <w:t> :</w:t>
        </w:r>
        <w:r w:rsidRPr="005663AD">
          <w:rPr>
            <w:rStyle w:val="Hyperlink"/>
            <w:lang w:val="fr-FR"/>
          </w:rPr>
          <w:t>//uncdb.unece.org/app/ext/meeting-registration?id=f7S_m9</w:t>
        </w:r>
      </w:hyperlink>
      <w:r>
        <w:rPr>
          <w:lang w:val="fr-FR"/>
        </w:rPr>
        <w:t xml:space="preserve">. À leur arrivée au Palais des Nations, ils doivent retirer un badge à la Section de la sécurité et de la sûreté, située au Portail de Pregny (14, avenue de la Paix). En cas de difficulté, ils sont invités à contacter le secrétariat par téléphone (poste 72106). Un plan du Palais des Nations et d’autres renseignements utiles sont disponibles à l’adresse </w:t>
      </w:r>
      <w:hyperlink r:id="rId3" w:history="1">
        <w:r w:rsidRPr="005663AD">
          <w:rPr>
            <w:rStyle w:val="Hyperlink"/>
            <w:lang w:val="fr-FR"/>
          </w:rPr>
          <w:t>http</w:t>
        </w:r>
        <w:r>
          <w:rPr>
            <w:rStyle w:val="Hyperlink"/>
            <w:lang w:val="fr-FR"/>
          </w:rPr>
          <w:t> :</w:t>
        </w:r>
        <w:r w:rsidRPr="005663AD">
          <w:rPr>
            <w:rStyle w:val="Hyperlink"/>
            <w:lang w:val="fr-FR"/>
          </w:rPr>
          <w:t>//www.unece.org/fr/info/events/informations-pratiques-pour-les-delegues.htm</w:t>
        </w:r>
      </w:hyperlink>
      <w:r>
        <w:rPr>
          <w:lang w:val="fr-FR"/>
        </w:rPr>
        <w:t>l.</w:t>
      </w:r>
      <w:bookmarkStart w:id="1" w:name="_Hlk32842318"/>
      <w:bookmarkEnd w:id="1"/>
      <w:r w:rsidR="00100941" w:rsidRPr="00602D97">
        <w:t xml:space="preserve"> </w:t>
      </w:r>
    </w:p>
  </w:footnote>
  <w:footnote w:id="5">
    <w:p w14:paraId="64AB021A" w14:textId="77777777" w:rsidR="005663AD" w:rsidRPr="00602D97" w:rsidRDefault="005663AD" w:rsidP="005663AD">
      <w:pPr>
        <w:pStyle w:val="FootnoteText"/>
      </w:pPr>
      <w:r>
        <w:rPr>
          <w:lang w:val="fr-FR"/>
        </w:rPr>
        <w:tab/>
      </w:r>
      <w:r w:rsidRPr="005663AD">
        <w:rPr>
          <w:rStyle w:val="FootnoteReference"/>
        </w:rPr>
        <w:footnoteRef/>
      </w:r>
      <w:r>
        <w:rPr>
          <w:lang w:val="fr-FR"/>
        </w:rPr>
        <w:t xml:space="preserve"> </w:t>
      </w:r>
      <w:r>
        <w:rPr>
          <w:lang w:val="fr-FR"/>
        </w:rPr>
        <w:tab/>
        <w:t>Voir ST/SG/AC.10/C.3/100, par. 91.</w:t>
      </w:r>
    </w:p>
  </w:footnote>
  <w:footnote w:id="6">
    <w:p w14:paraId="0F7C87C0" w14:textId="77777777" w:rsidR="005663AD" w:rsidRPr="00602D97" w:rsidRDefault="005663AD" w:rsidP="005663AD">
      <w:pPr>
        <w:pStyle w:val="FootnoteText"/>
      </w:pPr>
      <w:r>
        <w:rPr>
          <w:lang w:val="fr-FR"/>
        </w:rPr>
        <w:tab/>
      </w:r>
      <w:r w:rsidRPr="005663AD">
        <w:rPr>
          <w:rStyle w:val="FootnoteReference"/>
        </w:rPr>
        <w:footnoteRef/>
      </w:r>
      <w:r>
        <w:rPr>
          <w:lang w:val="fr-FR"/>
        </w:rPr>
        <w:t xml:space="preserve"> </w:t>
      </w:r>
      <w:r>
        <w:rPr>
          <w:lang w:val="fr-FR"/>
        </w:rPr>
        <w:tab/>
        <w:t>Documents traitant de questions qui n’ont pas encore été examinées par le Sous-Comité au cours de la</w:t>
      </w:r>
      <w:r w:rsidR="004E71D4">
        <w:rPr>
          <w:lang w:val="fr-FR"/>
        </w:rPr>
        <w:t> </w:t>
      </w:r>
      <w:r>
        <w:rPr>
          <w:lang w:val="fr-FR"/>
        </w:rPr>
        <w:t>période biennale 2019-2020.</w:t>
      </w:r>
    </w:p>
  </w:footnote>
  <w:footnote w:id="7">
    <w:p w14:paraId="37707E3B" w14:textId="77777777" w:rsidR="005663AD" w:rsidRPr="00602D97" w:rsidRDefault="005663AD" w:rsidP="005663AD">
      <w:pPr>
        <w:pStyle w:val="FootnoteText"/>
        <w:rPr>
          <w:lang w:val="fr-FR"/>
        </w:rPr>
      </w:pPr>
      <w:r>
        <w:rPr>
          <w:lang w:val="fr-FR"/>
        </w:rPr>
        <w:tab/>
      </w:r>
      <w:r w:rsidRPr="005663AD">
        <w:rPr>
          <w:rStyle w:val="FootnoteReference"/>
        </w:rPr>
        <w:footnoteRef/>
      </w:r>
      <w:r>
        <w:rPr>
          <w:lang w:val="fr-FR"/>
        </w:rPr>
        <w:t xml:space="preserve"> </w:t>
      </w:r>
      <w:r>
        <w:rPr>
          <w:lang w:val="fr-FR"/>
        </w:rPr>
        <w:tab/>
      </w:r>
      <w:hyperlink r:id="rId4" w:history="1">
        <w:r w:rsidRPr="004E71D4">
          <w:rPr>
            <w:rStyle w:val="Hyperlink"/>
            <w:lang w:val="fr-FR"/>
          </w:rPr>
          <w:t>https ://uncdb.unece.org/app/ext/meeting-registration?id=f7S_m9</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2284E" w14:textId="2DECFCCC" w:rsidR="005663AD" w:rsidRPr="005663AD" w:rsidRDefault="0098706B">
    <w:pPr>
      <w:pStyle w:val="Header"/>
    </w:pPr>
    <w:r>
      <w:fldChar w:fldCharType="begin"/>
    </w:r>
    <w:r>
      <w:instrText xml:space="preserve"> TITLE  \* MERGEFORMAT </w:instrText>
    </w:r>
    <w:r>
      <w:fldChar w:fldCharType="separate"/>
    </w:r>
    <w:r>
      <w:t>ST/SG/AC.10/C.3/113/Rev.1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9DD4" w14:textId="711D034E" w:rsidR="005663AD" w:rsidRPr="005663AD" w:rsidRDefault="0098706B" w:rsidP="005663AD">
    <w:pPr>
      <w:pStyle w:val="Header"/>
      <w:jc w:val="right"/>
    </w:pPr>
    <w:r>
      <w:fldChar w:fldCharType="begin"/>
    </w:r>
    <w:r>
      <w:instrText xml:space="preserve"> TITLE  \* MERGEFORMAT </w:instrText>
    </w:r>
    <w:r>
      <w:fldChar w:fldCharType="separate"/>
    </w:r>
    <w:r>
      <w:t>ST/SG/AC.10/C.3/113/Rev.1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42"/>
    <w:rsid w:val="00017F94"/>
    <w:rsid w:val="00023842"/>
    <w:rsid w:val="000305D3"/>
    <w:rsid w:val="000334F9"/>
    <w:rsid w:val="0007796D"/>
    <w:rsid w:val="000B7790"/>
    <w:rsid w:val="00100941"/>
    <w:rsid w:val="00111F2F"/>
    <w:rsid w:val="00132EA9"/>
    <w:rsid w:val="0014365E"/>
    <w:rsid w:val="00176178"/>
    <w:rsid w:val="001F525A"/>
    <w:rsid w:val="00223272"/>
    <w:rsid w:val="0024779E"/>
    <w:rsid w:val="00283190"/>
    <w:rsid w:val="002832AC"/>
    <w:rsid w:val="002D7C93"/>
    <w:rsid w:val="00441C3B"/>
    <w:rsid w:val="00446FE5"/>
    <w:rsid w:val="00452396"/>
    <w:rsid w:val="004C76F4"/>
    <w:rsid w:val="004D7C47"/>
    <w:rsid w:val="004E468C"/>
    <w:rsid w:val="004E71D4"/>
    <w:rsid w:val="005505B7"/>
    <w:rsid w:val="00556C13"/>
    <w:rsid w:val="005663AD"/>
    <w:rsid w:val="00573BE5"/>
    <w:rsid w:val="00584DC4"/>
    <w:rsid w:val="00586ED3"/>
    <w:rsid w:val="00596AA9"/>
    <w:rsid w:val="0068456F"/>
    <w:rsid w:val="0071601D"/>
    <w:rsid w:val="007A62E6"/>
    <w:rsid w:val="0080684C"/>
    <w:rsid w:val="00871C75"/>
    <w:rsid w:val="008776DC"/>
    <w:rsid w:val="008B40CD"/>
    <w:rsid w:val="009705C8"/>
    <w:rsid w:val="0098706B"/>
    <w:rsid w:val="009C1CF4"/>
    <w:rsid w:val="00A30353"/>
    <w:rsid w:val="00AC3823"/>
    <w:rsid w:val="00AE323C"/>
    <w:rsid w:val="00B00181"/>
    <w:rsid w:val="00B00B0D"/>
    <w:rsid w:val="00B765F7"/>
    <w:rsid w:val="00BA0CA9"/>
    <w:rsid w:val="00C02328"/>
    <w:rsid w:val="00C02897"/>
    <w:rsid w:val="00C64F56"/>
    <w:rsid w:val="00D3439C"/>
    <w:rsid w:val="00D52D79"/>
    <w:rsid w:val="00DB1831"/>
    <w:rsid w:val="00DD3BFD"/>
    <w:rsid w:val="00DF6678"/>
    <w:rsid w:val="00EF2E22"/>
    <w:rsid w:val="00F01738"/>
    <w:rsid w:val="00F660DF"/>
    <w:rsid w:val="00F730C8"/>
    <w:rsid w:val="00F95C08"/>
    <w:rsid w:val="00FA164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846CC1"/>
  <w15:docId w15:val="{3939DCD5-31E0-40F8-8757-0217762F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ar">
    <w:name w:val="_ Single Txt_G Car"/>
    <w:link w:val="SingleTxtG"/>
    <w:rsid w:val="005663AD"/>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56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fr/info/events/informations-pratiques-pour-les-delegues.html" TargetMode="External"/><Relationship Id="rId2" Type="http://schemas.openxmlformats.org/officeDocument/2006/relationships/hyperlink" Target="http://www.unece.org/fr/info/events/informations-pratiques-pour-les-delegues.html" TargetMode="External"/><Relationship Id="rId1" Type="http://schemas.openxmlformats.org/officeDocument/2006/relationships/hyperlink" Target="http://www.unece.org/trans/main/dgdb/dgsubc3/c3age.html" TargetMode="External"/><Relationship Id="rId4" Type="http://schemas.openxmlformats.org/officeDocument/2006/relationships/hyperlink" Target="file:///\\conf-share1\LS\FRA\COMMON\MSWDocs\_3Final\https%20:\uncdb.unece.org\app\ext\meeting-registration%3fid=f7S_m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ST/SG/AC.10/C.3/113/Rev.1</vt:lpstr>
    </vt:vector>
  </TitlesOfParts>
  <Company>DCM</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ST/SG/AC.10/C.3/113/Rev.1</dc:title>
  <dc:subject/>
  <dc:creator>Edith BOURION</dc:creator>
  <cp:keywords/>
  <cp:lastModifiedBy>Laurence Berthet</cp:lastModifiedBy>
  <cp:revision>3</cp:revision>
  <cp:lastPrinted>2020-09-17T14:07:00Z</cp:lastPrinted>
  <dcterms:created xsi:type="dcterms:W3CDTF">2020-09-17T14:07:00Z</dcterms:created>
  <dcterms:modified xsi:type="dcterms:W3CDTF">2020-09-17T14:08:00Z</dcterms:modified>
</cp:coreProperties>
</file>