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E3BD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E3BD9" w:rsidP="005E3BD9">
            <w:pPr>
              <w:jc w:val="right"/>
            </w:pPr>
            <w:r w:rsidRPr="005E3BD9">
              <w:rPr>
                <w:sz w:val="40"/>
              </w:rPr>
              <w:t>ECE</w:t>
            </w:r>
            <w:r>
              <w:t>/TRANS/WP.29/GRVA/2019/10</w:t>
            </w:r>
          </w:p>
        </w:tc>
      </w:tr>
      <w:tr w:rsidR="002D5AAC" w:rsidRPr="005E3BD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E3BD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E3BD9" w:rsidRDefault="005E3BD9" w:rsidP="005E3B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November 2018</w:t>
            </w:r>
          </w:p>
          <w:p w:rsidR="005E3BD9" w:rsidRDefault="005E3BD9" w:rsidP="005E3B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E3BD9" w:rsidRPr="008D53B6" w:rsidRDefault="005E3BD9" w:rsidP="005E3B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C53BC" w:rsidRPr="00C47906" w:rsidRDefault="00AC53BC" w:rsidP="00AC53BC">
      <w:pPr>
        <w:spacing w:before="120"/>
        <w:rPr>
          <w:sz w:val="28"/>
          <w:szCs w:val="28"/>
        </w:rPr>
      </w:pPr>
      <w:r w:rsidRPr="00C47906">
        <w:rPr>
          <w:sz w:val="28"/>
          <w:szCs w:val="28"/>
        </w:rPr>
        <w:t>Комитет по внутреннему транспорту</w:t>
      </w:r>
    </w:p>
    <w:p w:rsidR="00AC53BC" w:rsidRPr="00C47906" w:rsidRDefault="00AC53BC" w:rsidP="00AC53BC">
      <w:pPr>
        <w:spacing w:before="120"/>
        <w:rPr>
          <w:b/>
          <w:sz w:val="24"/>
          <w:szCs w:val="24"/>
        </w:rPr>
      </w:pPr>
      <w:r w:rsidRPr="00C47906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C47906">
        <w:rPr>
          <w:b/>
          <w:bCs/>
          <w:sz w:val="24"/>
          <w:szCs w:val="24"/>
        </w:rPr>
        <w:t>в области транспортных средств</w:t>
      </w:r>
    </w:p>
    <w:p w:rsidR="00AC53BC" w:rsidRPr="00C47906" w:rsidRDefault="00AC53BC" w:rsidP="00AC53BC">
      <w:pPr>
        <w:spacing w:before="120"/>
        <w:rPr>
          <w:b/>
        </w:rPr>
      </w:pPr>
      <w:bookmarkStart w:id="1" w:name="_Hlk518466992"/>
      <w:r>
        <w:rPr>
          <w:b/>
          <w:bCs/>
        </w:rPr>
        <w:t>Рабочая группа по автоматизированным/автономным</w:t>
      </w:r>
      <w:r>
        <w:rPr>
          <w:b/>
          <w:bCs/>
        </w:rPr>
        <w:br/>
        <w:t>и подключенным транспортным средствам </w:t>
      </w:r>
      <w:r w:rsidRPr="00AC53BC">
        <w:footnoteReference w:customMarkFollows="1" w:id="1"/>
        <w:t>*</w:t>
      </w:r>
      <w:bookmarkEnd w:id="1"/>
    </w:p>
    <w:p w:rsidR="00AC53BC" w:rsidRPr="00C47906" w:rsidRDefault="00AC53BC" w:rsidP="00AC53BC">
      <w:pPr>
        <w:spacing w:before="120"/>
        <w:rPr>
          <w:b/>
        </w:rPr>
      </w:pPr>
      <w:r>
        <w:rPr>
          <w:b/>
          <w:bCs/>
        </w:rPr>
        <w:t>Вторая сессия</w:t>
      </w:r>
    </w:p>
    <w:p w:rsidR="00AC53BC" w:rsidRPr="00C47906" w:rsidRDefault="00AC53BC" w:rsidP="00AC53BC">
      <w:r>
        <w:t>Женева, 28 января – 1 февраля 2019 года</w:t>
      </w:r>
    </w:p>
    <w:p w:rsidR="00AC53BC" w:rsidRPr="00C47906" w:rsidRDefault="00AC53BC" w:rsidP="00AC53BC">
      <w:r>
        <w:t>Пункт 5 d) предварительной повестки дня</w:t>
      </w:r>
    </w:p>
    <w:p w:rsidR="00AC53BC" w:rsidRPr="00C47906" w:rsidRDefault="00AC53BC" w:rsidP="00AC53BC">
      <w:pPr>
        <w:rPr>
          <w:b/>
          <w:bCs/>
        </w:rPr>
      </w:pPr>
      <w:r>
        <w:rPr>
          <w:b/>
          <w:bCs/>
        </w:rPr>
        <w:t xml:space="preserve">Автоматизированные/автономные </w:t>
      </w:r>
      <w:r>
        <w:rPr>
          <w:b/>
          <w:bCs/>
        </w:rPr>
        <w:br/>
        <w:t>и подключенные транспортные средства:</w:t>
      </w:r>
    </w:p>
    <w:p w:rsidR="00AC53BC" w:rsidRPr="00C47906" w:rsidRDefault="00AC53BC" w:rsidP="00AC53BC">
      <w:pPr>
        <w:rPr>
          <w:b/>
          <w:bCs/>
        </w:rPr>
      </w:pPr>
      <w:r>
        <w:rPr>
          <w:b/>
          <w:bCs/>
        </w:rPr>
        <w:t>Автоматизированная функция рулевого управления</w:t>
      </w:r>
    </w:p>
    <w:p w:rsidR="00AC53BC" w:rsidRPr="00C47906" w:rsidRDefault="00AC53BC" w:rsidP="00AC53BC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Предложение по поправкам к Правилам № 79 ООН (оборудование рулевого управления)</w:t>
      </w:r>
    </w:p>
    <w:p w:rsidR="00AC53BC" w:rsidRPr="00C47906" w:rsidRDefault="00AC53BC" w:rsidP="00AC53BC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Представлено экспертом от Франции </w:t>
      </w:r>
      <w:r w:rsidRPr="00D00DD7">
        <w:rPr>
          <w:b w:val="0"/>
          <w:bCs/>
          <w:sz w:val="20"/>
          <w:lang w:val="ru-RU"/>
        </w:rPr>
        <w:footnoteReference w:customMarkFollows="1" w:id="2"/>
        <w:t>**</w:t>
      </w:r>
    </w:p>
    <w:p w:rsidR="00AC53BC" w:rsidRPr="00C47906" w:rsidRDefault="00AC53BC" w:rsidP="00AC53BC">
      <w:pPr>
        <w:pStyle w:val="SingleTxtG"/>
        <w:rPr>
          <w:lang w:val="ru-RU"/>
        </w:rPr>
      </w:pPr>
      <w:r>
        <w:rPr>
          <w:lang w:val="ru-RU"/>
        </w:rPr>
        <w:tab/>
        <w:t xml:space="preserve">Воспроизведенный ниже текст был подготовлен экспертом от Франции в целях внесения поправок в Правила № 79 ООН на основе неофициального документа </w:t>
      </w:r>
      <w:r>
        <w:rPr>
          <w:lang w:val="ru-RU"/>
        </w:rPr>
        <w:br/>
        <w:t>GRVA-01-38. Он направлен на уточнение текста Правил. Изменения к существующему тексту Правил (новые элементы) выделены жирным шрифтом.</w:t>
      </w:r>
      <w:bookmarkStart w:id="2" w:name="_Hlk529190157"/>
      <w:bookmarkEnd w:id="2"/>
    </w:p>
    <w:p w:rsidR="00AC53BC" w:rsidRPr="00C47906" w:rsidRDefault="00AC53BC" w:rsidP="00AC53BC">
      <w:pPr>
        <w:pStyle w:val="HChG"/>
        <w:pageBreakBefore/>
        <w:rPr>
          <w:lang w:val="ru-RU"/>
        </w:rPr>
      </w:pPr>
      <w:r>
        <w:rPr>
          <w:bCs/>
          <w:lang w:val="ru-RU"/>
        </w:rPr>
        <w:lastRenderedPageBreak/>
        <w:tab/>
        <w:t>I.</w:t>
      </w:r>
      <w:r>
        <w:rPr>
          <w:lang w:val="ru-RU"/>
        </w:rPr>
        <w:tab/>
      </w:r>
      <w:r>
        <w:rPr>
          <w:bCs/>
          <w:lang w:val="ru-RU"/>
        </w:rPr>
        <w:t>Предложение</w:t>
      </w:r>
    </w:p>
    <w:p w:rsidR="00AC53BC" w:rsidRPr="00C47906" w:rsidRDefault="00AC53BC" w:rsidP="00AC53BC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/>
        <w:rPr>
          <w:iCs/>
        </w:rPr>
      </w:pPr>
      <w:r>
        <w:rPr>
          <w:i/>
          <w:iCs/>
        </w:rPr>
        <w:t xml:space="preserve">Пункт 5.1.6.1.1 </w:t>
      </w:r>
      <w:r>
        <w:t>изменить следующим образом:</w:t>
      </w:r>
    </w:p>
    <w:p w:rsidR="00AC53BC" w:rsidRPr="006F34B2" w:rsidRDefault="00AC53BC" w:rsidP="00AC53BC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MS Mincho"/>
          <w:bCs/>
        </w:rPr>
      </w:pPr>
      <w:r>
        <w:t>«5.1.6.1.1</w:t>
      </w:r>
      <w:r>
        <w:tab/>
        <w:t>Каждое срабатывание КФРУ немедленно сигнализируется водителю при помощи оптического предупреждающего сигнала, который остается включенным не менее 1 с или на протяжении времени срабатывания в зависимости от того, какой промежуток времени является более продолжительным.</w:t>
      </w:r>
    </w:p>
    <w:p w:rsidR="00AC53BC" w:rsidRPr="00C47906" w:rsidRDefault="00AC53BC" w:rsidP="00AC53BC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MS Mincho"/>
          <w:b/>
          <w:bCs/>
        </w:rPr>
      </w:pPr>
      <w:r>
        <w:tab/>
      </w:r>
      <w:r>
        <w:rPr>
          <w:b/>
          <w:bCs/>
        </w:rPr>
        <w:t>Когда используется режим</w:t>
      </w:r>
      <w:r>
        <w:t xml:space="preserve"> </w:t>
      </w:r>
      <w:r>
        <w:rPr>
          <w:b/>
          <w:bCs/>
        </w:rPr>
        <w:t>мигания, фаза освещения начинается с момента срабатывания и заканчивается с окончанием времени срабатывания или сразу же после срабатывания.</w:t>
      </w:r>
    </w:p>
    <w:p w:rsidR="00AC53BC" w:rsidRPr="00C47906" w:rsidRDefault="00AC53BC" w:rsidP="00AC53BC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MS Mincho"/>
          <w:bCs/>
        </w:rPr>
      </w:pPr>
      <w:r>
        <w:tab/>
        <w:t>В случае срабатывания КФРУ, которое контролируется функцией электронного контроля устойчивости (ЭКУ) или функцией обеспечения устойчивости транспортного средства, указанными в соответствующих правилах ООН (т. е. правила ООН № 13, 13-H или 140), может использоваться проблесковый контрольный сигнал ЭКУ, указывающий на срабатывание ЭКУ, на протяжении времени срабатывания в качестве альтернативы оптическому предупреждающему сигналу, указанному выше».</w:t>
      </w:r>
    </w:p>
    <w:p w:rsidR="00AC53BC" w:rsidRPr="0015027A" w:rsidRDefault="00AC53BC" w:rsidP="00AC53BC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/>
        <w:rPr>
          <w:iCs/>
        </w:rPr>
      </w:pPr>
      <w:r>
        <w:rPr>
          <w:i/>
          <w:iCs/>
        </w:rPr>
        <w:t xml:space="preserve">Пункт 5.1.6.2.6 </w:t>
      </w:r>
      <w:r>
        <w:t>изменить следующим образом:</w:t>
      </w:r>
    </w:p>
    <w:p w:rsidR="00AC53BC" w:rsidRPr="006F34B2" w:rsidRDefault="00AC53BC" w:rsidP="00AC53BC">
      <w:pPr>
        <w:spacing w:after="120"/>
        <w:ind w:left="2268" w:right="1134" w:hanging="1134"/>
        <w:jc w:val="both"/>
      </w:pPr>
      <w:r>
        <w:t>«5.1.6.2.6</w:t>
      </w:r>
      <w:r>
        <w:tab/>
        <w:t xml:space="preserve">Любое срабатывание ФРУАС сигнализируется водителю с помощью оптического и звукового или тактильного предупреждающего сигнала, который подается не позднее момента срабатывания ФРУАС </w:t>
      </w:r>
      <w:r>
        <w:rPr>
          <w:b/>
          <w:bCs/>
        </w:rPr>
        <w:t>и продолжает подаваться на протяжении времени срабатывания</w:t>
      </w:r>
      <w:r>
        <w:t>.</w:t>
      </w:r>
    </w:p>
    <w:p w:rsidR="00AC53BC" w:rsidRPr="006F34B2" w:rsidRDefault="00AC53BC" w:rsidP="00AC53BC">
      <w:pPr>
        <w:spacing w:after="120"/>
        <w:ind w:left="2268" w:right="1134"/>
        <w:jc w:val="both"/>
      </w:pPr>
      <w:r>
        <w:t>В этих целях для соблюдения требований, предъявляемых к соответствующим указанным выше оптическим, звуковым или тактильным предупреждающим сигналам, считаются достаточными соответствующие сигналы, которые используются в других системах предупреждения (например, указание "мертвой зоны", предупреждение о выходе за пределы полосы движения, предупреждение о лобовом столкновении).</w:t>
      </w:r>
    </w:p>
    <w:p w:rsidR="00AC53BC" w:rsidRPr="00C47906" w:rsidRDefault="00AC53BC" w:rsidP="00AC53BC">
      <w:pPr>
        <w:spacing w:after="120"/>
        <w:ind w:left="2268" w:right="1134"/>
        <w:jc w:val="both"/>
        <w:rPr>
          <w:b/>
        </w:rPr>
      </w:pPr>
      <w:r>
        <w:rPr>
          <w:b/>
          <w:bCs/>
        </w:rPr>
        <w:t>Оптический предупреждающий сигнал должен быть мигающим сигналом</w:t>
      </w:r>
      <w:r w:rsidRPr="0015027A">
        <w:rPr>
          <w:bCs/>
        </w:rPr>
        <w:t>»</w:t>
      </w:r>
      <w:r>
        <w:t>.</w:t>
      </w:r>
    </w:p>
    <w:p w:rsidR="00AC53BC" w:rsidRPr="00C47906" w:rsidRDefault="00AC53BC" w:rsidP="00AC53BC">
      <w:pPr>
        <w:spacing w:after="120"/>
        <w:ind w:left="426" w:right="1134" w:firstLine="708"/>
        <w:jc w:val="both"/>
        <w:rPr>
          <w:iCs/>
        </w:rPr>
      </w:pPr>
      <w:r>
        <w:rPr>
          <w:i/>
          <w:iCs/>
        </w:rPr>
        <w:t xml:space="preserve">Пункт 5.6.4.2.3 </w:t>
      </w:r>
      <w:r>
        <w:t>изменить следующим образом:</w:t>
      </w:r>
    </w:p>
    <w:p w:rsidR="00AC53BC" w:rsidRPr="00C47906" w:rsidRDefault="00AC53BC" w:rsidP="00AC53BC">
      <w:pPr>
        <w:spacing w:after="120"/>
        <w:ind w:left="2268" w:right="1134" w:hanging="1134"/>
        <w:jc w:val="both"/>
      </w:pPr>
      <w:r>
        <w:t>«5.6.4.2.3</w:t>
      </w:r>
      <w:r>
        <w:tab/>
        <w:t>Систему можно активировать (режим ожидания) только в результате преднамеренного действия водителя.</w:t>
      </w:r>
    </w:p>
    <w:p w:rsidR="00AC53BC" w:rsidRPr="006F34B2" w:rsidRDefault="00AC53BC" w:rsidP="00AC53BC">
      <w:pPr>
        <w:spacing w:after="120"/>
        <w:ind w:left="2268" w:right="1134" w:hanging="1134"/>
        <w:jc w:val="both"/>
      </w:pPr>
      <w:r>
        <w:tab/>
        <w:t>Активация водителем возможна только на дорогах, на которых движение велосипедистов и пешеходов запрещено и которые оснащены, в силу своей конструкции, соответствующим физическим элементом, разделяющим потоки транспортных средств, движущиеся в противоположных направлениях, и имеют не менее двух полос в направлении движения этих транспортных средств. Выполнение этих условий должно обеспечиваться путем использования не менее двух независимых средств.</w:t>
      </w:r>
    </w:p>
    <w:p w:rsidR="00AC53BC" w:rsidRPr="00C47906" w:rsidRDefault="00AC53BC" w:rsidP="00AC53BC">
      <w:pPr>
        <w:spacing w:after="120"/>
        <w:ind w:left="2268" w:right="1134" w:hanging="1134"/>
        <w:jc w:val="both"/>
      </w:pPr>
      <w:r>
        <w:tab/>
        <w:t xml:space="preserve">В случае перехода с типа дороги, категория которой допускает использование АФРУ категории C, на тип дороги, на которой использование АФРУ категории C не допускается, система должна отключаться автоматически </w:t>
      </w:r>
      <w:r>
        <w:rPr>
          <w:b/>
          <w:bCs/>
        </w:rPr>
        <w:t>(режим "выкл.")</w:t>
      </w:r>
      <w:r>
        <w:rPr>
          <w:bCs/>
        </w:rPr>
        <w:t>»</w:t>
      </w:r>
      <w:r>
        <w:t>.</w:t>
      </w:r>
    </w:p>
    <w:p w:rsidR="00AC53BC" w:rsidRPr="00C47906" w:rsidRDefault="00AC53BC" w:rsidP="00AC53BC">
      <w:pPr>
        <w:spacing w:after="120" w:line="240" w:lineRule="auto"/>
        <w:ind w:left="2268" w:right="1134" w:hanging="1134"/>
        <w:jc w:val="both"/>
        <w:rPr>
          <w:iCs/>
        </w:rPr>
      </w:pPr>
      <w:r>
        <w:rPr>
          <w:i/>
          <w:iCs/>
        </w:rPr>
        <w:t xml:space="preserve">Пункт 5.6.4.5.6 </w:t>
      </w:r>
      <w:r>
        <w:t>изменить следующим образом:</w:t>
      </w:r>
    </w:p>
    <w:p w:rsidR="00AC53BC" w:rsidRPr="00C47906" w:rsidRDefault="00AC53BC" w:rsidP="00AC53BC">
      <w:pPr>
        <w:spacing w:after="120" w:line="240" w:lineRule="auto"/>
        <w:ind w:left="2268" w:right="1134" w:hanging="1134"/>
        <w:jc w:val="both"/>
      </w:pPr>
      <w:r>
        <w:t>«5.6.4.5.6</w:t>
      </w:r>
      <w:r>
        <w:tab/>
        <w:t>Система должна быть оснащена функцией обнаружения того, что водитель осуществляет контроль над рулевым управлением, и должна обеспечивать предупреждения в соответствии с принципами, указанными ниже.</w:t>
      </w:r>
    </w:p>
    <w:p w:rsidR="00AC53BC" w:rsidRPr="00C47906" w:rsidRDefault="00AC53BC" w:rsidP="00AC53BC">
      <w:pPr>
        <w:spacing w:after="120" w:line="240" w:lineRule="auto"/>
        <w:ind w:left="2268" w:right="1134" w:hanging="1134"/>
        <w:jc w:val="both"/>
      </w:pPr>
      <w:r>
        <w:lastRenderedPageBreak/>
        <w:tab/>
        <w:t xml:space="preserve">Если по истечении периода продолжительностью не более 3 с после начала процедуры смены полосы </w:t>
      </w:r>
      <w:r>
        <w:rPr>
          <w:b/>
          <w:bCs/>
        </w:rPr>
        <w:t>и до начала маневра по смене полосы</w:t>
      </w:r>
      <w:r>
        <w:t xml:space="preserve"> водитель не возобновляет контроль над рулевым управлением, то подается оптический предупреждающий сигнал. Этот сигнал должен быть таким же, как и сигнал, указанный в пункте 5.6.2.2.5, выше.</w:t>
      </w:r>
    </w:p>
    <w:p w:rsidR="00AC53BC" w:rsidRPr="00C47906" w:rsidRDefault="00AC53BC" w:rsidP="00AC53BC">
      <w:pPr>
        <w:spacing w:after="120" w:line="240" w:lineRule="auto"/>
        <w:ind w:left="2268" w:right="1134" w:hanging="1134"/>
        <w:jc w:val="both"/>
        <w:rPr>
          <w:b/>
        </w:rPr>
      </w:pPr>
      <w:r>
        <w:tab/>
        <w:t xml:space="preserve">Предупреждающий сигнал остается включенным до тех пор, пока водитель не возобновит контроль над рулевым управлением или пока система не будет деактивирована либо вручную, либо автоматически </w:t>
      </w:r>
      <w:r>
        <w:rPr>
          <w:b/>
          <w:bCs/>
        </w:rPr>
        <w:t>согласно пункту 5.6.4.6.8</w:t>
      </w:r>
      <w:r>
        <w:rPr>
          <w:bCs/>
        </w:rPr>
        <w:t>»</w:t>
      </w:r>
      <w:r>
        <w:t>.</w:t>
      </w:r>
    </w:p>
    <w:p w:rsidR="00AC53BC" w:rsidRPr="009047B9" w:rsidRDefault="00AC53BC" w:rsidP="00AC53B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>
        <w:rPr>
          <w:b/>
          <w:bCs/>
        </w:rPr>
        <w:tab/>
      </w:r>
      <w:r w:rsidRPr="009047B9">
        <w:rPr>
          <w:b/>
          <w:bCs/>
          <w:sz w:val="28"/>
          <w:szCs w:val="28"/>
        </w:rPr>
        <w:t>II.</w:t>
      </w:r>
      <w:r w:rsidRPr="009047B9">
        <w:rPr>
          <w:sz w:val="28"/>
          <w:szCs w:val="28"/>
        </w:rPr>
        <w:tab/>
      </w:r>
      <w:r w:rsidRPr="009047B9">
        <w:rPr>
          <w:b/>
          <w:bCs/>
          <w:sz w:val="28"/>
          <w:szCs w:val="28"/>
        </w:rPr>
        <w:t>Обоснование</w:t>
      </w:r>
    </w:p>
    <w:p w:rsidR="00AC53BC" w:rsidRPr="00C47906" w:rsidRDefault="00AC53BC" w:rsidP="00AC53BC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bCs/>
          <w:lang w:val="ru-RU"/>
        </w:rPr>
        <w:t>А.</w:t>
      </w:r>
      <w:r>
        <w:rPr>
          <w:lang w:val="ru-RU"/>
        </w:rPr>
        <w:tab/>
      </w:r>
      <w:r>
        <w:rPr>
          <w:bCs/>
          <w:lang w:val="ru-RU"/>
        </w:rPr>
        <w:t>Пункт 5.1.6.1.1</w:t>
      </w:r>
    </w:p>
    <w:p w:rsidR="00AC53BC" w:rsidRPr="00C47906" w:rsidRDefault="00AC53BC" w:rsidP="00AC53BC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Предлагается уточнить требование, касающееся визуализации оптического сигнала, при использовании режима мигания для информирования водителя о срабатывании КФРУ для того, чтобы обеспечить водителю достаточный свет.</w:t>
      </w:r>
    </w:p>
    <w:p w:rsidR="00AC53BC" w:rsidRPr="00C47906" w:rsidRDefault="00AC53BC" w:rsidP="00AC53BC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bCs/>
          <w:lang w:val="ru-RU"/>
        </w:rPr>
        <w:t>B.</w:t>
      </w:r>
      <w:r>
        <w:rPr>
          <w:lang w:val="ru-RU"/>
        </w:rPr>
        <w:tab/>
      </w:r>
      <w:r>
        <w:rPr>
          <w:bCs/>
          <w:lang w:val="ru-RU"/>
        </w:rPr>
        <w:t>Пункт 5.1.6.2.6</w:t>
      </w:r>
    </w:p>
    <w:p w:rsidR="00AC53BC" w:rsidRPr="00C47906" w:rsidRDefault="00AC53BC" w:rsidP="00AC53BC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Предлагается указать продолжительность сигналов, как для других категорий АФРУ (например, КФРУ). Кроме того, режим мигания оптического сигнала должен быть приоритетным по аналогии с другой системой, срабатывающей в ситуации, когда существует опасность (например, срабатывание ЭКУ).</w:t>
      </w:r>
    </w:p>
    <w:p w:rsidR="00AC53BC" w:rsidRPr="00C47906" w:rsidRDefault="00AC53BC" w:rsidP="00AC53BC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bCs/>
          <w:lang w:val="ru-RU"/>
        </w:rPr>
        <w:t>C.</w:t>
      </w:r>
      <w:r>
        <w:rPr>
          <w:lang w:val="ru-RU"/>
        </w:rPr>
        <w:tab/>
      </w:r>
      <w:r>
        <w:rPr>
          <w:bCs/>
          <w:lang w:val="ru-RU"/>
        </w:rPr>
        <w:t>Пункт 5.6.4.2.3</w:t>
      </w:r>
    </w:p>
    <w:p w:rsidR="00AC53BC" w:rsidRPr="00C47906" w:rsidRDefault="00AC53BC" w:rsidP="00AC53BC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Предлагается добавить «режим "выкл."» в конце предложения для уточнения.</w:t>
      </w:r>
    </w:p>
    <w:p w:rsidR="00AC53BC" w:rsidRPr="00C47906" w:rsidRDefault="00AC53BC" w:rsidP="00AC53BC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bCs/>
          <w:lang w:val="ru-RU"/>
        </w:rPr>
        <w:t>D.</w:t>
      </w:r>
      <w:r>
        <w:rPr>
          <w:lang w:val="ru-RU"/>
        </w:rPr>
        <w:tab/>
      </w:r>
      <w:r>
        <w:rPr>
          <w:bCs/>
          <w:lang w:val="ru-RU"/>
        </w:rPr>
        <w:t>Пункт 5.6.4.5.6</w:t>
      </w:r>
    </w:p>
    <w:p w:rsidR="00AC53BC" w:rsidRPr="00C47906" w:rsidRDefault="00AC53BC" w:rsidP="00AC53BC">
      <w:pPr>
        <w:pStyle w:val="SingleTxtG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См. пункт 5.6.4.6.8, в котором определяются различные случаи ручной и автоматической деактивации.</w:t>
      </w:r>
    </w:p>
    <w:p w:rsidR="00AC53BC" w:rsidRPr="00AC53BC" w:rsidRDefault="00AC53BC" w:rsidP="00AC53BC">
      <w:pPr>
        <w:pStyle w:val="SingleTxtGR"/>
        <w:spacing w:before="240" w:after="0"/>
        <w:jc w:val="center"/>
        <w:rPr>
          <w:u w:val="single"/>
          <w:lang w:eastAsia="nl-NL"/>
        </w:rPr>
      </w:pPr>
      <w:r>
        <w:rPr>
          <w:u w:val="single"/>
          <w:lang w:eastAsia="nl-NL"/>
        </w:rPr>
        <w:tab/>
      </w:r>
      <w:r>
        <w:rPr>
          <w:u w:val="single"/>
          <w:lang w:eastAsia="nl-NL"/>
        </w:rPr>
        <w:tab/>
      </w:r>
      <w:r>
        <w:rPr>
          <w:u w:val="single"/>
          <w:lang w:eastAsia="nl-NL"/>
        </w:rPr>
        <w:tab/>
      </w:r>
    </w:p>
    <w:p w:rsidR="005E3BD9" w:rsidRDefault="005E3BD9">
      <w:pPr>
        <w:suppressAutoHyphens w:val="0"/>
        <w:spacing w:line="240" w:lineRule="auto"/>
      </w:pPr>
    </w:p>
    <w:p w:rsidR="005E3BD9" w:rsidRDefault="005E3BD9">
      <w:pPr>
        <w:suppressAutoHyphens w:val="0"/>
        <w:spacing w:line="240" w:lineRule="auto"/>
      </w:pPr>
    </w:p>
    <w:p w:rsidR="00E12C5F" w:rsidRPr="008D53B6" w:rsidRDefault="00E12C5F" w:rsidP="002E5067"/>
    <w:sectPr w:rsidR="00E12C5F" w:rsidRPr="008D53B6" w:rsidSect="005E3BD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1C1" w:rsidRPr="00A312BC" w:rsidRDefault="002141C1" w:rsidP="00A312BC"/>
  </w:endnote>
  <w:endnote w:type="continuationSeparator" w:id="0">
    <w:p w:rsidR="002141C1" w:rsidRPr="00A312BC" w:rsidRDefault="002141C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BD9" w:rsidRPr="005E3BD9" w:rsidRDefault="005E3BD9">
    <w:pPr>
      <w:pStyle w:val="Footer"/>
    </w:pPr>
    <w:r w:rsidRPr="005E3BD9">
      <w:rPr>
        <w:b/>
        <w:sz w:val="18"/>
      </w:rPr>
      <w:fldChar w:fldCharType="begin"/>
    </w:r>
    <w:r w:rsidRPr="005E3BD9">
      <w:rPr>
        <w:b/>
        <w:sz w:val="18"/>
      </w:rPr>
      <w:instrText xml:space="preserve"> PAGE  \* MERGEFORMAT </w:instrText>
    </w:r>
    <w:r w:rsidRPr="005E3BD9">
      <w:rPr>
        <w:b/>
        <w:sz w:val="18"/>
      </w:rPr>
      <w:fldChar w:fldCharType="separate"/>
    </w:r>
    <w:r w:rsidR="000D23BC">
      <w:rPr>
        <w:b/>
        <w:noProof/>
        <w:sz w:val="18"/>
      </w:rPr>
      <w:t>2</w:t>
    </w:r>
    <w:r w:rsidRPr="005E3BD9">
      <w:rPr>
        <w:b/>
        <w:sz w:val="18"/>
      </w:rPr>
      <w:fldChar w:fldCharType="end"/>
    </w:r>
    <w:r>
      <w:rPr>
        <w:b/>
        <w:sz w:val="18"/>
      </w:rPr>
      <w:tab/>
    </w:r>
    <w:r>
      <w:t>GE.18-19718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BD9" w:rsidRPr="005E3BD9" w:rsidRDefault="005E3BD9" w:rsidP="005E3BD9">
    <w:pPr>
      <w:pStyle w:val="Footer"/>
      <w:tabs>
        <w:tab w:val="clear" w:pos="9639"/>
        <w:tab w:val="right" w:pos="9638"/>
      </w:tabs>
      <w:rPr>
        <w:b/>
        <w:sz w:val="18"/>
      </w:rPr>
    </w:pPr>
    <w:r>
      <w:t>GE.18-19718</w:t>
    </w:r>
    <w:r>
      <w:tab/>
    </w:r>
    <w:r w:rsidRPr="005E3BD9">
      <w:rPr>
        <w:b/>
        <w:sz w:val="18"/>
      </w:rPr>
      <w:fldChar w:fldCharType="begin"/>
    </w:r>
    <w:r w:rsidRPr="005E3BD9">
      <w:rPr>
        <w:b/>
        <w:sz w:val="18"/>
      </w:rPr>
      <w:instrText xml:space="preserve"> PAGE  \* MERGEFORMAT </w:instrText>
    </w:r>
    <w:r w:rsidRPr="005E3BD9">
      <w:rPr>
        <w:b/>
        <w:sz w:val="18"/>
      </w:rPr>
      <w:fldChar w:fldCharType="separate"/>
    </w:r>
    <w:r w:rsidR="000D23BC">
      <w:rPr>
        <w:b/>
        <w:noProof/>
        <w:sz w:val="18"/>
      </w:rPr>
      <w:t>3</w:t>
    </w:r>
    <w:r w:rsidRPr="005E3BD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E3BD9" w:rsidRDefault="005E3BD9" w:rsidP="005E3BD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18-19718  (R)</w:t>
    </w:r>
    <w:r>
      <w:rPr>
        <w:lang w:val="en-US"/>
      </w:rPr>
      <w:t xml:space="preserve">  301118  031218</w:t>
    </w:r>
    <w:r>
      <w:br/>
    </w:r>
    <w:r w:rsidRPr="005E3BD9">
      <w:rPr>
        <w:rFonts w:ascii="C39T30Lfz" w:hAnsi="C39T30Lfz"/>
        <w:kern w:val="14"/>
        <w:sz w:val="56"/>
      </w:rPr>
      <w:t></w:t>
    </w:r>
    <w:r w:rsidRPr="005E3BD9">
      <w:rPr>
        <w:rFonts w:ascii="C39T30Lfz" w:hAnsi="C39T30Lfz"/>
        <w:kern w:val="14"/>
        <w:sz w:val="56"/>
      </w:rPr>
      <w:t></w:t>
    </w:r>
    <w:r w:rsidRPr="005E3BD9">
      <w:rPr>
        <w:rFonts w:ascii="C39T30Lfz" w:hAnsi="C39T30Lfz"/>
        <w:kern w:val="14"/>
        <w:sz w:val="56"/>
      </w:rPr>
      <w:t></w:t>
    </w:r>
    <w:r w:rsidRPr="005E3BD9">
      <w:rPr>
        <w:rFonts w:ascii="C39T30Lfz" w:hAnsi="C39T30Lfz"/>
        <w:kern w:val="14"/>
        <w:sz w:val="56"/>
      </w:rPr>
      <w:t></w:t>
    </w:r>
    <w:r w:rsidRPr="005E3BD9">
      <w:rPr>
        <w:rFonts w:ascii="C39T30Lfz" w:hAnsi="C39T30Lfz"/>
        <w:kern w:val="14"/>
        <w:sz w:val="56"/>
      </w:rPr>
      <w:t></w:t>
    </w:r>
    <w:r w:rsidRPr="005E3BD9">
      <w:rPr>
        <w:rFonts w:ascii="C39T30Lfz" w:hAnsi="C39T30Lfz"/>
        <w:kern w:val="14"/>
        <w:sz w:val="56"/>
      </w:rPr>
      <w:t></w:t>
    </w:r>
    <w:r w:rsidRPr="005E3BD9">
      <w:rPr>
        <w:rFonts w:ascii="C39T30Lfz" w:hAnsi="C39T30Lfz"/>
        <w:kern w:val="14"/>
        <w:sz w:val="56"/>
      </w:rPr>
      <w:t></w:t>
    </w:r>
    <w:r w:rsidRPr="005E3BD9">
      <w:rPr>
        <w:rFonts w:ascii="C39T30Lfz" w:hAnsi="C39T30Lfz"/>
        <w:kern w:val="14"/>
        <w:sz w:val="56"/>
      </w:rPr>
      <w:t></w:t>
    </w:r>
    <w:r w:rsidRPr="005E3BD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19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1C1" w:rsidRPr="001075E9" w:rsidRDefault="002141C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141C1" w:rsidRDefault="002141C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C53BC" w:rsidRPr="00C47906" w:rsidRDefault="00AC53BC" w:rsidP="00AC53BC">
      <w:pPr>
        <w:pStyle w:val="FootnoteText"/>
      </w:pPr>
      <w:r>
        <w:tab/>
      </w:r>
      <w:r w:rsidRPr="00AC53BC">
        <w:rPr>
          <w:sz w:val="20"/>
        </w:rPr>
        <w:t>*</w:t>
      </w:r>
      <w:r>
        <w:tab/>
        <w:t xml:space="preserve">Прежнее название: </w:t>
      </w:r>
      <w:r>
        <w:rPr>
          <w:b/>
          <w:bCs/>
        </w:rPr>
        <w:t>Рабочая группа по вопросам торможения и ходовой части (GRRF)</w:t>
      </w:r>
      <w:r w:rsidRPr="006A76A6">
        <w:rPr>
          <w:bCs/>
        </w:rPr>
        <w:t>.</w:t>
      </w:r>
    </w:p>
  </w:footnote>
  <w:footnote w:id="2">
    <w:p w:rsidR="00AC53BC" w:rsidRPr="00F871B2" w:rsidRDefault="00AC53BC" w:rsidP="00AC53BC">
      <w:pPr>
        <w:pStyle w:val="FootnoteText"/>
        <w:rPr>
          <w:rFonts w:asciiTheme="majorBidi" w:hAnsiTheme="majorBidi" w:cstheme="majorBidi"/>
        </w:rPr>
      </w:pPr>
      <w:r>
        <w:tab/>
      </w:r>
      <w:r w:rsidRPr="00AC53BC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BD9" w:rsidRPr="005E3BD9" w:rsidRDefault="000D23BC">
    <w:pPr>
      <w:pStyle w:val="Header"/>
    </w:pPr>
    <w:fldSimple w:instr=" TITLE  \* MERGEFORMAT ">
      <w:r>
        <w:t>ECE/TRANS/WP.29/GRVA/2019/10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BD9" w:rsidRPr="005E3BD9" w:rsidRDefault="000D23BC" w:rsidP="005E3BD9">
    <w:pPr>
      <w:pStyle w:val="Header"/>
      <w:jc w:val="right"/>
    </w:pPr>
    <w:fldSimple w:instr=" TITLE  \* MERGEFORMAT ">
      <w:r>
        <w:t>ECE/TRANS/WP.29/GRVA/2019/10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1C1"/>
    <w:rsid w:val="00033EE1"/>
    <w:rsid w:val="00042B72"/>
    <w:rsid w:val="00047006"/>
    <w:rsid w:val="000558BD"/>
    <w:rsid w:val="000B57E7"/>
    <w:rsid w:val="000B6373"/>
    <w:rsid w:val="000D23BC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41C1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26C6D"/>
    <w:rsid w:val="00452493"/>
    <w:rsid w:val="00453318"/>
    <w:rsid w:val="00454AF2"/>
    <w:rsid w:val="00454E07"/>
    <w:rsid w:val="00472C5C"/>
    <w:rsid w:val="00496DF0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E3BD9"/>
    <w:rsid w:val="005F0B42"/>
    <w:rsid w:val="00617A43"/>
    <w:rsid w:val="006345DB"/>
    <w:rsid w:val="00640F49"/>
    <w:rsid w:val="00680D03"/>
    <w:rsid w:val="00681A10"/>
    <w:rsid w:val="006A1ED8"/>
    <w:rsid w:val="006A76A6"/>
    <w:rsid w:val="006C2031"/>
    <w:rsid w:val="006D461A"/>
    <w:rsid w:val="006E6454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57395"/>
    <w:rsid w:val="00A84021"/>
    <w:rsid w:val="00A84D35"/>
    <w:rsid w:val="00A917B3"/>
    <w:rsid w:val="00AB4B51"/>
    <w:rsid w:val="00AC53BC"/>
    <w:rsid w:val="00B10CC7"/>
    <w:rsid w:val="00B163AC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A3B8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FAC98A9-4193-454F-B167-17A65804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AC53B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rsid w:val="00AC53BC"/>
    <w:rPr>
      <w:lang w:val="en-US"/>
    </w:rPr>
  </w:style>
  <w:style w:type="paragraph" w:customStyle="1" w:styleId="SingleTxtG">
    <w:name w:val="_ Single Txt_G"/>
    <w:basedOn w:val="Normal"/>
    <w:link w:val="SingleTxtGChar"/>
    <w:qFormat/>
    <w:rsid w:val="00AC53BC"/>
    <w:pPr>
      <w:tabs>
        <w:tab w:val="left" w:pos="1701"/>
      </w:tabs>
      <w:spacing w:after="120"/>
      <w:ind w:left="1134" w:right="1134"/>
      <w:jc w:val="both"/>
    </w:pPr>
    <w:rPr>
      <w:rFonts w:eastAsia="Times New Roman" w:cs="Times New Roman"/>
      <w:szCs w:val="20"/>
      <w:lang w:val="en-US" w:eastAsia="es-ES"/>
    </w:rPr>
  </w:style>
  <w:style w:type="paragraph" w:customStyle="1" w:styleId="H1G">
    <w:name w:val="_ H_1_G"/>
    <w:basedOn w:val="Normal"/>
    <w:next w:val="Normal"/>
    <w:link w:val="H1GChar"/>
    <w:rsid w:val="00AC53B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rsid w:val="00AC53BC"/>
    <w:rPr>
      <w:b/>
      <w:sz w:val="28"/>
      <w:lang w:val="en-GB" w:eastAsia="en-US"/>
    </w:rPr>
  </w:style>
  <w:style w:type="character" w:customStyle="1" w:styleId="H1GChar">
    <w:name w:val="_ H_1_G Char"/>
    <w:link w:val="H1G"/>
    <w:locked/>
    <w:rsid w:val="00AC53BC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ECE/TRANS/WP.29/GRVA/2019/10</vt:lpstr>
      <vt:lpstr>A/</vt:lpstr>
      <vt:lpstr>A/</vt:lpstr>
    </vt:vector>
  </TitlesOfParts>
  <Company>DCM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ECE/TRANS/WP.29/GRVA/2019/10</dc:title>
  <dc:subject/>
  <dc:creator>Ekaterina SALYNSKAYA</dc:creator>
  <cp:keywords/>
  <cp:lastModifiedBy>Benedicte Boudol</cp:lastModifiedBy>
  <cp:revision>2</cp:revision>
  <cp:lastPrinted>2018-12-03T09:08:00Z</cp:lastPrinted>
  <dcterms:created xsi:type="dcterms:W3CDTF">2018-12-10T08:52:00Z</dcterms:created>
  <dcterms:modified xsi:type="dcterms:W3CDTF">2018-12-10T08:52:00Z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