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B61A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B61A6" w:rsidP="008B61A6">
            <w:pPr>
              <w:jc w:val="right"/>
            </w:pPr>
            <w:r w:rsidRPr="008B61A6">
              <w:rPr>
                <w:sz w:val="40"/>
              </w:rPr>
              <w:t>ECE</w:t>
            </w:r>
            <w:r>
              <w:t>/TRANS/WP.29/GRVA/2019/7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B61A6" w:rsidP="00C97039">
            <w:pPr>
              <w:spacing w:before="240"/>
            </w:pPr>
            <w:r>
              <w:t>Distr. générale</w:t>
            </w:r>
          </w:p>
          <w:p w:rsidR="008B61A6" w:rsidRDefault="008B61A6" w:rsidP="008B61A6">
            <w:pPr>
              <w:spacing w:line="240" w:lineRule="exact"/>
            </w:pPr>
            <w:r>
              <w:t>19 novembre 2018</w:t>
            </w:r>
          </w:p>
          <w:p w:rsidR="008B61A6" w:rsidRDefault="008B61A6" w:rsidP="008B61A6">
            <w:pPr>
              <w:spacing w:line="240" w:lineRule="exact"/>
            </w:pPr>
            <w:r>
              <w:t>Français</w:t>
            </w:r>
          </w:p>
          <w:p w:rsidR="008B61A6" w:rsidRPr="00DB58B5" w:rsidRDefault="008B61A6" w:rsidP="008B61A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B61A6" w:rsidRDefault="008B61A6"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B61A6" w:rsidRDefault="008B61A6"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A143E6">
        <w:rPr>
          <w:rStyle w:val="FootnoteReference"/>
          <w:rFonts w:eastAsia="Times New Roman"/>
          <w:bCs/>
          <w:sz w:val="20"/>
          <w:vertAlign w:val="baseline"/>
        </w:rPr>
        <w:footnoteReference w:customMarkFollows="1" w:id="2"/>
        <w:t>*</w:t>
      </w:r>
    </w:p>
    <w:p w:rsidR="008B61A6" w:rsidRDefault="008B61A6" w:rsidP="00A3029F">
      <w:pPr>
        <w:spacing w:before="120"/>
        <w:rPr>
          <w:b/>
        </w:rPr>
      </w:pPr>
      <w:r w:rsidRPr="00DC01E7">
        <w:rPr>
          <w:b/>
          <w:bCs/>
          <w:lang w:val="fr-FR"/>
        </w:rPr>
        <w:t>Deuxième</w:t>
      </w:r>
      <w:r>
        <w:rPr>
          <w:b/>
        </w:rPr>
        <w:t xml:space="preserve"> session</w:t>
      </w:r>
    </w:p>
    <w:p w:rsidR="008B61A6" w:rsidRDefault="008B61A6" w:rsidP="00A3029F">
      <w:pPr>
        <w:spacing w:line="240" w:lineRule="exact"/>
      </w:pPr>
      <w:r>
        <w:t xml:space="preserve">Genève, </w:t>
      </w:r>
      <w:r w:rsidRPr="00DC01E7">
        <w:rPr>
          <w:lang w:val="fr-FR"/>
        </w:rPr>
        <w:t>28 janvier-1</w:t>
      </w:r>
      <w:r w:rsidRPr="00A143E6">
        <w:rPr>
          <w:vertAlign w:val="superscript"/>
          <w:lang w:val="fr-FR"/>
        </w:rPr>
        <w:t>er</w:t>
      </w:r>
      <w:r w:rsidR="00A143E6">
        <w:rPr>
          <w:lang w:val="fr-FR"/>
        </w:rPr>
        <w:t xml:space="preserve"> </w:t>
      </w:r>
      <w:r w:rsidRPr="00DC01E7">
        <w:rPr>
          <w:lang w:val="fr-FR"/>
        </w:rPr>
        <w:t>février 2019</w:t>
      </w:r>
    </w:p>
    <w:p w:rsidR="008B61A6" w:rsidRDefault="008B61A6" w:rsidP="00A3029F">
      <w:pPr>
        <w:spacing w:line="240" w:lineRule="exact"/>
        <w:rPr>
          <w:lang w:val="fr-FR"/>
        </w:rPr>
      </w:pPr>
      <w:r>
        <w:t xml:space="preserve">Point </w:t>
      </w:r>
      <w:r w:rsidRPr="00DC01E7">
        <w:rPr>
          <w:lang w:val="fr-FR"/>
        </w:rPr>
        <w:t>8 b) de l</w:t>
      </w:r>
      <w:r>
        <w:rPr>
          <w:lang w:val="fr-FR"/>
        </w:rPr>
        <w:t>’</w:t>
      </w:r>
      <w:r w:rsidRPr="00DC01E7">
        <w:rPr>
          <w:lang w:val="fr-FR"/>
        </w:rPr>
        <w:t>ordre du jour provisoire</w:t>
      </w:r>
    </w:p>
    <w:p w:rsidR="00A143E6" w:rsidRDefault="00A143E6" w:rsidP="00A3029F">
      <w:pPr>
        <w:spacing w:line="240" w:lineRule="exact"/>
      </w:pPr>
      <w:r w:rsidRPr="00DC01E7">
        <w:rPr>
          <w:b/>
          <w:bCs/>
          <w:lang w:val="fr-FR"/>
        </w:rPr>
        <w:t xml:space="preserve">Freinage des motocycles </w:t>
      </w:r>
      <w:r>
        <w:rPr>
          <w:b/>
          <w:bCs/>
          <w:lang w:val="fr-FR"/>
        </w:rPr>
        <w:t>−</w:t>
      </w:r>
      <w:r w:rsidRPr="00DC01E7">
        <w:rPr>
          <w:b/>
          <w:bCs/>
          <w:lang w:val="fr-FR"/>
        </w:rPr>
        <w:t xml:space="preserve"> Règlement </w:t>
      </w:r>
      <w:r>
        <w:rPr>
          <w:b/>
          <w:bCs/>
          <w:lang w:val="fr-FR"/>
        </w:rPr>
        <w:t xml:space="preserve">ONU </w:t>
      </w:r>
      <w:r w:rsidRPr="00A143E6">
        <w:rPr>
          <w:rFonts w:eastAsia="MS Mincho"/>
          <w:b/>
          <w:bCs/>
          <w:lang w:val="fr-FR"/>
        </w:rPr>
        <w:t>n</w:t>
      </w:r>
      <w:r w:rsidRPr="00A143E6">
        <w:rPr>
          <w:rFonts w:eastAsia="MS Mincho"/>
          <w:b/>
          <w:bCs/>
          <w:vertAlign w:val="superscript"/>
          <w:lang w:val="fr-FR"/>
        </w:rPr>
        <w:t>o</w:t>
      </w:r>
      <w:r>
        <w:rPr>
          <w:b/>
          <w:bCs/>
          <w:lang w:val="fr-FR"/>
        </w:rPr>
        <w:t> </w:t>
      </w:r>
      <w:r w:rsidRPr="00DC01E7">
        <w:rPr>
          <w:b/>
          <w:bCs/>
          <w:lang w:val="fr-FR"/>
        </w:rPr>
        <w:t>78</w:t>
      </w:r>
    </w:p>
    <w:p w:rsidR="008B61A6" w:rsidRPr="008B61A6" w:rsidRDefault="008B61A6" w:rsidP="00A143E6">
      <w:pPr>
        <w:pStyle w:val="HChG"/>
        <w:rPr>
          <w:lang w:val="fr-FR"/>
        </w:rPr>
      </w:pPr>
      <w:r w:rsidRPr="008B61A6">
        <w:rPr>
          <w:lang w:val="fr-FR"/>
        </w:rPr>
        <w:tab/>
      </w:r>
      <w:r w:rsidRPr="008B61A6">
        <w:rPr>
          <w:lang w:val="fr-FR"/>
        </w:rPr>
        <w:tab/>
        <w:t xml:space="preserve">Proposition d’amendements à la série 04 d’amendements </w:t>
      </w:r>
      <w:r w:rsidR="00A143E6">
        <w:rPr>
          <w:lang w:val="fr-FR"/>
        </w:rPr>
        <w:br/>
      </w:r>
      <w:r w:rsidRPr="008B61A6">
        <w:rPr>
          <w:lang w:val="fr-FR"/>
        </w:rPr>
        <w:t xml:space="preserve">au Règlement </w:t>
      </w:r>
      <w:r w:rsidR="00A143E6" w:rsidRPr="00A143E6">
        <w:rPr>
          <w:rFonts w:eastAsia="MS Mincho"/>
          <w:lang w:val="fr-FR"/>
        </w:rPr>
        <w:t>n</w:t>
      </w:r>
      <w:r w:rsidR="00A143E6" w:rsidRPr="00A143E6">
        <w:rPr>
          <w:rFonts w:eastAsia="MS Mincho"/>
          <w:vertAlign w:val="superscript"/>
          <w:lang w:val="fr-FR"/>
        </w:rPr>
        <w:t>o</w:t>
      </w:r>
      <w:r w:rsidRPr="008B61A6">
        <w:rPr>
          <w:lang w:val="fr-FR"/>
        </w:rPr>
        <w:t xml:space="preserve"> 78 (Freinage des motocycles)</w:t>
      </w:r>
    </w:p>
    <w:p w:rsidR="008B61A6" w:rsidRPr="008B61A6" w:rsidRDefault="008B61A6" w:rsidP="00A143E6">
      <w:pPr>
        <w:pStyle w:val="H1G"/>
        <w:rPr>
          <w:lang w:val="fr-FR"/>
        </w:rPr>
      </w:pPr>
      <w:r w:rsidRPr="008B61A6">
        <w:rPr>
          <w:lang w:val="fr-FR"/>
        </w:rPr>
        <w:tab/>
      </w:r>
      <w:r w:rsidRPr="008B61A6">
        <w:rPr>
          <w:lang w:val="fr-FR"/>
        </w:rPr>
        <w:tab/>
        <w:t xml:space="preserve">Communication de l’expert de l’Association internationale </w:t>
      </w:r>
      <w:r w:rsidR="00A143E6">
        <w:rPr>
          <w:lang w:val="fr-FR"/>
        </w:rPr>
        <w:br/>
      </w:r>
      <w:r w:rsidRPr="008B61A6">
        <w:rPr>
          <w:lang w:val="fr-FR"/>
        </w:rPr>
        <w:t>des constructeurs de motocycles</w:t>
      </w:r>
      <w:r w:rsidRPr="00A143E6">
        <w:rPr>
          <w:rStyle w:val="FootnoteReference"/>
          <w:b w:val="0"/>
          <w:sz w:val="20"/>
          <w:vertAlign w:val="baseline"/>
        </w:rPr>
        <w:footnoteReference w:customMarkFollows="1" w:id="3"/>
        <w:t>**</w:t>
      </w:r>
    </w:p>
    <w:p w:rsidR="008B61A6" w:rsidRPr="008B61A6" w:rsidRDefault="008B61A6" w:rsidP="008B61A6">
      <w:pPr>
        <w:pStyle w:val="SingleTxtG"/>
        <w:rPr>
          <w:lang w:val="fr-FR"/>
        </w:rPr>
      </w:pPr>
      <w:r w:rsidRPr="008B61A6">
        <w:rPr>
          <w:lang w:val="fr-FR"/>
        </w:rPr>
        <w:tab/>
      </w:r>
      <w:r w:rsidRPr="008B61A6">
        <w:rPr>
          <w:iCs/>
          <w:lang w:val="fr-FR"/>
        </w:rPr>
        <w:t xml:space="preserve">Le texte ci-après, établi par les experts de l’Association internationale des constructeurs de motocycles (IMMA), vise à modifier le Règlement ONU </w:t>
      </w:r>
      <w:r w:rsidR="0017786A" w:rsidRPr="0017786A">
        <w:rPr>
          <w:rFonts w:eastAsia="MS Mincho"/>
          <w:iCs/>
          <w:lang w:val="fr-FR"/>
        </w:rPr>
        <w:t>n</w:t>
      </w:r>
      <w:r w:rsidR="0017786A" w:rsidRPr="0017786A">
        <w:rPr>
          <w:rFonts w:eastAsia="MS Mincho"/>
          <w:iCs/>
          <w:vertAlign w:val="superscript"/>
          <w:lang w:val="fr-FR"/>
        </w:rPr>
        <w:t>o</w:t>
      </w:r>
      <w:r w:rsidR="0017786A">
        <w:rPr>
          <w:rFonts w:eastAsia="MS Mincho"/>
          <w:iCs/>
          <w:vertAlign w:val="superscript"/>
          <w:lang w:val="fr-FR"/>
        </w:rPr>
        <w:t> </w:t>
      </w:r>
      <w:r w:rsidRPr="008B61A6">
        <w:rPr>
          <w:iCs/>
          <w:lang w:val="fr-FR"/>
        </w:rPr>
        <w:t xml:space="preserve">78 </w:t>
      </w:r>
      <w:r w:rsidRPr="008B61A6">
        <w:rPr>
          <w:lang w:val="fr-FR"/>
        </w:rPr>
        <w:t xml:space="preserve">en y introduisant des dispositions selon lesquelles </w:t>
      </w:r>
      <w:r w:rsidRPr="008B61A6">
        <w:rPr>
          <w:iCs/>
          <w:lang w:val="fr-FR"/>
        </w:rPr>
        <w:t>l’allumage des feux-stop n’est plus uniquement déclenché lors de l’activation du frein de service, mais également, par exemple, lors du freinage par récupération.</w:t>
      </w:r>
      <w:r w:rsidRPr="008B61A6">
        <w:rPr>
          <w:lang w:val="fr-FR"/>
        </w:rPr>
        <w:t xml:space="preserve"> </w:t>
      </w:r>
      <w:r w:rsidRPr="008B61A6">
        <w:rPr>
          <w:iCs/>
          <w:lang w:val="fr-FR"/>
        </w:rPr>
        <w:t>Les modifications qu’il est proposé d’apporter au texte actuel du Règlement figurent en caractères gras pour les ajouts et biffés pour les suppressions.</w:t>
      </w:r>
    </w:p>
    <w:p w:rsidR="008B61A6" w:rsidRPr="008B61A6" w:rsidRDefault="0017786A" w:rsidP="0017786A">
      <w:pPr>
        <w:pStyle w:val="HChG"/>
        <w:rPr>
          <w:lang w:val="fr-FR"/>
        </w:rPr>
      </w:pPr>
      <w:r>
        <w:rPr>
          <w:lang w:val="fr-FR"/>
        </w:rPr>
        <w:tab/>
      </w:r>
      <w:r w:rsidR="008B61A6" w:rsidRPr="008B61A6">
        <w:rPr>
          <w:lang w:val="fr-FR"/>
        </w:rPr>
        <w:t>I.</w:t>
      </w:r>
      <w:r w:rsidR="008B61A6" w:rsidRPr="008B61A6">
        <w:rPr>
          <w:lang w:val="fr-FR"/>
        </w:rPr>
        <w:tab/>
        <w:t>Proposition</w:t>
      </w:r>
    </w:p>
    <w:p w:rsidR="008B61A6" w:rsidRPr="0017786A" w:rsidRDefault="008B61A6" w:rsidP="008B61A6">
      <w:pPr>
        <w:pStyle w:val="SingleTxtG"/>
        <w:rPr>
          <w:lang w:val="fr-FR"/>
        </w:rPr>
      </w:pPr>
      <w:r w:rsidRPr="008B61A6">
        <w:rPr>
          <w:i/>
          <w:iCs/>
          <w:lang w:val="fr-FR"/>
        </w:rPr>
        <w:t>Ajouter le nouveau paragraphe 2.31</w:t>
      </w:r>
      <w:r w:rsidR="0017786A" w:rsidRPr="0017786A">
        <w:rPr>
          <w:iCs/>
          <w:lang w:val="fr-FR"/>
        </w:rPr>
        <w:t>, libellé comme suit </w:t>
      </w:r>
      <w:r w:rsidRPr="0017786A">
        <w:rPr>
          <w:iCs/>
          <w:lang w:val="fr-FR"/>
        </w:rPr>
        <w:t>:</w:t>
      </w:r>
    </w:p>
    <w:p w:rsidR="008B61A6" w:rsidRPr="008B61A6" w:rsidRDefault="0017786A" w:rsidP="0017786A">
      <w:pPr>
        <w:pStyle w:val="SingleTxtG"/>
        <w:ind w:left="2268" w:hanging="1134"/>
        <w:rPr>
          <w:lang w:val="fr-FR"/>
        </w:rPr>
      </w:pPr>
      <w:r>
        <w:rPr>
          <w:lang w:val="fr-FR"/>
        </w:rPr>
        <w:t>« </w:t>
      </w:r>
      <w:r>
        <w:rPr>
          <w:b/>
          <w:lang w:val="fr-FR"/>
        </w:rPr>
        <w:t>2.31</w:t>
      </w:r>
      <w:r w:rsidR="008B61A6" w:rsidRPr="008B61A6">
        <w:rPr>
          <w:b/>
          <w:lang w:val="fr-FR"/>
        </w:rPr>
        <w:tab/>
        <w:t>Par “</w:t>
      </w:r>
      <w:r w:rsidR="008B61A6" w:rsidRPr="00C3628C">
        <w:rPr>
          <w:b/>
          <w:i/>
          <w:lang w:val="fr-FR"/>
        </w:rPr>
        <w:t>signal de freinage</w:t>
      </w:r>
      <w:r w:rsidR="008B61A6" w:rsidRPr="008B61A6">
        <w:rPr>
          <w:b/>
          <w:lang w:val="fr-FR"/>
        </w:rPr>
        <w:t>”, un signal logique indiquant quand l’allumage du feu-stop est requis ou autorisé,</w:t>
      </w:r>
      <w:r>
        <w:rPr>
          <w:b/>
          <w:lang w:val="fr-FR"/>
        </w:rPr>
        <w:t xml:space="preserve"> comme spécifié au paragraphe </w:t>
      </w:r>
      <w:r w:rsidR="008B61A6" w:rsidRPr="008B61A6">
        <w:rPr>
          <w:b/>
          <w:lang w:val="fr-FR"/>
        </w:rPr>
        <w:t>5.1.17 du présent Règlement.</w:t>
      </w:r>
      <w:r>
        <w:rPr>
          <w:lang w:val="fr-FR"/>
        </w:rPr>
        <w:t> »</w:t>
      </w:r>
      <w:r w:rsidR="008B61A6" w:rsidRPr="008B61A6">
        <w:rPr>
          <w:lang w:val="fr-FR"/>
        </w:rPr>
        <w:t>.</w:t>
      </w:r>
    </w:p>
    <w:p w:rsidR="008B61A6" w:rsidRPr="0017786A" w:rsidRDefault="008B61A6" w:rsidP="0017786A">
      <w:pPr>
        <w:pStyle w:val="SingleTxtG"/>
        <w:keepNext/>
        <w:rPr>
          <w:lang w:val="fr-FR"/>
        </w:rPr>
      </w:pPr>
      <w:r w:rsidRPr="008B61A6">
        <w:rPr>
          <w:i/>
          <w:lang w:val="fr-FR"/>
        </w:rPr>
        <w:lastRenderedPageBreak/>
        <w:t>Ajouter le nouveau paragraphe 2.32</w:t>
      </w:r>
      <w:r w:rsidR="0017786A">
        <w:rPr>
          <w:lang w:val="fr-FR"/>
        </w:rPr>
        <w:t>, libellé comme suit </w:t>
      </w:r>
      <w:r w:rsidRPr="0017786A">
        <w:rPr>
          <w:lang w:val="fr-FR"/>
        </w:rPr>
        <w:t>:</w:t>
      </w:r>
    </w:p>
    <w:p w:rsidR="008B61A6" w:rsidRPr="008B61A6" w:rsidRDefault="0017786A" w:rsidP="0017786A">
      <w:pPr>
        <w:pStyle w:val="SingleTxtG"/>
        <w:ind w:left="2268" w:hanging="1134"/>
        <w:rPr>
          <w:b/>
          <w:lang w:val="fr-FR"/>
        </w:rPr>
      </w:pPr>
      <w:r>
        <w:rPr>
          <w:lang w:val="fr-FR"/>
        </w:rPr>
        <w:t>« </w:t>
      </w:r>
      <w:r w:rsidR="008B61A6" w:rsidRPr="008B61A6">
        <w:rPr>
          <w:b/>
          <w:lang w:val="fr-FR"/>
        </w:rPr>
        <w:t>2.32</w:t>
      </w:r>
      <w:r w:rsidR="008B61A6" w:rsidRPr="008B61A6">
        <w:rPr>
          <w:lang w:val="fr-FR"/>
        </w:rPr>
        <w:tab/>
      </w:r>
      <w:r w:rsidR="008B61A6" w:rsidRPr="008B61A6">
        <w:rPr>
          <w:b/>
          <w:lang w:val="fr-FR"/>
        </w:rPr>
        <w:t>Par “</w:t>
      </w:r>
      <w:r w:rsidR="008B61A6" w:rsidRPr="00C3628C">
        <w:rPr>
          <w:b/>
          <w:i/>
          <w:lang w:val="fr-FR"/>
        </w:rPr>
        <w:t>système de freinage électrique par récupération</w:t>
      </w:r>
      <w:r w:rsidR="008B61A6" w:rsidRPr="008B61A6">
        <w:rPr>
          <w:b/>
          <w:lang w:val="fr-FR"/>
        </w:rPr>
        <w:t>”, un système de freinage qui, pendant la décélération, permet de convertir l’énergie cinétique du véhicule en énergie électrique, et qui ne fait pas partie du système de freinage de service.</w:t>
      </w:r>
      <w:r w:rsidR="00C3628C">
        <w:rPr>
          <w:b/>
          <w:lang w:val="fr-FR"/>
        </w:rPr>
        <w:t> </w:t>
      </w:r>
      <w:r w:rsidR="008B61A6" w:rsidRPr="00C3628C">
        <w:rPr>
          <w:lang w:val="fr-FR"/>
        </w:rPr>
        <w:t>».</w:t>
      </w:r>
    </w:p>
    <w:p w:rsidR="008B61A6" w:rsidRPr="00C3628C" w:rsidRDefault="008B61A6" w:rsidP="008B61A6">
      <w:pPr>
        <w:pStyle w:val="SingleTxtG"/>
        <w:rPr>
          <w:lang w:val="fr-FR"/>
        </w:rPr>
      </w:pPr>
      <w:r w:rsidRPr="008B61A6">
        <w:rPr>
          <w:i/>
          <w:iCs/>
          <w:lang w:val="fr-FR"/>
        </w:rPr>
        <w:t>Ajouter le nouveau paragraphe 5.1.17 et ses sous-paragraphes</w:t>
      </w:r>
      <w:r w:rsidR="00C3628C">
        <w:rPr>
          <w:iCs/>
          <w:lang w:val="fr-FR"/>
        </w:rPr>
        <w:t>, comme suit </w:t>
      </w:r>
      <w:r w:rsidRPr="00C3628C">
        <w:rPr>
          <w:iCs/>
          <w:lang w:val="fr-FR"/>
        </w:rPr>
        <w:t>:</w:t>
      </w:r>
    </w:p>
    <w:p w:rsidR="008B61A6" w:rsidRPr="008B61A6" w:rsidRDefault="00C3628C" w:rsidP="00C3628C">
      <w:pPr>
        <w:pStyle w:val="SingleTxtG"/>
        <w:ind w:left="2268" w:hanging="1134"/>
        <w:rPr>
          <w:b/>
          <w:lang w:val="fr-FR"/>
        </w:rPr>
      </w:pPr>
      <w:r>
        <w:rPr>
          <w:lang w:val="fr-FR"/>
        </w:rPr>
        <w:t>« </w:t>
      </w:r>
      <w:r w:rsidR="008B61A6" w:rsidRPr="008B61A6">
        <w:rPr>
          <w:b/>
          <w:lang w:val="fr-FR"/>
        </w:rPr>
        <w:t>5.1.17</w:t>
      </w:r>
      <w:r w:rsidR="008B61A6" w:rsidRPr="008B61A6">
        <w:rPr>
          <w:lang w:val="fr-FR"/>
        </w:rPr>
        <w:tab/>
      </w:r>
      <w:r w:rsidR="008B61A6" w:rsidRPr="008B61A6">
        <w:rPr>
          <w:b/>
          <w:bCs/>
          <w:lang w:val="fr-FR"/>
        </w:rPr>
        <w:t>L’émission ou la désactivation du signal de freinage commandant l’allumage du (des) feu(x)-stop, tels qu</w:t>
      </w:r>
      <w:r>
        <w:rPr>
          <w:b/>
          <w:bCs/>
          <w:lang w:val="fr-FR"/>
        </w:rPr>
        <w:t>e définis dans le Règlement ONU </w:t>
      </w:r>
      <w:r w:rsidRPr="00C3628C">
        <w:rPr>
          <w:rFonts w:eastAsia="MS Mincho"/>
          <w:b/>
          <w:bCs/>
          <w:lang w:val="fr-FR"/>
        </w:rPr>
        <w:t>n</w:t>
      </w:r>
      <w:r w:rsidRPr="00C3628C">
        <w:rPr>
          <w:rFonts w:eastAsia="MS Mincho"/>
          <w:b/>
          <w:bCs/>
          <w:vertAlign w:val="superscript"/>
          <w:lang w:val="fr-FR"/>
        </w:rPr>
        <w:t>o</w:t>
      </w:r>
      <w:r>
        <w:rPr>
          <w:b/>
          <w:bCs/>
          <w:lang w:val="fr-FR"/>
        </w:rPr>
        <w:t> </w:t>
      </w:r>
      <w:r w:rsidR="008B61A6" w:rsidRPr="008B61A6">
        <w:rPr>
          <w:b/>
          <w:bCs/>
          <w:lang w:val="fr-FR"/>
        </w:rPr>
        <w:t>53, ne doit se faire qu’</w:t>
      </w:r>
      <w:r>
        <w:rPr>
          <w:b/>
          <w:bCs/>
          <w:lang w:val="fr-FR"/>
        </w:rPr>
        <w:t>aux conditions suivantes </w:t>
      </w:r>
      <w:r w:rsidR="008B61A6" w:rsidRPr="008B61A6">
        <w:rPr>
          <w:b/>
          <w:bCs/>
          <w:lang w:val="fr-FR"/>
        </w:rPr>
        <w:t>:</w:t>
      </w:r>
    </w:p>
    <w:p w:rsidR="008B61A6" w:rsidRPr="008B61A6" w:rsidRDefault="008B61A6" w:rsidP="00C3628C">
      <w:pPr>
        <w:pStyle w:val="SingleTxtG"/>
        <w:ind w:left="2268" w:hanging="1134"/>
        <w:rPr>
          <w:b/>
          <w:lang w:val="fr-FR"/>
        </w:rPr>
      </w:pPr>
      <w:r w:rsidRPr="008B61A6">
        <w:rPr>
          <w:b/>
          <w:lang w:val="fr-FR"/>
        </w:rPr>
        <w:t>5.1.17.1</w:t>
      </w:r>
      <w:r w:rsidRPr="008B61A6">
        <w:rPr>
          <w:lang w:val="fr-FR"/>
        </w:rPr>
        <w:tab/>
      </w:r>
      <w:r w:rsidRPr="008B61A6">
        <w:rPr>
          <w:b/>
          <w:iCs/>
          <w:lang w:val="fr-FR"/>
        </w:rPr>
        <w:t>L’actionnement</w:t>
      </w:r>
      <w:r w:rsidRPr="008B61A6">
        <w:rPr>
          <w:b/>
          <w:lang w:val="fr-FR"/>
        </w:rPr>
        <w:t xml:space="preserve"> d’un </w:t>
      </w:r>
      <w:r w:rsidRPr="008B61A6">
        <w:rPr>
          <w:b/>
          <w:iCs/>
          <w:lang w:val="fr-FR"/>
        </w:rPr>
        <w:t xml:space="preserve">frein de service </w:t>
      </w:r>
      <w:r w:rsidRPr="008B61A6">
        <w:rPr>
          <w:b/>
          <w:lang w:val="fr-FR"/>
        </w:rPr>
        <w:t xml:space="preserve">par le motocycliste, </w:t>
      </w:r>
      <w:r w:rsidRPr="008B61A6">
        <w:rPr>
          <w:b/>
          <w:iCs/>
          <w:lang w:val="fr-FR"/>
        </w:rPr>
        <w:t>qui commande l’émission du signal de freinage et l’allumage des feux-stop</w:t>
      </w:r>
      <w:r w:rsidRPr="008B61A6">
        <w:rPr>
          <w:b/>
          <w:lang w:val="fr-FR"/>
        </w:rPr>
        <w:t>.</w:t>
      </w:r>
    </w:p>
    <w:p w:rsidR="008B61A6" w:rsidRDefault="008B61A6" w:rsidP="00C3628C">
      <w:pPr>
        <w:pStyle w:val="SingleTxtG"/>
        <w:ind w:left="2268" w:hanging="1134"/>
        <w:rPr>
          <w:b/>
          <w:bCs/>
          <w:iCs/>
          <w:lang w:val="fr-FR"/>
        </w:rPr>
      </w:pPr>
      <w:r w:rsidRPr="008B61A6">
        <w:rPr>
          <w:b/>
          <w:lang w:val="fr-FR"/>
        </w:rPr>
        <w:t>5.1.17.2</w:t>
      </w:r>
      <w:r w:rsidRPr="008B61A6">
        <w:rPr>
          <w:lang w:val="fr-FR"/>
        </w:rPr>
        <w:tab/>
      </w:r>
      <w:r w:rsidRPr="008B61A6">
        <w:rPr>
          <w:b/>
          <w:bCs/>
          <w:lang w:val="fr-FR"/>
        </w:rPr>
        <w:t xml:space="preserve">En outre, </w:t>
      </w:r>
      <w:r w:rsidRPr="008B61A6">
        <w:rPr>
          <w:b/>
          <w:bCs/>
          <w:iCs/>
          <w:lang w:val="fr-FR"/>
        </w:rPr>
        <w:t>dans le cas d’un véhicule mû seulement par une chaîne de traction électrique équipée d’un système de freinage électrique par récupération tel qu’</w:t>
      </w:r>
      <w:r w:rsidR="00C3628C">
        <w:rPr>
          <w:b/>
          <w:bCs/>
          <w:iCs/>
          <w:lang w:val="fr-FR"/>
        </w:rPr>
        <w:t>il est défini au paragraphe </w:t>
      </w:r>
      <w:r w:rsidRPr="008B61A6">
        <w:rPr>
          <w:b/>
          <w:bCs/>
          <w:iCs/>
          <w:lang w:val="fr-FR"/>
        </w:rPr>
        <w:t>2.32 du présent Règlement, produisant un ralentissement lorsque la pédale d’accélérateur est relâchée, les conditions d’émission du signal de freinage sont les suivantes</w:t>
      </w:r>
      <w:r w:rsidR="00C3628C">
        <w:rPr>
          <w:b/>
          <w:bCs/>
          <w:iCs/>
          <w:lang w:val="fr-FR"/>
        </w:rPr>
        <w:t> </w:t>
      </w:r>
      <w:r w:rsidRPr="008B61A6">
        <w:rPr>
          <w:b/>
          <w:bCs/>
          <w:iCs/>
          <w:lang w:val="fr-FR"/>
        </w:rPr>
        <w:t>:</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6"/>
        <w:gridCol w:w="3501"/>
      </w:tblGrid>
      <w:tr w:rsidR="00A143E6" w:rsidRPr="00A143E6" w:rsidTr="000C531B">
        <w:trPr>
          <w:tblHeader/>
        </w:trPr>
        <w:tc>
          <w:tcPr>
            <w:tcW w:w="2736" w:type="dxa"/>
            <w:shd w:val="clear" w:color="auto" w:fill="auto"/>
            <w:vAlign w:val="bottom"/>
          </w:tcPr>
          <w:p w:rsidR="008B61A6" w:rsidRPr="00A143E6" w:rsidRDefault="008B61A6" w:rsidP="000C531B">
            <w:pPr>
              <w:spacing w:before="80" w:after="80" w:line="200" w:lineRule="exact"/>
              <w:ind w:left="113" w:right="113"/>
              <w:rPr>
                <w:b/>
                <w:i/>
                <w:sz w:val="16"/>
                <w:szCs w:val="16"/>
                <w:lang w:val="fr-FR"/>
              </w:rPr>
            </w:pPr>
            <w:r w:rsidRPr="00A143E6">
              <w:rPr>
                <w:b/>
                <w:i/>
                <w:sz w:val="16"/>
                <w:lang w:val="fr-FR"/>
              </w:rPr>
              <w:t>Décélération du véhicule</w:t>
            </w:r>
          </w:p>
        </w:tc>
        <w:tc>
          <w:tcPr>
            <w:tcW w:w="3501" w:type="dxa"/>
            <w:shd w:val="clear" w:color="auto" w:fill="auto"/>
            <w:vAlign w:val="bottom"/>
          </w:tcPr>
          <w:p w:rsidR="008B61A6" w:rsidRPr="00A143E6" w:rsidRDefault="008B61A6" w:rsidP="000C531B">
            <w:pPr>
              <w:spacing w:before="80" w:after="80" w:line="200" w:lineRule="exact"/>
              <w:ind w:left="113" w:right="113"/>
              <w:rPr>
                <w:b/>
                <w:i/>
                <w:sz w:val="16"/>
                <w:lang w:val="fr-FR"/>
              </w:rPr>
            </w:pPr>
            <w:r w:rsidRPr="00A143E6">
              <w:rPr>
                <w:b/>
                <w:bCs/>
                <w:i/>
                <w:iCs/>
                <w:sz w:val="16"/>
                <w:lang w:val="fr-FR"/>
              </w:rPr>
              <w:t>Émission du signal</w:t>
            </w:r>
          </w:p>
        </w:tc>
      </w:tr>
      <w:tr w:rsidR="00A143E6" w:rsidRPr="00A143E6" w:rsidTr="000C531B">
        <w:tc>
          <w:tcPr>
            <w:tcW w:w="2736" w:type="dxa"/>
            <w:shd w:val="clear" w:color="auto" w:fill="auto"/>
          </w:tcPr>
          <w:p w:rsidR="008B61A6" w:rsidRPr="00A143E6" w:rsidRDefault="008B61A6" w:rsidP="000C531B">
            <w:pPr>
              <w:spacing w:before="40" w:after="120"/>
              <w:ind w:left="113" w:right="113"/>
              <w:rPr>
                <w:b/>
                <w:bCs/>
                <w:lang w:val="fr-FR"/>
              </w:rPr>
            </w:pPr>
            <w:r w:rsidRPr="00A143E6">
              <w:rPr>
                <w:b/>
                <w:lang w:val="fr-FR"/>
              </w:rPr>
              <w:t>≤0,7 m/s²</w:t>
            </w:r>
          </w:p>
        </w:tc>
        <w:tc>
          <w:tcPr>
            <w:tcW w:w="3501" w:type="dxa"/>
            <w:shd w:val="clear" w:color="auto" w:fill="auto"/>
          </w:tcPr>
          <w:p w:rsidR="008B61A6" w:rsidRPr="00A143E6" w:rsidRDefault="008B61A6" w:rsidP="000C531B">
            <w:pPr>
              <w:spacing w:before="40" w:after="120"/>
              <w:ind w:left="113" w:right="113"/>
              <w:rPr>
                <w:b/>
                <w:bCs/>
                <w:lang w:val="fr-FR"/>
              </w:rPr>
            </w:pPr>
            <w:r w:rsidRPr="00A143E6">
              <w:rPr>
                <w:b/>
                <w:bCs/>
                <w:iCs/>
                <w:lang w:val="fr-FR"/>
              </w:rPr>
              <w:t>Le signal ne doit pas être émis</w:t>
            </w:r>
          </w:p>
        </w:tc>
      </w:tr>
      <w:tr w:rsidR="000C531B" w:rsidRPr="00A143E6" w:rsidTr="000C531B">
        <w:tc>
          <w:tcPr>
            <w:tcW w:w="2736" w:type="dxa"/>
            <w:shd w:val="clear" w:color="auto" w:fill="auto"/>
          </w:tcPr>
          <w:p w:rsidR="008B61A6" w:rsidRPr="00A143E6" w:rsidRDefault="008B61A6" w:rsidP="000C531B">
            <w:pPr>
              <w:spacing w:before="40" w:after="120"/>
              <w:ind w:left="113" w:right="113"/>
              <w:rPr>
                <w:b/>
                <w:lang w:val="fr-FR"/>
              </w:rPr>
            </w:pPr>
            <w:r w:rsidRPr="00A143E6">
              <w:rPr>
                <w:b/>
                <w:bCs/>
                <w:lang w:val="fr-FR"/>
              </w:rPr>
              <w:t>&gt;</w:t>
            </w:r>
            <w:r w:rsidR="000C531B">
              <w:rPr>
                <w:b/>
                <w:bCs/>
                <w:lang w:val="fr-FR"/>
              </w:rPr>
              <w:t>0,7 m/s² et ≤</w:t>
            </w:r>
            <w:r w:rsidRPr="00A143E6">
              <w:rPr>
                <w:b/>
                <w:bCs/>
                <w:lang w:val="fr-FR"/>
              </w:rPr>
              <w:t>1,3 m/s²</w:t>
            </w:r>
          </w:p>
        </w:tc>
        <w:tc>
          <w:tcPr>
            <w:tcW w:w="3501" w:type="dxa"/>
            <w:shd w:val="clear" w:color="auto" w:fill="auto"/>
          </w:tcPr>
          <w:p w:rsidR="008B61A6" w:rsidRPr="00A143E6" w:rsidRDefault="008B61A6" w:rsidP="000C531B">
            <w:pPr>
              <w:spacing w:before="40" w:after="120"/>
              <w:ind w:left="113" w:right="113"/>
              <w:rPr>
                <w:b/>
                <w:lang w:val="fr-FR"/>
              </w:rPr>
            </w:pPr>
            <w:r w:rsidRPr="00A143E6">
              <w:rPr>
                <w:b/>
                <w:iCs/>
                <w:lang w:val="fr-FR"/>
              </w:rPr>
              <w:t>Le signal peut être émis</w:t>
            </w:r>
          </w:p>
        </w:tc>
      </w:tr>
      <w:tr w:rsidR="00A143E6" w:rsidRPr="00A143E6" w:rsidTr="000C531B">
        <w:tc>
          <w:tcPr>
            <w:tcW w:w="2736" w:type="dxa"/>
            <w:shd w:val="clear" w:color="auto" w:fill="auto"/>
          </w:tcPr>
          <w:p w:rsidR="008B61A6" w:rsidRPr="00A143E6" w:rsidRDefault="000C531B" w:rsidP="000C531B">
            <w:pPr>
              <w:spacing w:before="40" w:after="120"/>
              <w:ind w:left="113" w:right="113"/>
              <w:rPr>
                <w:b/>
                <w:lang w:val="fr-FR"/>
              </w:rPr>
            </w:pPr>
            <w:r>
              <w:rPr>
                <w:b/>
                <w:bCs/>
                <w:lang w:val="fr-FR"/>
              </w:rPr>
              <w:t>&gt;</w:t>
            </w:r>
            <w:r w:rsidR="008B61A6" w:rsidRPr="00A143E6">
              <w:rPr>
                <w:b/>
                <w:bCs/>
                <w:lang w:val="fr-FR"/>
              </w:rPr>
              <w:t>1,3 m/s</w:t>
            </w:r>
            <w:r w:rsidR="008B61A6" w:rsidRPr="00A143E6">
              <w:rPr>
                <w:b/>
                <w:bCs/>
                <w:vertAlign w:val="superscript"/>
                <w:lang w:val="fr-FR"/>
              </w:rPr>
              <w:t>2</w:t>
            </w:r>
          </w:p>
        </w:tc>
        <w:tc>
          <w:tcPr>
            <w:tcW w:w="3501" w:type="dxa"/>
            <w:shd w:val="clear" w:color="auto" w:fill="auto"/>
          </w:tcPr>
          <w:p w:rsidR="008B61A6" w:rsidRPr="00A143E6" w:rsidRDefault="008B61A6" w:rsidP="000C531B">
            <w:pPr>
              <w:spacing w:before="40" w:after="120"/>
              <w:ind w:left="113" w:right="113"/>
              <w:rPr>
                <w:b/>
                <w:lang w:val="fr-FR"/>
              </w:rPr>
            </w:pPr>
            <w:r w:rsidRPr="00A143E6">
              <w:rPr>
                <w:b/>
                <w:iCs/>
                <w:lang w:val="fr-FR"/>
              </w:rPr>
              <w:t>Le signal doit être émis</w:t>
            </w:r>
          </w:p>
        </w:tc>
      </w:tr>
    </w:tbl>
    <w:p w:rsidR="00A143E6" w:rsidRPr="00A143E6" w:rsidRDefault="000C531B" w:rsidP="000C531B">
      <w:pPr>
        <w:pStyle w:val="SingleTxtG"/>
        <w:spacing w:before="120"/>
        <w:jc w:val="right"/>
        <w:rPr>
          <w:lang w:val="fr-FR"/>
        </w:rPr>
      </w:pPr>
      <w:r>
        <w:rPr>
          <w:lang w:val="fr-FR"/>
        </w:rPr>
        <w:t>.</w:t>
      </w:r>
      <w:r w:rsidR="00A143E6" w:rsidRPr="00A143E6">
        <w:rPr>
          <w:lang w:val="fr-FR"/>
        </w:rPr>
        <w:t>».</w:t>
      </w:r>
    </w:p>
    <w:p w:rsidR="00A143E6" w:rsidRPr="00A143E6" w:rsidRDefault="000C531B" w:rsidP="000C531B">
      <w:pPr>
        <w:pStyle w:val="HChG"/>
        <w:rPr>
          <w:lang w:val="fr-FR"/>
        </w:rPr>
      </w:pPr>
      <w:r>
        <w:rPr>
          <w:lang w:val="fr-FR"/>
        </w:rPr>
        <w:tab/>
      </w:r>
      <w:r w:rsidR="00A143E6" w:rsidRPr="00A143E6">
        <w:rPr>
          <w:lang w:val="fr-FR"/>
        </w:rPr>
        <w:t>II.</w:t>
      </w:r>
      <w:r w:rsidR="00A143E6" w:rsidRPr="00A143E6">
        <w:rPr>
          <w:lang w:val="fr-FR"/>
        </w:rPr>
        <w:tab/>
        <w:t>Justification</w:t>
      </w:r>
    </w:p>
    <w:p w:rsidR="00A143E6" w:rsidRPr="00A143E6" w:rsidRDefault="00A143E6" w:rsidP="00A143E6">
      <w:pPr>
        <w:pStyle w:val="SingleTxtG"/>
        <w:rPr>
          <w:lang w:val="fr-FR"/>
        </w:rPr>
      </w:pPr>
      <w:r w:rsidRPr="00A143E6">
        <w:rPr>
          <w:lang w:val="fr-FR"/>
        </w:rPr>
        <w:t>1.</w:t>
      </w:r>
      <w:r w:rsidRPr="00A143E6">
        <w:rPr>
          <w:lang w:val="fr-FR"/>
        </w:rPr>
        <w:tab/>
      </w:r>
      <w:r w:rsidRPr="004F5580">
        <w:rPr>
          <w:iCs/>
          <w:spacing w:val="-4"/>
          <w:lang w:val="fr-FR"/>
        </w:rPr>
        <w:t xml:space="preserve">La présente proposition est une version améliorée de celle qui figurait dans le document </w:t>
      </w:r>
      <w:r w:rsidRPr="004F5580">
        <w:rPr>
          <w:spacing w:val="-4"/>
          <w:lang w:val="fr-FR"/>
        </w:rPr>
        <w:t xml:space="preserve">GRRF-86-35, qui a été examiné en février 2018, </w:t>
      </w:r>
      <w:r w:rsidRPr="004F5580">
        <w:rPr>
          <w:iCs/>
          <w:spacing w:val="-4"/>
          <w:lang w:val="fr-FR"/>
        </w:rPr>
        <w:t>compte tenu des observations formulées</w:t>
      </w:r>
      <w:r w:rsidRPr="004F5580">
        <w:rPr>
          <w:spacing w:val="-4"/>
          <w:lang w:val="fr-FR"/>
        </w:rPr>
        <w:t>.</w:t>
      </w:r>
    </w:p>
    <w:p w:rsidR="00A143E6" w:rsidRPr="00A143E6" w:rsidRDefault="00A143E6" w:rsidP="00A143E6">
      <w:pPr>
        <w:pStyle w:val="SingleTxtG"/>
        <w:rPr>
          <w:lang w:val="fr-FR"/>
        </w:rPr>
      </w:pPr>
      <w:r w:rsidRPr="00A143E6">
        <w:rPr>
          <w:lang w:val="fr-FR"/>
        </w:rPr>
        <w:t>2.</w:t>
      </w:r>
      <w:r w:rsidRPr="00A143E6">
        <w:rPr>
          <w:lang w:val="fr-FR"/>
        </w:rPr>
        <w:tab/>
        <w:t xml:space="preserve">Cette proposition vise à introduire dans le Règlement ONU </w:t>
      </w:r>
      <w:r w:rsidR="000C531B" w:rsidRPr="000C531B">
        <w:rPr>
          <w:rFonts w:eastAsia="MS Mincho"/>
          <w:lang w:val="fr-FR"/>
        </w:rPr>
        <w:t>n</w:t>
      </w:r>
      <w:r w:rsidR="000C531B" w:rsidRPr="000C531B">
        <w:rPr>
          <w:rFonts w:eastAsia="MS Mincho"/>
          <w:vertAlign w:val="superscript"/>
          <w:lang w:val="fr-FR"/>
        </w:rPr>
        <w:t>o</w:t>
      </w:r>
      <w:r w:rsidR="000C531B">
        <w:rPr>
          <w:lang w:val="fr-FR"/>
        </w:rPr>
        <w:t> </w:t>
      </w:r>
      <w:r w:rsidRPr="00A143E6">
        <w:rPr>
          <w:lang w:val="fr-FR"/>
        </w:rPr>
        <w:t xml:space="preserve">78 des dispositions selon lesquelles </w:t>
      </w:r>
      <w:r w:rsidRPr="00A143E6">
        <w:rPr>
          <w:iCs/>
          <w:lang w:val="fr-FR"/>
        </w:rPr>
        <w:t xml:space="preserve">l’allumage des feux-stop n’est plus seulement déclenché lors de l’activation du frein de service, mais également </w:t>
      </w:r>
      <w:r w:rsidRPr="00A143E6">
        <w:rPr>
          <w:lang w:val="fr-FR"/>
        </w:rPr>
        <w:t>dans d’autres situations</w:t>
      </w:r>
      <w:r w:rsidRPr="00A143E6">
        <w:rPr>
          <w:iCs/>
          <w:lang w:val="fr-FR"/>
        </w:rPr>
        <w:t xml:space="preserve"> (par exemple, lors du freinage par récupération).</w:t>
      </w:r>
    </w:p>
    <w:p w:rsidR="00A143E6" w:rsidRPr="00A143E6" w:rsidRDefault="00A143E6" w:rsidP="00A143E6">
      <w:pPr>
        <w:pStyle w:val="SingleTxtG"/>
        <w:rPr>
          <w:lang w:val="fr-FR"/>
        </w:rPr>
      </w:pPr>
      <w:r w:rsidRPr="00A143E6">
        <w:rPr>
          <w:lang w:val="fr-FR"/>
        </w:rPr>
        <w:t>3.</w:t>
      </w:r>
      <w:r w:rsidRPr="00A143E6">
        <w:rPr>
          <w:lang w:val="fr-FR"/>
        </w:rPr>
        <w:tab/>
        <w:t xml:space="preserve">Actuellement, le Règlement ONU </w:t>
      </w:r>
      <w:r w:rsidR="000C531B" w:rsidRPr="000C531B">
        <w:rPr>
          <w:rFonts w:eastAsia="MS Mincho"/>
          <w:lang w:val="fr-FR"/>
        </w:rPr>
        <w:t>n</w:t>
      </w:r>
      <w:r w:rsidR="000C531B" w:rsidRPr="000C531B">
        <w:rPr>
          <w:rFonts w:eastAsia="MS Mincho"/>
          <w:vertAlign w:val="superscript"/>
          <w:lang w:val="fr-FR"/>
        </w:rPr>
        <w:t>o</w:t>
      </w:r>
      <w:r w:rsidR="000C531B">
        <w:rPr>
          <w:rFonts w:eastAsia="MS Mincho"/>
          <w:vertAlign w:val="superscript"/>
          <w:lang w:val="fr-FR"/>
        </w:rPr>
        <w:t> </w:t>
      </w:r>
      <w:r w:rsidRPr="00A143E6">
        <w:rPr>
          <w:lang w:val="fr-FR"/>
        </w:rPr>
        <w:t>53 n’autorise l’allumage du feu-stop qu’en cas d’activation des freins. La modification proposée par l’IMMA, qui a déjà fait l’objet d’une présentation au Groupe de travail de l’éclairage et de la signalisation lumineuse (GRE) (voir ECE/TRANS/WP</w:t>
      </w:r>
      <w:r w:rsidR="000C531B">
        <w:rPr>
          <w:lang w:val="fr-FR"/>
        </w:rPr>
        <w:t>.</w:t>
      </w:r>
      <w:r w:rsidRPr="00A143E6">
        <w:rPr>
          <w:lang w:val="fr-FR"/>
        </w:rPr>
        <w:t>29/GRE/2018/25), vise à faire en sorte que l’allumage des feux</w:t>
      </w:r>
      <w:r w:rsidR="00CF1262">
        <w:rPr>
          <w:lang w:val="fr-FR"/>
        </w:rPr>
        <w:noBreakHyphen/>
      </w:r>
      <w:r w:rsidRPr="00A143E6">
        <w:rPr>
          <w:lang w:val="fr-FR"/>
        </w:rPr>
        <w:t>stop ne soit plus seulement déclenché par l’activation du frein de service, mais également, par exemple, lors du freinage par récupération. Comme il est indiqué dans le rapport de la soixante-quatorzième session du GRE (ECE/TRANS/WP</w:t>
      </w:r>
      <w:r w:rsidR="00CF1262">
        <w:rPr>
          <w:lang w:val="fr-FR"/>
        </w:rPr>
        <w:t>.29/GRE/74, par. 30) : « </w:t>
      </w:r>
      <w:r w:rsidRPr="00A143E6">
        <w:rPr>
          <w:lang w:val="fr-FR"/>
        </w:rPr>
        <w:t xml:space="preserve">cette proposition pourrait nécessiter une modification du Règlement ONU </w:t>
      </w:r>
      <w:r w:rsidR="00CF1262" w:rsidRPr="00CF1262">
        <w:rPr>
          <w:rFonts w:eastAsia="MS Mincho"/>
          <w:lang w:val="fr-FR"/>
        </w:rPr>
        <w:t>n</w:t>
      </w:r>
      <w:r w:rsidR="00CF1262" w:rsidRPr="00CF1262">
        <w:rPr>
          <w:rFonts w:eastAsia="MS Mincho"/>
          <w:vertAlign w:val="superscript"/>
          <w:lang w:val="fr-FR"/>
        </w:rPr>
        <w:t>o</w:t>
      </w:r>
      <w:r w:rsidR="00CF1262">
        <w:rPr>
          <w:lang w:val="fr-FR"/>
        </w:rPr>
        <w:t> 78, qui relève du GRRF </w:t>
      </w:r>
      <w:r w:rsidRPr="00A143E6">
        <w:rPr>
          <w:lang w:val="fr-FR"/>
        </w:rPr>
        <w:t>». Ladite proposition a entre</w:t>
      </w:r>
      <w:r w:rsidR="00CF1262">
        <w:rPr>
          <w:lang w:val="fr-FR"/>
        </w:rPr>
        <w:t>-</w:t>
      </w:r>
      <w:r w:rsidRPr="00A143E6">
        <w:rPr>
          <w:lang w:val="fr-FR"/>
        </w:rPr>
        <w:t>temps été acceptée par le GRE.</w:t>
      </w:r>
    </w:p>
    <w:p w:rsidR="00A143E6" w:rsidRPr="00A143E6" w:rsidRDefault="00A143E6" w:rsidP="00A143E6">
      <w:pPr>
        <w:pStyle w:val="SingleTxtG"/>
        <w:rPr>
          <w:lang w:val="fr-FR"/>
        </w:rPr>
      </w:pPr>
      <w:r w:rsidRPr="00A143E6">
        <w:rPr>
          <w:lang w:val="fr-FR"/>
        </w:rPr>
        <w:t>4.</w:t>
      </w:r>
      <w:r w:rsidRPr="00A143E6">
        <w:rPr>
          <w:lang w:val="fr-FR"/>
        </w:rPr>
        <w:tab/>
        <w:t xml:space="preserve">L’IMMA a donc également établi une proposition d’amendement au Règlement ONU </w:t>
      </w:r>
      <w:r w:rsidR="00CF1262" w:rsidRPr="00CF1262">
        <w:rPr>
          <w:rFonts w:eastAsia="MS Mincho"/>
          <w:lang w:val="fr-FR"/>
        </w:rPr>
        <w:t>n</w:t>
      </w:r>
      <w:r w:rsidR="00CF1262" w:rsidRPr="00CF1262">
        <w:rPr>
          <w:rFonts w:eastAsia="MS Mincho"/>
          <w:vertAlign w:val="superscript"/>
          <w:lang w:val="fr-FR"/>
        </w:rPr>
        <w:t>o</w:t>
      </w:r>
      <w:r w:rsidR="00CF1262">
        <w:rPr>
          <w:lang w:val="fr-FR"/>
        </w:rPr>
        <w:t> </w:t>
      </w:r>
      <w:r w:rsidRPr="00A143E6">
        <w:rPr>
          <w:lang w:val="fr-FR"/>
        </w:rPr>
        <w:t>78, qui figure dans le présent document.</w:t>
      </w:r>
    </w:p>
    <w:p w:rsidR="00A143E6" w:rsidRPr="00A143E6" w:rsidRDefault="00A143E6" w:rsidP="00A143E6">
      <w:pPr>
        <w:pStyle w:val="SingleTxtG"/>
        <w:rPr>
          <w:lang w:val="fr-FR"/>
        </w:rPr>
      </w:pPr>
      <w:r w:rsidRPr="00A143E6">
        <w:rPr>
          <w:lang w:val="fr-FR"/>
        </w:rPr>
        <w:t>5.</w:t>
      </w:r>
      <w:r w:rsidRPr="00A143E6">
        <w:rPr>
          <w:lang w:val="fr-FR"/>
        </w:rPr>
        <w:tab/>
      </w:r>
      <w:r w:rsidRPr="00A143E6">
        <w:rPr>
          <w:iCs/>
          <w:lang w:val="fr-FR"/>
        </w:rPr>
        <w:t>Les modifications des critères d’</w:t>
      </w:r>
      <w:r w:rsidRPr="00A143E6">
        <w:rPr>
          <w:iCs/>
          <w:u w:val="single"/>
          <w:lang w:val="fr-FR"/>
        </w:rPr>
        <w:t>activation</w:t>
      </w:r>
      <w:r w:rsidRPr="00A143E6">
        <w:rPr>
          <w:iCs/>
          <w:lang w:val="fr-FR"/>
        </w:rPr>
        <w:t xml:space="preserve"> des feux-stop du Règlement ONU </w:t>
      </w:r>
      <w:r w:rsidR="00B023E3" w:rsidRPr="00B023E3">
        <w:rPr>
          <w:rFonts w:eastAsia="MS Mincho"/>
          <w:iCs/>
          <w:lang w:val="fr-FR"/>
        </w:rPr>
        <w:t>n</w:t>
      </w:r>
      <w:r w:rsidR="00B023E3" w:rsidRPr="00B023E3">
        <w:rPr>
          <w:rFonts w:eastAsia="MS Mincho"/>
          <w:iCs/>
          <w:vertAlign w:val="superscript"/>
          <w:lang w:val="fr-FR"/>
        </w:rPr>
        <w:t>o</w:t>
      </w:r>
      <w:r w:rsidR="00B023E3">
        <w:rPr>
          <w:iCs/>
          <w:lang w:val="fr-FR"/>
        </w:rPr>
        <w:t> </w:t>
      </w:r>
      <w:r w:rsidRPr="00A143E6">
        <w:rPr>
          <w:iCs/>
          <w:u w:val="single"/>
          <w:lang w:val="fr-FR"/>
        </w:rPr>
        <w:t>78</w:t>
      </w:r>
      <w:r w:rsidRPr="00A143E6">
        <w:rPr>
          <w:iCs/>
          <w:lang w:val="fr-FR"/>
        </w:rPr>
        <w:t xml:space="preserve"> proposées ci-dessus résultent des amendements aux prescriptions d’</w:t>
      </w:r>
      <w:r w:rsidRPr="00A143E6">
        <w:rPr>
          <w:iCs/>
          <w:u w:val="single"/>
          <w:lang w:val="fr-FR"/>
        </w:rPr>
        <w:t>installation</w:t>
      </w:r>
      <w:r w:rsidRPr="00A143E6">
        <w:rPr>
          <w:iCs/>
          <w:lang w:val="fr-FR"/>
        </w:rPr>
        <w:t xml:space="preserve"> des feux</w:t>
      </w:r>
      <w:r w:rsidR="00B023E3">
        <w:rPr>
          <w:iCs/>
          <w:lang w:val="fr-FR"/>
        </w:rPr>
        <w:noBreakHyphen/>
      </w:r>
      <w:r w:rsidRPr="00A143E6">
        <w:rPr>
          <w:iCs/>
          <w:lang w:val="fr-FR"/>
        </w:rPr>
        <w:t xml:space="preserve">stop du Règlement ONU </w:t>
      </w:r>
      <w:r w:rsidR="00B023E3" w:rsidRPr="00B023E3">
        <w:rPr>
          <w:rFonts w:eastAsia="MS Mincho"/>
          <w:iCs/>
          <w:lang w:val="fr-FR"/>
        </w:rPr>
        <w:t>n</w:t>
      </w:r>
      <w:r w:rsidR="00B023E3" w:rsidRPr="00B023E3">
        <w:rPr>
          <w:rFonts w:eastAsia="MS Mincho"/>
          <w:iCs/>
          <w:vertAlign w:val="superscript"/>
          <w:lang w:val="fr-FR"/>
        </w:rPr>
        <w:t>o</w:t>
      </w:r>
      <w:r w:rsidR="00B023E3">
        <w:rPr>
          <w:iCs/>
          <w:lang w:val="fr-FR"/>
        </w:rPr>
        <w:t> </w:t>
      </w:r>
      <w:r w:rsidRPr="00A143E6">
        <w:rPr>
          <w:iCs/>
          <w:u w:val="single"/>
          <w:lang w:val="fr-FR"/>
        </w:rPr>
        <w:t>53</w:t>
      </w:r>
      <w:r w:rsidRPr="00A143E6">
        <w:rPr>
          <w:lang w:val="fr-FR"/>
        </w:rPr>
        <w:t xml:space="preserve">. </w:t>
      </w:r>
    </w:p>
    <w:p w:rsidR="00A143E6" w:rsidRPr="00A143E6" w:rsidRDefault="00A143E6" w:rsidP="00A143E6">
      <w:pPr>
        <w:pStyle w:val="SingleTxtG"/>
        <w:rPr>
          <w:lang w:val="fr-FR"/>
        </w:rPr>
      </w:pPr>
      <w:r w:rsidRPr="00A143E6">
        <w:rPr>
          <w:lang w:val="fr-FR"/>
        </w:rPr>
        <w:t>6.</w:t>
      </w:r>
      <w:r w:rsidRPr="00A143E6">
        <w:rPr>
          <w:lang w:val="fr-FR"/>
        </w:rPr>
        <w:tab/>
      </w:r>
      <w:r w:rsidRPr="00B023E3">
        <w:rPr>
          <w:iCs/>
          <w:spacing w:val="-4"/>
          <w:lang w:val="fr-FR"/>
        </w:rPr>
        <w:t xml:space="preserve">Les dispositions liées à la décélération du </w:t>
      </w:r>
      <w:r w:rsidR="00B023E3" w:rsidRPr="00B023E3">
        <w:rPr>
          <w:iCs/>
          <w:spacing w:val="-4"/>
          <w:lang w:val="fr-FR"/>
        </w:rPr>
        <w:t>véhicule énoncées au paragraphe </w:t>
      </w:r>
      <w:r w:rsidRPr="00B023E3">
        <w:rPr>
          <w:iCs/>
          <w:spacing w:val="-4"/>
          <w:lang w:val="fr-FR"/>
        </w:rPr>
        <w:t>5.1.17.2 corre</w:t>
      </w:r>
      <w:r w:rsidR="00B023E3" w:rsidRPr="00B023E3">
        <w:rPr>
          <w:iCs/>
          <w:spacing w:val="-4"/>
          <w:lang w:val="fr-FR"/>
        </w:rPr>
        <w:t>spondent à celles du paragraphe </w:t>
      </w:r>
      <w:r w:rsidRPr="00B023E3">
        <w:rPr>
          <w:iCs/>
          <w:spacing w:val="-4"/>
          <w:lang w:val="fr-FR"/>
        </w:rPr>
        <w:t>5.2.22.4 du Règlement</w:t>
      </w:r>
      <w:r w:rsidRPr="00B023E3">
        <w:rPr>
          <w:spacing w:val="-4"/>
          <w:lang w:val="fr-FR"/>
        </w:rPr>
        <w:t xml:space="preserve"> ONU </w:t>
      </w:r>
      <w:r w:rsidR="00B023E3" w:rsidRPr="00B023E3">
        <w:rPr>
          <w:rFonts w:eastAsia="MS Mincho"/>
          <w:spacing w:val="-4"/>
          <w:lang w:val="fr-FR"/>
        </w:rPr>
        <w:t>n</w:t>
      </w:r>
      <w:r w:rsidR="00B023E3" w:rsidRPr="00B023E3">
        <w:rPr>
          <w:rFonts w:eastAsia="MS Mincho"/>
          <w:spacing w:val="-4"/>
          <w:vertAlign w:val="superscript"/>
          <w:lang w:val="fr-FR"/>
        </w:rPr>
        <w:t>o</w:t>
      </w:r>
      <w:r w:rsidR="00B023E3" w:rsidRPr="00B023E3">
        <w:rPr>
          <w:spacing w:val="-4"/>
          <w:lang w:val="fr-FR"/>
        </w:rPr>
        <w:t> </w:t>
      </w:r>
      <w:r w:rsidRPr="00B023E3">
        <w:rPr>
          <w:spacing w:val="-4"/>
          <w:lang w:val="fr-FR"/>
        </w:rPr>
        <w:t xml:space="preserve">13-H pour que </w:t>
      </w:r>
      <w:r w:rsidRPr="00B023E3">
        <w:rPr>
          <w:iCs/>
          <w:spacing w:val="-4"/>
          <w:lang w:val="fr-FR"/>
        </w:rPr>
        <w:t xml:space="preserve">l’allumage des feux-stop </w:t>
      </w:r>
      <w:r w:rsidRPr="00B023E3">
        <w:rPr>
          <w:spacing w:val="-4"/>
          <w:lang w:val="fr-FR"/>
        </w:rPr>
        <w:t>s’effectue de manière cohérente par rapport aux autres usagers de la route.</w:t>
      </w:r>
    </w:p>
    <w:p w:rsidR="00A143E6" w:rsidRPr="00A143E6" w:rsidRDefault="00A143E6" w:rsidP="00A143E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143E6" w:rsidRPr="00A143E6" w:rsidSect="008B61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E2" w:rsidRDefault="007731E2" w:rsidP="00F95C08">
      <w:pPr>
        <w:spacing w:line="240" w:lineRule="auto"/>
      </w:pPr>
    </w:p>
  </w:endnote>
  <w:endnote w:type="continuationSeparator" w:id="0">
    <w:p w:rsidR="007731E2" w:rsidRPr="00AC3823" w:rsidRDefault="007731E2" w:rsidP="00AC3823">
      <w:pPr>
        <w:pStyle w:val="Footer"/>
      </w:pPr>
    </w:p>
  </w:endnote>
  <w:endnote w:type="continuationNotice" w:id="1">
    <w:p w:rsidR="007731E2" w:rsidRDefault="007731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A6" w:rsidRPr="008B61A6" w:rsidRDefault="008B61A6" w:rsidP="008B61A6">
    <w:pPr>
      <w:pStyle w:val="Footer"/>
      <w:tabs>
        <w:tab w:val="right" w:pos="9638"/>
      </w:tabs>
    </w:pPr>
    <w:r w:rsidRPr="008B61A6">
      <w:rPr>
        <w:b/>
        <w:sz w:val="18"/>
      </w:rPr>
      <w:fldChar w:fldCharType="begin"/>
    </w:r>
    <w:r w:rsidRPr="008B61A6">
      <w:rPr>
        <w:b/>
        <w:sz w:val="18"/>
      </w:rPr>
      <w:instrText xml:space="preserve"> PAGE  \* MERGEFORMAT </w:instrText>
    </w:r>
    <w:r w:rsidRPr="008B61A6">
      <w:rPr>
        <w:b/>
        <w:sz w:val="18"/>
      </w:rPr>
      <w:fldChar w:fldCharType="separate"/>
    </w:r>
    <w:r w:rsidR="00EB658F">
      <w:rPr>
        <w:b/>
        <w:noProof/>
        <w:sz w:val="18"/>
      </w:rPr>
      <w:t>2</w:t>
    </w:r>
    <w:r w:rsidRPr="008B61A6">
      <w:rPr>
        <w:b/>
        <w:sz w:val="18"/>
      </w:rPr>
      <w:fldChar w:fldCharType="end"/>
    </w:r>
    <w:r>
      <w:rPr>
        <w:b/>
        <w:sz w:val="18"/>
      </w:rPr>
      <w:tab/>
    </w:r>
    <w:r>
      <w:t>GE.18-19715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A6" w:rsidRPr="008B61A6" w:rsidRDefault="008B61A6" w:rsidP="008B61A6">
    <w:pPr>
      <w:pStyle w:val="Footer"/>
      <w:tabs>
        <w:tab w:val="right" w:pos="9638"/>
      </w:tabs>
      <w:rPr>
        <w:b/>
        <w:sz w:val="18"/>
      </w:rPr>
    </w:pPr>
    <w:r>
      <w:t>GE.18-19715</w:t>
    </w:r>
    <w:r>
      <w:tab/>
    </w:r>
    <w:r w:rsidRPr="008B61A6">
      <w:rPr>
        <w:b/>
        <w:sz w:val="18"/>
      </w:rPr>
      <w:fldChar w:fldCharType="begin"/>
    </w:r>
    <w:r w:rsidRPr="008B61A6">
      <w:rPr>
        <w:b/>
        <w:sz w:val="18"/>
      </w:rPr>
      <w:instrText xml:space="preserve"> PAGE  \* MERGEFORMAT </w:instrText>
    </w:r>
    <w:r w:rsidRPr="008B61A6">
      <w:rPr>
        <w:b/>
        <w:sz w:val="18"/>
      </w:rPr>
      <w:fldChar w:fldCharType="separate"/>
    </w:r>
    <w:r w:rsidR="00B023E3">
      <w:rPr>
        <w:b/>
        <w:noProof/>
        <w:sz w:val="18"/>
      </w:rPr>
      <w:t>3</w:t>
    </w:r>
    <w:r w:rsidRPr="008B61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B61A6" w:rsidRDefault="008B61A6" w:rsidP="008B61A6">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18-19715  (F)    281118    081218</w:t>
    </w:r>
    <w:r>
      <w:rPr>
        <w:sz w:val="20"/>
      </w:rPr>
      <w:br/>
    </w:r>
    <w:r w:rsidRPr="008B61A6">
      <w:rPr>
        <w:rFonts w:ascii="C39T30Lfz" w:hAnsi="C39T30Lfz"/>
        <w:sz w:val="56"/>
      </w:rPr>
      <w:t></w:t>
    </w:r>
    <w:r w:rsidRPr="008B61A6">
      <w:rPr>
        <w:rFonts w:ascii="C39T30Lfz" w:hAnsi="C39T30Lfz"/>
        <w:sz w:val="56"/>
      </w:rPr>
      <w:t></w:t>
    </w:r>
    <w:r w:rsidRPr="008B61A6">
      <w:rPr>
        <w:rFonts w:ascii="C39T30Lfz" w:hAnsi="C39T30Lfz"/>
        <w:sz w:val="56"/>
      </w:rPr>
      <w:t></w:t>
    </w:r>
    <w:r w:rsidRPr="008B61A6">
      <w:rPr>
        <w:rFonts w:ascii="C39T30Lfz" w:hAnsi="C39T30Lfz"/>
        <w:sz w:val="56"/>
      </w:rPr>
      <w:t></w:t>
    </w:r>
    <w:r w:rsidRPr="008B61A6">
      <w:rPr>
        <w:rFonts w:ascii="C39T30Lfz" w:hAnsi="C39T30Lfz"/>
        <w:sz w:val="56"/>
      </w:rPr>
      <w:t></w:t>
    </w:r>
    <w:r w:rsidRPr="008B61A6">
      <w:rPr>
        <w:rFonts w:ascii="C39T30Lfz" w:hAnsi="C39T30Lfz"/>
        <w:sz w:val="56"/>
      </w:rPr>
      <w:t></w:t>
    </w:r>
    <w:r w:rsidRPr="008B61A6">
      <w:rPr>
        <w:rFonts w:ascii="C39T30Lfz" w:hAnsi="C39T30Lfz"/>
        <w:sz w:val="56"/>
      </w:rPr>
      <w:t></w:t>
    </w:r>
    <w:r w:rsidRPr="008B61A6">
      <w:rPr>
        <w:rFonts w:ascii="C39T30Lfz" w:hAnsi="C39T30Lfz"/>
        <w:sz w:val="56"/>
      </w:rPr>
      <w:t></w:t>
    </w:r>
    <w:r w:rsidRPr="008B61A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E2" w:rsidRPr="00AC3823" w:rsidRDefault="007731E2" w:rsidP="00AC3823">
      <w:pPr>
        <w:pStyle w:val="Footer"/>
        <w:tabs>
          <w:tab w:val="right" w:pos="2155"/>
        </w:tabs>
        <w:spacing w:after="80" w:line="240" w:lineRule="atLeast"/>
        <w:ind w:left="680"/>
        <w:rPr>
          <w:u w:val="single"/>
        </w:rPr>
      </w:pPr>
      <w:r>
        <w:rPr>
          <w:u w:val="single"/>
        </w:rPr>
        <w:tab/>
      </w:r>
    </w:p>
  </w:footnote>
  <w:footnote w:type="continuationSeparator" w:id="0">
    <w:p w:rsidR="007731E2" w:rsidRPr="00AC3823" w:rsidRDefault="007731E2" w:rsidP="00AC3823">
      <w:pPr>
        <w:pStyle w:val="Footer"/>
        <w:tabs>
          <w:tab w:val="right" w:pos="2155"/>
        </w:tabs>
        <w:spacing w:after="80" w:line="240" w:lineRule="atLeast"/>
        <w:ind w:left="680"/>
        <w:rPr>
          <w:u w:val="single"/>
        </w:rPr>
      </w:pPr>
      <w:r>
        <w:rPr>
          <w:u w:val="single"/>
        </w:rPr>
        <w:tab/>
      </w:r>
    </w:p>
  </w:footnote>
  <w:footnote w:type="continuationNotice" w:id="1">
    <w:p w:rsidR="007731E2" w:rsidRPr="00AC3823" w:rsidRDefault="007731E2">
      <w:pPr>
        <w:spacing w:line="240" w:lineRule="auto"/>
        <w:rPr>
          <w:sz w:val="2"/>
          <w:szCs w:val="2"/>
        </w:rPr>
      </w:pPr>
    </w:p>
  </w:footnote>
  <w:footnote w:id="2">
    <w:p w:rsidR="008B61A6" w:rsidRPr="008B61A6" w:rsidRDefault="008B61A6">
      <w:pPr>
        <w:pStyle w:val="FootnoteText"/>
      </w:pPr>
      <w:r>
        <w:rPr>
          <w:rStyle w:val="FootnoteReference"/>
        </w:rPr>
        <w:tab/>
      </w:r>
      <w:r w:rsidRPr="008B61A6">
        <w:rPr>
          <w:rStyle w:val="FootnoteReference"/>
          <w:sz w:val="20"/>
          <w:vertAlign w:val="baseline"/>
        </w:rPr>
        <w:t>*</w:t>
      </w:r>
      <w:r>
        <w:rPr>
          <w:rStyle w:val="FootnoteReference"/>
          <w:sz w:val="20"/>
          <w:vertAlign w:val="baseline"/>
        </w:rPr>
        <w:tab/>
      </w:r>
      <w:r w:rsidR="00A143E6">
        <w:rPr>
          <w:lang w:val="fr-FR"/>
        </w:rPr>
        <w:t xml:space="preserve">Ancien </w:t>
      </w:r>
      <w:r w:rsidR="00A143E6" w:rsidRPr="005A5322">
        <w:rPr>
          <w:b/>
          <w:lang w:val="fr-FR"/>
        </w:rPr>
        <w:t>Groupe de travail en matière de roulement et de freinage (GRRF)</w:t>
      </w:r>
      <w:r w:rsidR="00A143E6">
        <w:rPr>
          <w:lang w:val="fr-FR"/>
        </w:rPr>
        <w:t>.</w:t>
      </w:r>
    </w:p>
  </w:footnote>
  <w:footnote w:id="3">
    <w:p w:rsidR="008B61A6" w:rsidRPr="003F1DDC" w:rsidRDefault="008B61A6" w:rsidP="0017786A">
      <w:pPr>
        <w:pStyle w:val="FootnoteText"/>
      </w:pPr>
      <w:r>
        <w:rPr>
          <w:lang w:val="fr-FR"/>
        </w:rPr>
        <w:tab/>
        <w:t>**</w:t>
      </w:r>
      <w:r>
        <w:rPr>
          <w:lang w:val="fr-FR"/>
        </w:rPr>
        <w:tab/>
      </w:r>
      <w:r w:rsidRPr="00E24993">
        <w:rPr>
          <w:lang w:val="fr-FR"/>
        </w:rPr>
        <w:t>Conformément au programme de travail du Comité des transports intérieurs pour la période 2018</w:t>
      </w:r>
      <w:r w:rsidR="0017786A">
        <w:rPr>
          <w:lang w:val="fr-FR"/>
        </w:rPr>
        <w:noBreakHyphen/>
        <w:t>2019 (ECE/TRANS/274, par. </w:t>
      </w:r>
      <w:r w:rsidRPr="00E24993">
        <w:rPr>
          <w:lang w:val="fr-FR"/>
        </w:rPr>
        <w:t>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A6" w:rsidRPr="008B61A6" w:rsidRDefault="00640EED">
    <w:pPr>
      <w:pStyle w:val="Header"/>
    </w:pPr>
    <w:r>
      <w:fldChar w:fldCharType="begin"/>
    </w:r>
    <w:r>
      <w:instrText xml:space="preserve"> TITLE  \* MERGEFORMAT </w:instrText>
    </w:r>
    <w:r>
      <w:fldChar w:fldCharType="separate"/>
    </w:r>
    <w:r w:rsidR="008B61A6">
      <w:t>ECE/TRANS/WP.29/GRVA/2019/7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A6" w:rsidRPr="008B61A6" w:rsidRDefault="00640EED" w:rsidP="008B61A6">
    <w:pPr>
      <w:pStyle w:val="Header"/>
      <w:jc w:val="right"/>
    </w:pPr>
    <w:r>
      <w:fldChar w:fldCharType="begin"/>
    </w:r>
    <w:r>
      <w:instrText xml:space="preserve"> TITLE  \* MERGEFORMAT </w:instrText>
    </w:r>
    <w:r>
      <w:fldChar w:fldCharType="separate"/>
    </w:r>
    <w:r w:rsidR="008B61A6">
      <w:t>ECE/TRANS/WP.29/GRVA/2019/7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E2"/>
    <w:rsid w:val="00017F94"/>
    <w:rsid w:val="00023842"/>
    <w:rsid w:val="000334F9"/>
    <w:rsid w:val="00045FEB"/>
    <w:rsid w:val="0007796D"/>
    <w:rsid w:val="000B7790"/>
    <w:rsid w:val="000C531B"/>
    <w:rsid w:val="00111F2F"/>
    <w:rsid w:val="0014365E"/>
    <w:rsid w:val="00143C66"/>
    <w:rsid w:val="00176178"/>
    <w:rsid w:val="0017786A"/>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4F5580"/>
    <w:rsid w:val="005505B7"/>
    <w:rsid w:val="00573BE5"/>
    <w:rsid w:val="00586ED3"/>
    <w:rsid w:val="00596AA9"/>
    <w:rsid w:val="00640EED"/>
    <w:rsid w:val="0071601D"/>
    <w:rsid w:val="007731E2"/>
    <w:rsid w:val="007A62E6"/>
    <w:rsid w:val="007F20FA"/>
    <w:rsid w:val="0080684C"/>
    <w:rsid w:val="00871C75"/>
    <w:rsid w:val="008776DC"/>
    <w:rsid w:val="008B61A6"/>
    <w:rsid w:val="009446C0"/>
    <w:rsid w:val="009705C8"/>
    <w:rsid w:val="009C1CF4"/>
    <w:rsid w:val="009F6B74"/>
    <w:rsid w:val="00A143E6"/>
    <w:rsid w:val="00A3029F"/>
    <w:rsid w:val="00A30353"/>
    <w:rsid w:val="00AC3823"/>
    <w:rsid w:val="00AE323C"/>
    <w:rsid w:val="00AF0CB5"/>
    <w:rsid w:val="00B00181"/>
    <w:rsid w:val="00B00B0D"/>
    <w:rsid w:val="00B023E3"/>
    <w:rsid w:val="00B45F2E"/>
    <w:rsid w:val="00B765F7"/>
    <w:rsid w:val="00BA0CA9"/>
    <w:rsid w:val="00C02897"/>
    <w:rsid w:val="00C3628C"/>
    <w:rsid w:val="00C97039"/>
    <w:rsid w:val="00CF1262"/>
    <w:rsid w:val="00D3439C"/>
    <w:rsid w:val="00DB1831"/>
    <w:rsid w:val="00DD3BFD"/>
    <w:rsid w:val="00DF6678"/>
    <w:rsid w:val="00E0299A"/>
    <w:rsid w:val="00E85C74"/>
    <w:rsid w:val="00EA6547"/>
    <w:rsid w:val="00EB658F"/>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FB0FCC-C2CC-4487-B7BE-31CF901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semiHidden/>
    <w:rsid w:val="00A143E6"/>
    <w:rPr>
      <w:sz w:val="6"/>
    </w:rPr>
  </w:style>
  <w:style w:type="paragraph" w:styleId="CommentText">
    <w:name w:val="annotation text"/>
    <w:basedOn w:val="Normal"/>
    <w:link w:val="CommentTextChar"/>
    <w:semiHidden/>
    <w:rsid w:val="00A143E6"/>
    <w:pPr>
      <w:kinsoku/>
      <w:overflowPunct/>
      <w:autoSpaceDE/>
      <w:autoSpaceDN/>
      <w:adjustRightInd/>
      <w:snapToGrid/>
    </w:pPr>
    <w:rPr>
      <w:rFonts w:eastAsiaTheme="minorEastAsia"/>
      <w:lang w:val="en-GB"/>
    </w:rPr>
  </w:style>
  <w:style w:type="character" w:customStyle="1" w:styleId="CommentTextChar">
    <w:name w:val="Comment Text Char"/>
    <w:basedOn w:val="DefaultParagraphFont"/>
    <w:link w:val="CommentText"/>
    <w:semiHidden/>
    <w:rsid w:val="00A143E6"/>
    <w:rPr>
      <w:rFonts w:ascii="Times New Roman" w:eastAsiaTheme="minorEastAsia"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ECE/TRANS/WP.29/GRVA/2019/7</vt:lpstr>
      <vt:lpstr>ECE/TRANS/WP.29/GRVA/2019/7</vt:lpstr>
    </vt:vector>
  </TitlesOfParts>
  <Company>DCM</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ECE/TRANS/WP.29/GRVA/2019/7</dc:title>
  <dc:subject/>
  <dc:creator>Sandrine CLERE</dc:creator>
  <cp:keywords/>
  <cp:lastModifiedBy>Benedicte Boudol</cp:lastModifiedBy>
  <cp:revision>2</cp:revision>
  <cp:lastPrinted>2014-05-14T10:59:00Z</cp:lastPrinted>
  <dcterms:created xsi:type="dcterms:W3CDTF">2018-12-10T09:05:00Z</dcterms:created>
  <dcterms:modified xsi:type="dcterms:W3CDTF">2018-12-10T09:05:00Z</dcterms:modified>
</cp:coreProperties>
</file>