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D2358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2358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D2358C" w:rsidRDefault="00D2358C" w:rsidP="00D2358C">
            <w:pPr>
              <w:jc w:val="right"/>
              <w:rPr>
                <w:lang w:val="en-US"/>
              </w:rPr>
            </w:pPr>
            <w:r w:rsidRPr="00D2358C">
              <w:rPr>
                <w:sz w:val="40"/>
                <w:lang w:val="en-US"/>
              </w:rPr>
              <w:t>ECE</w:t>
            </w:r>
            <w:r w:rsidRPr="00D2358C">
              <w:rPr>
                <w:lang w:val="en-US"/>
              </w:rPr>
              <w:t>/TRANS/WP.29/GRVA/2019/15/Add.1</w:t>
            </w:r>
          </w:p>
        </w:tc>
      </w:tr>
      <w:tr w:rsidR="002D5AAC" w:rsidRPr="00D2358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2358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2358C" w:rsidRDefault="00D2358C" w:rsidP="00D235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July 2019</w:t>
            </w:r>
          </w:p>
          <w:p w:rsidR="00D2358C" w:rsidRDefault="00D2358C" w:rsidP="00D235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2358C" w:rsidRPr="008D53B6" w:rsidRDefault="00D2358C" w:rsidP="00D2358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D2358C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41933" w:rsidRPr="00641933" w:rsidRDefault="00641933" w:rsidP="00641933">
      <w:pPr>
        <w:spacing w:before="120"/>
        <w:rPr>
          <w:sz w:val="28"/>
          <w:szCs w:val="28"/>
        </w:rPr>
      </w:pPr>
      <w:r w:rsidRPr="00641933">
        <w:rPr>
          <w:sz w:val="28"/>
          <w:szCs w:val="28"/>
        </w:rPr>
        <w:t>Комитет по внутреннему транспорту</w:t>
      </w:r>
    </w:p>
    <w:p w:rsidR="00641933" w:rsidRPr="00641933" w:rsidRDefault="00641933" w:rsidP="00641933">
      <w:pPr>
        <w:spacing w:before="120"/>
        <w:rPr>
          <w:b/>
          <w:sz w:val="24"/>
          <w:szCs w:val="24"/>
        </w:rPr>
      </w:pPr>
      <w:r w:rsidRPr="00641933">
        <w:rPr>
          <w:b/>
          <w:bCs/>
          <w:sz w:val="24"/>
          <w:szCs w:val="24"/>
        </w:rPr>
        <w:t>Всемирны</w:t>
      </w:r>
      <w:r>
        <w:rPr>
          <w:b/>
          <w:bCs/>
          <w:sz w:val="24"/>
          <w:szCs w:val="24"/>
        </w:rPr>
        <w:t>й форум для согласования правил</w:t>
      </w:r>
      <w:r>
        <w:rPr>
          <w:b/>
          <w:bCs/>
          <w:sz w:val="24"/>
          <w:szCs w:val="24"/>
        </w:rPr>
        <w:br/>
      </w:r>
      <w:r w:rsidRPr="00641933">
        <w:rPr>
          <w:b/>
          <w:bCs/>
          <w:sz w:val="24"/>
          <w:szCs w:val="24"/>
        </w:rPr>
        <w:t>в области транспортных средств</w:t>
      </w:r>
    </w:p>
    <w:p w:rsidR="00641933" w:rsidRPr="00A72E35" w:rsidRDefault="00641933" w:rsidP="00641933">
      <w:pPr>
        <w:spacing w:before="120"/>
        <w:rPr>
          <w:b/>
          <w:bCs/>
        </w:rPr>
      </w:pPr>
      <w:bookmarkStart w:id="0" w:name="_Hlk518466992"/>
      <w:r>
        <w:rPr>
          <w:b/>
          <w:bCs/>
        </w:rPr>
        <w:t xml:space="preserve">Рабочая группа по </w:t>
      </w:r>
      <w:r>
        <w:rPr>
          <w:b/>
          <w:bCs/>
        </w:rPr>
        <w:t>автоматизированным/автономным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:rsidR="00641933" w:rsidRPr="00A72E35" w:rsidRDefault="00641933" w:rsidP="00641933">
      <w:pPr>
        <w:spacing w:before="120"/>
        <w:rPr>
          <w:b/>
        </w:rPr>
      </w:pPr>
      <w:r>
        <w:rPr>
          <w:b/>
          <w:bCs/>
        </w:rPr>
        <w:t>Четвертая сессия</w:t>
      </w:r>
    </w:p>
    <w:p w:rsidR="00641933" w:rsidRPr="00A72E35" w:rsidRDefault="00641933" w:rsidP="00641933">
      <w:r>
        <w:t>Женева, 24–27 сентября 2019 года</w:t>
      </w:r>
    </w:p>
    <w:p w:rsidR="00641933" w:rsidRPr="00A72E35" w:rsidRDefault="00641933" w:rsidP="00641933">
      <w:r>
        <w:t>Пункт 1 предварительной повестки дня</w:t>
      </w:r>
    </w:p>
    <w:p w:rsidR="00641933" w:rsidRPr="00A72E35" w:rsidRDefault="00641933" w:rsidP="00641933">
      <w:pPr>
        <w:rPr>
          <w:b/>
        </w:rPr>
      </w:pPr>
      <w:r>
        <w:rPr>
          <w:b/>
          <w:bCs/>
        </w:rPr>
        <w:t>Утверждение повестки дня</w:t>
      </w:r>
    </w:p>
    <w:p w:rsidR="00641933" w:rsidRPr="00A72E35" w:rsidRDefault="00641933" w:rsidP="00641933">
      <w:pPr>
        <w:pStyle w:val="HChG"/>
      </w:pPr>
      <w:r>
        <w:tab/>
      </w:r>
      <w:r>
        <w:tab/>
      </w:r>
      <w:r>
        <w:rPr>
          <w:bCs/>
        </w:rPr>
        <w:t>Предварительная повестка дня четвертой сессии</w:t>
      </w:r>
    </w:p>
    <w:p w:rsidR="00641933" w:rsidRPr="00A72E35" w:rsidRDefault="00641933" w:rsidP="00641933">
      <w:pPr>
        <w:pStyle w:val="H23G"/>
      </w:pPr>
      <w:r>
        <w:tab/>
      </w:r>
      <w:r>
        <w:tab/>
      </w:r>
      <w:r>
        <w:t>Добавление</w:t>
      </w:r>
    </w:p>
    <w:p w:rsidR="00641933" w:rsidRPr="00A72E35" w:rsidRDefault="00641933" w:rsidP="00641933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:rsidR="00641933" w:rsidRPr="00A72E35" w:rsidRDefault="00641933" w:rsidP="00641933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:rsidR="00641933" w:rsidRPr="00A72E35" w:rsidRDefault="00641933" w:rsidP="00641933">
      <w:pPr>
        <w:pStyle w:val="SingleTxtG"/>
        <w:ind w:firstLine="567"/>
      </w:pPr>
      <w:r>
        <w:t>В соответствии с правилом 7 главы III правил процедуры (ECE/TRANS/WP.29/690 с поправками) Всемирного форума для согласования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641933" w:rsidRPr="008A31A7" w:rsidRDefault="00641933" w:rsidP="00641933">
      <w:pPr>
        <w:pStyle w:val="SingleTxtG"/>
        <w:ind w:left="2835" w:hanging="1701"/>
        <w:jc w:val="left"/>
      </w:pPr>
      <w:r>
        <w:rPr>
          <w:b/>
          <w:bCs/>
        </w:rPr>
        <w:t>Документация</w:t>
      </w:r>
      <w:r w:rsidRPr="008A31A7">
        <w:tab/>
      </w:r>
      <w:r w:rsidRPr="00A72E35">
        <w:rPr>
          <w:lang w:val="en-US"/>
        </w:rPr>
        <w:t>ECE</w:t>
      </w:r>
      <w:r w:rsidRPr="008A31A7">
        <w:t>/</w:t>
      </w:r>
      <w:r w:rsidRPr="00A72E35">
        <w:rPr>
          <w:lang w:val="en-US"/>
        </w:rPr>
        <w:t>TRANS</w:t>
      </w:r>
      <w:r w:rsidRPr="008A31A7">
        <w:t>/</w:t>
      </w:r>
      <w:r w:rsidRPr="00A72E35">
        <w:rPr>
          <w:lang w:val="en-US"/>
        </w:rPr>
        <w:t>WP</w:t>
      </w:r>
      <w:r w:rsidRPr="008A31A7">
        <w:t>.29/</w:t>
      </w:r>
      <w:r w:rsidRPr="00A72E35">
        <w:rPr>
          <w:lang w:val="en-US"/>
        </w:rPr>
        <w:t>GRVA</w:t>
      </w:r>
      <w:r w:rsidRPr="008A31A7">
        <w:t xml:space="preserve">/2019/15 </w:t>
      </w:r>
      <w:r>
        <w:t>и</w:t>
      </w:r>
      <w:r w:rsidRPr="008A31A7">
        <w:t xml:space="preserve"> </w:t>
      </w:r>
      <w:r w:rsidRPr="00A72E35">
        <w:rPr>
          <w:lang w:val="en-US"/>
        </w:rPr>
        <w:t>Add</w:t>
      </w:r>
      <w:r w:rsidRPr="008A31A7">
        <w:t>.1</w:t>
      </w:r>
    </w:p>
    <w:p w:rsidR="00641933" w:rsidRPr="00A72E35" w:rsidRDefault="00641933" w:rsidP="00641933">
      <w:pPr>
        <w:pStyle w:val="H1G"/>
      </w:pPr>
      <w:r>
        <w:tab/>
        <w:t>2.</w:t>
      </w:r>
      <w:r>
        <w:tab/>
      </w:r>
      <w:r>
        <w:rPr>
          <w:bCs/>
        </w:rPr>
        <w:t>Основные вопросы, рассмотрен</w:t>
      </w:r>
      <w:r>
        <w:rPr>
          <w:bCs/>
        </w:rPr>
        <w:t>ные на сессии WP.29 в июне 2019 </w:t>
      </w:r>
      <w:r>
        <w:rPr>
          <w:bCs/>
        </w:rPr>
        <w:t>года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заслушать краткое сообщение секретариата об основных вопросах, рассмотренных на сессии WP.29 в июне 2019 года, которые касаются GRVA и общих тем.</w:t>
      </w:r>
    </w:p>
    <w:p w:rsidR="00641933" w:rsidRPr="008A31A7" w:rsidRDefault="00641933" w:rsidP="00641933">
      <w:pPr>
        <w:pStyle w:val="H23G"/>
        <w:keepNext w:val="0"/>
        <w:keepLines w:val="0"/>
        <w:tabs>
          <w:tab w:val="left" w:pos="720"/>
        </w:tabs>
        <w:spacing w:before="0"/>
        <w:ind w:left="2835" w:hanging="1701"/>
        <w:rPr>
          <w:b w:val="0"/>
          <w:bCs/>
        </w:rPr>
      </w:pPr>
      <w:r>
        <w:rPr>
          <w:bCs/>
        </w:rPr>
        <w:t>Документация</w:t>
      </w:r>
      <w:r w:rsidR="007F58E8">
        <w:rPr>
          <w:bCs/>
        </w:rPr>
        <w:t>:</w:t>
      </w:r>
      <w:r>
        <w:tab/>
      </w:r>
      <w:r w:rsidRPr="008A31A7">
        <w:rPr>
          <w:b w:val="0"/>
          <w:bCs/>
        </w:rPr>
        <w:t>(ECE/TRANS/WP.29/1147)</w:t>
      </w:r>
    </w:p>
    <w:p w:rsidR="00641933" w:rsidRPr="00A72E35" w:rsidRDefault="00641933" w:rsidP="00641933">
      <w:pPr>
        <w:pStyle w:val="H1G"/>
      </w:pPr>
      <w:r>
        <w:tab/>
        <w:t>3.</w:t>
      </w:r>
      <w:r>
        <w:tab/>
      </w:r>
      <w:r>
        <w:rPr>
          <w:bCs/>
        </w:rPr>
        <w:t>Обмен мнениями по во</w:t>
      </w:r>
      <w:r>
        <w:rPr>
          <w:bCs/>
        </w:rPr>
        <w:t>просу о руководящих принципах и </w:t>
      </w:r>
      <w:r>
        <w:rPr>
          <w:bCs/>
        </w:rPr>
        <w:t>соответствующих национальных мероприятиях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получить информацию о национальной деятельности, связанной с автоматизацией транспортных средств, если таковая имеется.</w:t>
      </w:r>
    </w:p>
    <w:p w:rsidR="00641933" w:rsidRPr="00A72E35" w:rsidRDefault="00641933" w:rsidP="00641933">
      <w:pPr>
        <w:pStyle w:val="H1G"/>
      </w:pPr>
      <w:r>
        <w:lastRenderedPageBreak/>
        <w:tab/>
        <w:t>4.</w:t>
      </w:r>
      <w:r>
        <w:tab/>
      </w:r>
      <w:r w:rsidR="007F58E8">
        <w:rPr>
          <w:bCs/>
        </w:rPr>
        <w:t>Автоматизированные</w:t>
      </w:r>
      <w:r>
        <w:rPr>
          <w:bCs/>
        </w:rPr>
        <w:t>/автономные и подключенные транспортные средства</w:t>
      </w:r>
    </w:p>
    <w:p w:rsidR="00641933" w:rsidRPr="00A72E35" w:rsidRDefault="00641933" w:rsidP="00641933">
      <w:pPr>
        <w:pStyle w:val="H23G"/>
      </w:pPr>
      <w:r>
        <w:tab/>
        <w:t>a)</w:t>
      </w:r>
      <w:r>
        <w:tab/>
      </w:r>
      <w:r>
        <w:rPr>
          <w:bCs/>
        </w:rPr>
        <w:t>Доклад неофициальной рабочей группы по функциональным требованиям для автоматизированных и автономных транспортных средств</w:t>
      </w:r>
    </w:p>
    <w:p w:rsidR="00641933" w:rsidRPr="00A72E35" w:rsidRDefault="00641933" w:rsidP="00641933">
      <w:pPr>
        <w:pStyle w:val="SingleTxtG"/>
        <w:rPr>
          <w:spacing w:val="-2"/>
        </w:rPr>
      </w:pPr>
      <w:r>
        <w:tab/>
      </w:r>
      <w:r>
        <w:tab/>
        <w:t>GRVA, возможно, пожелает заслушать информацию об итогах первого совещания неофициальной рабочей группы (НРГ) по функциональным требованиям для автоматизированных и автономных транспортных средств (ФРАВ).</w:t>
      </w:r>
    </w:p>
    <w:p w:rsidR="00641933" w:rsidRPr="00A72E35" w:rsidRDefault="00641933" w:rsidP="00641933">
      <w:pPr>
        <w:pStyle w:val="H23G"/>
      </w:pPr>
      <w:r>
        <w:tab/>
        <w:t>b)</w:t>
      </w:r>
      <w:r>
        <w:tab/>
      </w:r>
      <w:r>
        <w:rPr>
          <w:bCs/>
        </w:rPr>
        <w:t xml:space="preserve">Доклад неофициальной рабочей </w:t>
      </w:r>
      <w:r>
        <w:rPr>
          <w:bCs/>
        </w:rPr>
        <w:t xml:space="preserve">группы по методам </w:t>
      </w:r>
      <w:proofErr w:type="spellStart"/>
      <w:r>
        <w:rPr>
          <w:bCs/>
        </w:rPr>
        <w:t>валидации</w:t>
      </w:r>
      <w:proofErr w:type="spellEnd"/>
      <w:r>
        <w:rPr>
          <w:bCs/>
        </w:rPr>
        <w:t xml:space="preserve"> для </w:t>
      </w:r>
      <w:r>
        <w:rPr>
          <w:bCs/>
        </w:rPr>
        <w:t>автоматизированного вождения</w:t>
      </w:r>
    </w:p>
    <w:p w:rsidR="00641933" w:rsidRPr="00A72E35" w:rsidRDefault="00641933" w:rsidP="00641933">
      <w:pPr>
        <w:pStyle w:val="SingleTxtG"/>
      </w:pPr>
      <w:r>
        <w:tab/>
      </w:r>
      <w:r>
        <w:tab/>
        <w:t xml:space="preserve">GRVA, возможно, пожелает заслушать краткую информацию об итогах последних совещаний НРГ по методам </w:t>
      </w:r>
      <w:proofErr w:type="spellStart"/>
      <w:r>
        <w:t>валидации</w:t>
      </w:r>
      <w:proofErr w:type="spellEnd"/>
      <w:r>
        <w:t xml:space="preserve"> д</w:t>
      </w:r>
      <w:r w:rsidR="007F58E8">
        <w:t>ля автоматизированного вождения </w:t>
      </w:r>
      <w:r>
        <w:t>(ВМАД).</w:t>
      </w:r>
    </w:p>
    <w:p w:rsidR="00641933" w:rsidRPr="00A72E35" w:rsidRDefault="00641933" w:rsidP="00641933">
      <w:pPr>
        <w:pStyle w:val="H23G"/>
      </w:pPr>
      <w:r>
        <w:tab/>
        <w:t>c)</w:t>
      </w:r>
      <w:r>
        <w:tab/>
      </w:r>
      <w:r>
        <w:rPr>
          <w:bCs/>
        </w:rPr>
        <w:t>Доклад неофициальной рабочей группы по автоматизированным системам удержания в пределах полосы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заслушать краткую информацию об итогах последних совещаний НРГ по автоматизирован</w:t>
      </w:r>
      <w:r w:rsidR="007F58E8">
        <w:t>ной функции рулевого управления </w:t>
      </w:r>
      <w:r>
        <w:t>(АФРУ).</w:t>
      </w:r>
    </w:p>
    <w:p w:rsidR="00641933" w:rsidRPr="00A72E35" w:rsidRDefault="00641933" w:rsidP="00641933">
      <w:pPr>
        <w:pStyle w:val="H23G"/>
      </w:pPr>
      <w:r>
        <w:tab/>
        <w:t>d)</w:t>
      </w:r>
      <w:r>
        <w:tab/>
      </w:r>
      <w:r>
        <w:rPr>
          <w:bCs/>
        </w:rPr>
        <w:t>Доклад неофициальной рабочей г</w:t>
      </w:r>
      <w:r>
        <w:rPr>
          <w:bCs/>
        </w:rPr>
        <w:t>руппы по регистратору данных об </w:t>
      </w:r>
      <w:r>
        <w:rPr>
          <w:bCs/>
        </w:rPr>
        <w:t>авариях/системам хранения данных для автоматизированного вождения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заслушать информацию об итогах последних совещаний НРГ по регистратору данных об авариях/системам хранения данных для автоматизированного вождения (РДА/СХДАВ).</w:t>
      </w:r>
    </w:p>
    <w:p w:rsidR="00641933" w:rsidRPr="00A72E35" w:rsidRDefault="00641933" w:rsidP="00641933">
      <w:pPr>
        <w:pStyle w:val="H1G"/>
      </w:pPr>
      <w:r>
        <w:tab/>
        <w:t>5.</w:t>
      </w:r>
      <w:r>
        <w:tab/>
      </w:r>
      <w:r>
        <w:rPr>
          <w:bCs/>
        </w:rPr>
        <w:t>Подключенные транспортные средства</w:t>
      </w:r>
    </w:p>
    <w:p w:rsidR="00641933" w:rsidRPr="00A72E35" w:rsidRDefault="00641933" w:rsidP="00641933">
      <w:pPr>
        <w:pStyle w:val="H23G"/>
      </w:pPr>
      <w:r>
        <w:tab/>
        <w:t>a)</w:t>
      </w:r>
      <w:r>
        <w:tab/>
      </w:r>
      <w:proofErr w:type="spellStart"/>
      <w:r>
        <w:rPr>
          <w:bCs/>
        </w:rPr>
        <w:t>Кибербезопасность</w:t>
      </w:r>
      <w:proofErr w:type="spellEnd"/>
      <w:r>
        <w:rPr>
          <w:bCs/>
        </w:rPr>
        <w:t xml:space="preserve"> и защита данных</w:t>
      </w:r>
    </w:p>
    <w:p w:rsidR="00641933" w:rsidRPr="00A72E35" w:rsidRDefault="00641933" w:rsidP="00641933">
      <w:pPr>
        <w:pStyle w:val="SingleTxtG"/>
      </w:pPr>
      <w:r>
        <w:tab/>
      </w:r>
      <w:r>
        <w:tab/>
        <w:t xml:space="preserve">GRVA решила рассмотреть предложения по рекомендации и правилам, подготовленные ЦГ по вопросам </w:t>
      </w:r>
      <w:proofErr w:type="spellStart"/>
      <w:r>
        <w:t>кибербезопасности</w:t>
      </w:r>
      <w:proofErr w:type="spellEnd"/>
      <w:r>
        <w:t xml:space="preserve"> и беспроводной связи, и ознакомиться с докладом о ходе работы по итогам этапа испытаний и выводами.</w:t>
      </w:r>
    </w:p>
    <w:p w:rsidR="00641933" w:rsidRPr="00A72E35" w:rsidRDefault="00641933" w:rsidP="00641933">
      <w:pPr>
        <w:pStyle w:val="SingleTxtG"/>
        <w:ind w:left="2835" w:hanging="1701"/>
      </w:pPr>
      <w:r>
        <w:rPr>
          <w:b/>
          <w:bCs/>
        </w:rPr>
        <w:t>Документация</w:t>
      </w:r>
      <w:r w:rsidR="007F58E8">
        <w:rPr>
          <w:b/>
          <w:bCs/>
        </w:rPr>
        <w:t>:</w:t>
      </w:r>
      <w:r>
        <w:tab/>
        <w:t>ECE/TRANS/WP.29/GRVA/2019/2</w:t>
      </w:r>
    </w:p>
    <w:p w:rsidR="00641933" w:rsidRPr="00A72E35" w:rsidRDefault="00641933" w:rsidP="00641933">
      <w:pPr>
        <w:pStyle w:val="H23G"/>
      </w:pPr>
      <w:r>
        <w:tab/>
        <w:t>b)</w:t>
      </w:r>
      <w:r>
        <w:tab/>
      </w:r>
      <w:r>
        <w:rPr>
          <w:bCs/>
        </w:rPr>
        <w:t>Обновление программного обеспечения (включая беспроводные обновления)</w:t>
      </w:r>
    </w:p>
    <w:p w:rsidR="00641933" w:rsidRPr="00A72E35" w:rsidRDefault="00641933" w:rsidP="00641933">
      <w:pPr>
        <w:pStyle w:val="SingleTxtG"/>
      </w:pPr>
      <w:r>
        <w:tab/>
      </w:r>
      <w:r>
        <w:tab/>
        <w:t xml:space="preserve">GRVA решила рассмотреть предложения по рекомендации и правилам, подготовленные ЦГ по вопросам </w:t>
      </w:r>
      <w:proofErr w:type="spellStart"/>
      <w:r>
        <w:t>кибербезопасности</w:t>
      </w:r>
      <w:proofErr w:type="spellEnd"/>
      <w:r>
        <w:t xml:space="preserve"> и беспроводной связи, и ознакомиться с докладом о ходе работы по итогам этапа испытаний и выводами.</w:t>
      </w:r>
    </w:p>
    <w:p w:rsidR="00641933" w:rsidRPr="00A72E35" w:rsidRDefault="00641933" w:rsidP="00641933">
      <w:pPr>
        <w:pStyle w:val="SingleTxtG"/>
      </w:pPr>
      <w:r>
        <w:rPr>
          <w:b/>
          <w:bCs/>
        </w:rPr>
        <w:t>Документация</w:t>
      </w:r>
      <w:r w:rsidR="007F58E8">
        <w:rPr>
          <w:b/>
          <w:bCs/>
        </w:rPr>
        <w:t>:</w:t>
      </w:r>
      <w:r>
        <w:tab/>
        <w:t>ECE/TRANS/WP.29/GRVA/2019/3</w:t>
      </w:r>
    </w:p>
    <w:p w:rsidR="00641933" w:rsidRPr="00A72E35" w:rsidRDefault="00641933" w:rsidP="00641933">
      <w:pPr>
        <w:pStyle w:val="H23G"/>
      </w:pPr>
      <w:r>
        <w:tab/>
        <w:t>c)</w:t>
      </w:r>
      <w:r>
        <w:tab/>
      </w:r>
      <w:r>
        <w:rPr>
          <w:bCs/>
        </w:rPr>
        <w:t>Прочие вопросы</w:t>
      </w:r>
    </w:p>
    <w:p w:rsidR="00641933" w:rsidRPr="00A72E35" w:rsidRDefault="00641933" w:rsidP="00641933">
      <w:pPr>
        <w:pStyle w:val="SingleTxtG"/>
      </w:pPr>
      <w:r>
        <w:tab/>
      </w:r>
      <w:r>
        <w:tab/>
        <w:t xml:space="preserve">GRVA, возможно, пожелает рассмотреть любое предложение или информацию, касающуюся </w:t>
      </w:r>
      <w:proofErr w:type="spellStart"/>
      <w:r>
        <w:t>подключенности</w:t>
      </w:r>
      <w:proofErr w:type="spellEnd"/>
      <w:r>
        <w:t xml:space="preserve"> транспортных средств.</w:t>
      </w:r>
    </w:p>
    <w:p w:rsidR="00641933" w:rsidRPr="00A72E35" w:rsidRDefault="00641933" w:rsidP="00641933">
      <w:pPr>
        <w:pStyle w:val="H1G"/>
      </w:pPr>
      <w:r>
        <w:tab/>
        <w:t>6.</w:t>
      </w:r>
      <w:r>
        <w:tab/>
      </w:r>
      <w:r>
        <w:rPr>
          <w:bCs/>
        </w:rPr>
        <w:t>Правила № 79 ООН</w:t>
      </w:r>
    </w:p>
    <w:p w:rsidR="00641933" w:rsidRPr="00A72E35" w:rsidRDefault="00641933" w:rsidP="00641933">
      <w:pPr>
        <w:pStyle w:val="H23G"/>
      </w:pPr>
      <w:r>
        <w:tab/>
        <w:t>a)</w:t>
      </w:r>
      <w:r>
        <w:tab/>
      </w:r>
      <w:r>
        <w:rPr>
          <w:bCs/>
        </w:rPr>
        <w:t>Автоматизированная функция рулевого управления</w:t>
      </w:r>
      <w:bookmarkStart w:id="1" w:name="_Hlk13234076"/>
      <w:bookmarkEnd w:id="1"/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рассмотреть предложения по поправкам к положениям об автоматизированной функции рулевого управления (АФРУ), представленные экспертами от Германии, Республики Корея, Франции и Японии.</w:t>
      </w:r>
    </w:p>
    <w:p w:rsidR="00641933" w:rsidRPr="00A72E35" w:rsidRDefault="00641933" w:rsidP="00641933">
      <w:pPr>
        <w:pStyle w:val="SingleTxtG"/>
      </w:pPr>
      <w:r>
        <w:rPr>
          <w:b/>
          <w:bCs/>
        </w:rPr>
        <w:t>Документация</w:t>
      </w:r>
      <w:r w:rsidR="007F58E8">
        <w:rPr>
          <w:b/>
          <w:bCs/>
        </w:rPr>
        <w:t>:</w:t>
      </w:r>
      <w:r>
        <w:tab/>
        <w:t>ECE/TRANS/WP.29/GRVA/2019/19</w:t>
      </w:r>
    </w:p>
    <w:p w:rsidR="00641933" w:rsidRPr="00A72E35" w:rsidRDefault="00641933" w:rsidP="00641933">
      <w:pPr>
        <w:pStyle w:val="SingleTxtG"/>
      </w:pPr>
      <w:r>
        <w:lastRenderedPageBreak/>
        <w:tab/>
      </w:r>
      <w:r>
        <w:tab/>
        <w:t>GRVA, возможно, пожелает рассмотреть предложение о поправках к поправкам серии 03, касающихся автоматизированной функции рулевого управления (АФРУ) категории С, представленное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</w:t>
      </w:r>
      <w:bookmarkStart w:id="2" w:name="_Hlk13557785"/>
      <w:bookmarkEnd w:id="2"/>
    </w:p>
    <w:p w:rsidR="00641933" w:rsidRPr="00A72E35" w:rsidRDefault="00641933" w:rsidP="00641933">
      <w:pPr>
        <w:pStyle w:val="SingleTxtG"/>
      </w:pPr>
      <w:r>
        <w:rPr>
          <w:b/>
          <w:bCs/>
        </w:rPr>
        <w:t>Документация</w:t>
      </w:r>
      <w:r w:rsidR="007F58E8">
        <w:rPr>
          <w:b/>
          <w:bCs/>
        </w:rPr>
        <w:t>:</w:t>
      </w:r>
      <w:r>
        <w:tab/>
        <w:t>ECE/TRANS/WP.29/GRVA/2019/24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рассмотреть три предложения по поправкам к Правилам № 79 ООН, представленные экспертом от АВЕРЕ и касающиеся АФРУ категории В1, С и использования механических защелок.</w:t>
      </w:r>
    </w:p>
    <w:p w:rsidR="00641933" w:rsidRPr="00641933" w:rsidRDefault="00641933" w:rsidP="00641933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="007F58E8" w:rsidRPr="007F58E8">
        <w:rPr>
          <w:b/>
          <w:bCs/>
          <w:lang w:val="en-US"/>
        </w:rPr>
        <w:t>:</w:t>
      </w:r>
      <w:r w:rsidRPr="00641933">
        <w:rPr>
          <w:lang w:val="en-US"/>
        </w:rPr>
        <w:tab/>
        <w:t>ECE/TRANS/WP.29/GRVA/2019/26 ECE/TRANS/WP.29/GRVA/2019/27 ECE/TRANS/WP.29/GRVA/2019/28</w:t>
      </w:r>
    </w:p>
    <w:p w:rsidR="00641933" w:rsidRPr="00A72E35" w:rsidRDefault="00641933" w:rsidP="00641933">
      <w:pPr>
        <w:pStyle w:val="H23G"/>
      </w:pPr>
      <w:r w:rsidRPr="00641933">
        <w:rPr>
          <w:lang w:val="en-US"/>
        </w:rPr>
        <w:tab/>
      </w:r>
      <w:r>
        <w:t>b)</w:t>
      </w:r>
      <w:r>
        <w:tab/>
      </w:r>
      <w:r>
        <w:rPr>
          <w:bCs/>
        </w:rPr>
        <w:t>Приложение 6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 решила рассмотреть пересмотренное предложение по поправкам к поправкам серии 03 к Правилам № 79 ООН, подготовленное экспертом от Соединенного Королевства от имени специальной группы экспертов.</w:t>
      </w:r>
    </w:p>
    <w:p w:rsidR="00641933" w:rsidRPr="00A72E35" w:rsidRDefault="00641933" w:rsidP="00641933">
      <w:pPr>
        <w:pStyle w:val="SingleTxtG"/>
      </w:pPr>
      <w:r>
        <w:rPr>
          <w:b/>
          <w:bCs/>
        </w:rPr>
        <w:t>Документация</w:t>
      </w:r>
      <w:r w:rsidR="007F58E8">
        <w:rPr>
          <w:b/>
          <w:bCs/>
        </w:rPr>
        <w:t>:</w:t>
      </w:r>
      <w:r>
        <w:tab/>
        <w:t>ECE/TRANS/WP.29/GRVA/2019/20</w:t>
      </w:r>
    </w:p>
    <w:p w:rsidR="00641933" w:rsidRPr="00A72E35" w:rsidRDefault="00641933" w:rsidP="00641933">
      <w:pPr>
        <w:pStyle w:val="H23G"/>
      </w:pPr>
      <w:bookmarkStart w:id="3" w:name="_Hlk13232091"/>
      <w:r>
        <w:tab/>
        <w:t>c)</w:t>
      </w:r>
      <w:r>
        <w:tab/>
      </w:r>
      <w:r>
        <w:rPr>
          <w:bCs/>
        </w:rPr>
        <w:t>Дистанционное управление маневрированием</w:t>
      </w:r>
      <w:bookmarkEnd w:id="3"/>
    </w:p>
    <w:p w:rsidR="00641933" w:rsidRPr="00A72E35" w:rsidRDefault="00641933" w:rsidP="00641933">
      <w:pPr>
        <w:pStyle w:val="SingleTxtG"/>
      </w:pPr>
      <w:r>
        <w:tab/>
      </w:r>
      <w:r>
        <w:tab/>
        <w:t>На своей сессии в январе 2019 года GRVA согласилась с текстом, предложенным в документе ECE/TRANS/WP.29/2019/93. GRVA решила пересмотреть это предложение, с тем чтобы учесть оговорки, высказанные экспертами от Германии и Республики Корея.</w:t>
      </w:r>
    </w:p>
    <w:p w:rsidR="00641933" w:rsidRPr="00641933" w:rsidRDefault="00641933" w:rsidP="00641933">
      <w:pPr>
        <w:pStyle w:val="SingleTxtG"/>
        <w:ind w:left="2835" w:hanging="1701"/>
        <w:rPr>
          <w:lang w:val="en-US"/>
        </w:rPr>
      </w:pPr>
      <w:r>
        <w:rPr>
          <w:b/>
          <w:bCs/>
        </w:rPr>
        <w:t>Документация</w:t>
      </w:r>
      <w:r w:rsidR="007F58E8" w:rsidRPr="007F58E8">
        <w:rPr>
          <w:b/>
          <w:bCs/>
          <w:lang w:val="en-US"/>
        </w:rPr>
        <w:t>:</w:t>
      </w:r>
      <w:r w:rsidRPr="00641933">
        <w:rPr>
          <w:lang w:val="en-US"/>
        </w:rPr>
        <w:tab/>
        <w:t>(ECE/TRANS/WP.29/2019</w:t>
      </w:r>
      <w:proofErr w:type="gramStart"/>
      <w:r w:rsidRPr="00641933">
        <w:rPr>
          <w:lang w:val="en-US"/>
        </w:rPr>
        <w:t>/[</w:t>
      </w:r>
      <w:proofErr w:type="gramEnd"/>
      <w:r w:rsidRPr="00641933">
        <w:rPr>
          <w:lang w:val="en-US"/>
        </w:rPr>
        <w:t>93]) ECE/TRANS/WP.29/GRVA/2019/21</w:t>
      </w:r>
    </w:p>
    <w:p w:rsidR="00641933" w:rsidRPr="00A72E35" w:rsidRDefault="00641933" w:rsidP="00641933">
      <w:pPr>
        <w:pStyle w:val="H23G"/>
      </w:pPr>
      <w:r w:rsidRPr="00023563">
        <w:rPr>
          <w:lang w:val="en-US"/>
        </w:rPr>
        <w:tab/>
      </w:r>
      <w:r>
        <w:t>d)</w:t>
      </w:r>
      <w:r>
        <w:tab/>
      </w:r>
      <w:r>
        <w:rPr>
          <w:bCs/>
        </w:rPr>
        <w:t>Прочие вопросы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рассмотреть любое другое предложение по поправкам, если таковое будет получено.</w:t>
      </w:r>
    </w:p>
    <w:p w:rsidR="00641933" w:rsidRPr="00A72E35" w:rsidRDefault="00641933" w:rsidP="00641933">
      <w:pPr>
        <w:pStyle w:val="H1G"/>
      </w:pPr>
      <w:r>
        <w:tab/>
        <w:t>7.</w:t>
      </w:r>
      <w:r>
        <w:tab/>
      </w:r>
      <w:r>
        <w:rPr>
          <w:bCs/>
        </w:rPr>
        <w:t>Системы автоматического экстренного торможения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 решила рассмотреть предложение по новым поправкам серии 01 к Правилам № [152] ООН, касающимся систем автоматического экстренного торможения (САЭТ) для транспортных средств М</w:t>
      </w:r>
      <w:r>
        <w:rPr>
          <w:vertAlign w:val="subscript"/>
        </w:rPr>
        <w:t>1</w:t>
      </w:r>
      <w:r>
        <w:t>/N</w:t>
      </w:r>
      <w:r>
        <w:rPr>
          <w:vertAlign w:val="subscript"/>
        </w:rPr>
        <w:t>1</w:t>
      </w:r>
      <w:r>
        <w:t>, представленное экспертами НРГ по САЭТ.</w:t>
      </w:r>
    </w:p>
    <w:p w:rsidR="00641933" w:rsidRPr="00A72E35" w:rsidRDefault="00641933" w:rsidP="00641933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>ECE/TRANS/WP.29/GRVA/2019/16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рассмотреть предложение по дополнению 1 к первоначальному тексту Правил № [152] ООН, касающихся САЭТ для транспортных средств M</w:t>
      </w:r>
      <w:r>
        <w:rPr>
          <w:vertAlign w:val="subscript"/>
        </w:rPr>
        <w:t>1</w:t>
      </w:r>
      <w:r>
        <w:t>/N</w:t>
      </w:r>
      <w:r>
        <w:rPr>
          <w:vertAlign w:val="subscript"/>
        </w:rPr>
        <w:t>1</w:t>
      </w:r>
      <w:r>
        <w:t>), представленное экспертами от НРГ по САЭТ.</w:t>
      </w:r>
    </w:p>
    <w:p w:rsidR="00641933" w:rsidRPr="00A72E35" w:rsidRDefault="00641933" w:rsidP="00641933">
      <w:pPr>
        <w:pStyle w:val="SingleTxtG"/>
      </w:pPr>
      <w:r>
        <w:rPr>
          <w:b/>
          <w:bCs/>
        </w:rPr>
        <w:t>Документация:</w:t>
      </w:r>
      <w:r>
        <w:tab/>
        <w:t>ECE/TRANS/WP.29/GRVA/2019/17</w:t>
      </w:r>
    </w:p>
    <w:p w:rsidR="00641933" w:rsidRPr="00A72E35" w:rsidRDefault="00641933" w:rsidP="00641933">
      <w:pPr>
        <w:pStyle w:val="H1G"/>
      </w:pPr>
      <w:r>
        <w:tab/>
        <w:t>8.</w:t>
      </w:r>
      <w:r>
        <w:tab/>
      </w:r>
      <w:r>
        <w:rPr>
          <w:bCs/>
        </w:rPr>
        <w:t>Правила ООН № 13, 13-H, 139 и 140</w:t>
      </w:r>
      <w:bookmarkStart w:id="4" w:name="_Hlk13237215"/>
      <w:bookmarkEnd w:id="4"/>
    </w:p>
    <w:p w:rsidR="00641933" w:rsidRPr="00A72E35" w:rsidRDefault="00641933" w:rsidP="00641933">
      <w:pPr>
        <w:pStyle w:val="H23G"/>
      </w:pPr>
      <w:r>
        <w:tab/>
        <w:t>a)</w:t>
      </w:r>
      <w:r>
        <w:tab/>
      </w:r>
      <w:r>
        <w:rPr>
          <w:bCs/>
        </w:rPr>
        <w:t>Электронный контроль устойчивости</w:t>
      </w:r>
      <w:bookmarkStart w:id="5" w:name="_Hlk13237225"/>
      <w:bookmarkEnd w:id="5"/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рассмотреть предложение по поправкам к Правилам № 140 ООН, представленное экспертами от МОПАП и КСАОД.</w:t>
      </w:r>
    </w:p>
    <w:p w:rsidR="00641933" w:rsidRPr="00A72E35" w:rsidRDefault="00641933" w:rsidP="00641933">
      <w:pPr>
        <w:pStyle w:val="SingleTxtG"/>
      </w:pPr>
      <w:r>
        <w:rPr>
          <w:b/>
          <w:bCs/>
        </w:rPr>
        <w:t>Документация:</w:t>
      </w:r>
      <w:r>
        <w:tab/>
        <w:t>ECE/TRANS/WP.29/GRVA/2019/22</w:t>
      </w:r>
    </w:p>
    <w:p w:rsidR="00641933" w:rsidRPr="00A72E35" w:rsidRDefault="00641933" w:rsidP="00641933">
      <w:pPr>
        <w:pStyle w:val="H23G"/>
      </w:pPr>
      <w:r>
        <w:lastRenderedPageBreak/>
        <w:tab/>
        <w:t>b)</w:t>
      </w:r>
      <w:r>
        <w:tab/>
      </w:r>
      <w:r>
        <w:rPr>
          <w:bCs/>
        </w:rPr>
        <w:t>Составы модульных транспортных средств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заслушать информацию об итогах совещания НРГ по составам модульных транспортных средств (СМТС), если таковая имеется.</w:t>
      </w:r>
    </w:p>
    <w:p w:rsidR="00641933" w:rsidRPr="00A72E35" w:rsidRDefault="00641933" w:rsidP="00641933">
      <w:pPr>
        <w:pStyle w:val="H23G"/>
      </w:pPr>
      <w:r>
        <w:tab/>
        <w:t>c)</w:t>
      </w:r>
      <w:r>
        <w:tab/>
      </w:r>
      <w:r>
        <w:rPr>
          <w:bCs/>
        </w:rPr>
        <w:t>Уточнения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 решила рассмотреть предложение по поправкам к Правилам № 13 ООН, представленное экспертом от Российской Федерации и направленное на уточнение метода испытания для оценки характеристик источников энергии и устройств хранения энергии, предусмотренного в приложении 7 к Правилам № 13 ООН.</w:t>
      </w:r>
    </w:p>
    <w:p w:rsidR="00641933" w:rsidRPr="00A72E35" w:rsidRDefault="00641933" w:rsidP="00641933">
      <w:pPr>
        <w:pStyle w:val="SingleTxtG"/>
      </w:pPr>
      <w:r>
        <w:rPr>
          <w:b/>
          <w:bCs/>
        </w:rPr>
        <w:t>Документация:</w:t>
      </w:r>
      <w:r>
        <w:tab/>
        <w:t>ECE/TRANS/WP.29/GRVA/2019/18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рассмотреть любое другое предложение по поправкам, если таковое будет получено.</w:t>
      </w:r>
    </w:p>
    <w:p w:rsidR="00641933" w:rsidRPr="00A72E35" w:rsidRDefault="00641933" w:rsidP="00641933">
      <w:pPr>
        <w:pStyle w:val="H1G"/>
      </w:pPr>
      <w:r>
        <w:tab/>
        <w:t>9.</w:t>
      </w:r>
      <w:r>
        <w:tab/>
      </w:r>
      <w:r>
        <w:rPr>
          <w:bCs/>
        </w:rPr>
        <w:t>Торможение мотоциклов</w:t>
      </w:r>
    </w:p>
    <w:p w:rsidR="00641933" w:rsidRPr="00A72E35" w:rsidRDefault="00641933" w:rsidP="00641933">
      <w:pPr>
        <w:pStyle w:val="H23G"/>
      </w:pPr>
      <w:r>
        <w:tab/>
        <w:t>a)</w:t>
      </w:r>
      <w:r>
        <w:tab/>
      </w:r>
      <w:r>
        <w:rPr>
          <w:bCs/>
        </w:rPr>
        <w:t>Глобальные технические правила № 3 ООН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 решила рассмотреть пересмотренное предложение по поправкам к Глобальным техническим правилам (ГТП) № 3 ООН (торможение мотоциклов), представленное экспертом от Италии.</w:t>
      </w:r>
    </w:p>
    <w:p w:rsidR="00641933" w:rsidRPr="00A72E35" w:rsidRDefault="00641933" w:rsidP="00641933">
      <w:pPr>
        <w:pStyle w:val="SingleTxtG"/>
      </w:pPr>
      <w:r>
        <w:rPr>
          <w:b/>
          <w:bCs/>
        </w:rPr>
        <w:t>Документация:</w:t>
      </w:r>
      <w:r>
        <w:tab/>
        <w:t>ECE/TRANS/WP.29/GRVA/2019/23</w:t>
      </w:r>
    </w:p>
    <w:p w:rsidR="00641933" w:rsidRPr="00A72E35" w:rsidRDefault="00641933" w:rsidP="00641933">
      <w:pPr>
        <w:pStyle w:val="H23G"/>
      </w:pPr>
      <w:r>
        <w:tab/>
        <w:t>b)</w:t>
      </w:r>
      <w:r>
        <w:tab/>
      </w:r>
      <w:r>
        <w:rPr>
          <w:bCs/>
        </w:rPr>
        <w:t>Правила № 78 ООН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рассмотреть любое другое предложение по поправкам, если таковое будет получено.</w:t>
      </w:r>
    </w:p>
    <w:p w:rsidR="00641933" w:rsidRPr="00A72E35" w:rsidRDefault="00641933" w:rsidP="00641933">
      <w:pPr>
        <w:pStyle w:val="H1G"/>
      </w:pPr>
      <w:r>
        <w:tab/>
        <w:t>10.</w:t>
      </w:r>
      <w:r>
        <w:tab/>
      </w:r>
      <w:r>
        <w:rPr>
          <w:bCs/>
        </w:rPr>
        <w:t>Правила № 90 ООН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 решила рассмотреть пересмотренное предложение по поправкам к Правилам № 90 ООН для согласования маркировки официального утверждения с положениями Соглашения 1958 года, представленное экспертом от Российской Федерации.</w:t>
      </w:r>
    </w:p>
    <w:p w:rsidR="00641933" w:rsidRPr="00A72E35" w:rsidRDefault="00641933" w:rsidP="00641933">
      <w:pPr>
        <w:pStyle w:val="SingleTxtG"/>
      </w:pPr>
      <w:r>
        <w:rPr>
          <w:b/>
          <w:bCs/>
        </w:rPr>
        <w:t>Документация</w:t>
      </w:r>
      <w:r w:rsidR="007F58E8">
        <w:rPr>
          <w:b/>
          <w:bCs/>
        </w:rPr>
        <w:t>:</w:t>
      </w:r>
      <w:r>
        <w:tab/>
        <w:t>ECE/TRANS/WP.29/GRVA/2019/25</w:t>
      </w:r>
    </w:p>
    <w:p w:rsidR="00641933" w:rsidRPr="00A72E35" w:rsidRDefault="00641933" w:rsidP="00641933">
      <w:pPr>
        <w:pStyle w:val="H1G"/>
      </w:pPr>
      <w:r>
        <w:tab/>
        <w:t>11.</w:t>
      </w:r>
      <w:r>
        <w:tab/>
      </w:r>
      <w:r>
        <w:rPr>
          <w:bCs/>
        </w:rPr>
        <w:t>Пересмотр 3 Соглашения 1958 года</w:t>
      </w:r>
    </w:p>
    <w:p w:rsidR="00641933" w:rsidRPr="00A72E35" w:rsidRDefault="00641933" w:rsidP="00641933">
      <w:pPr>
        <w:pStyle w:val="H23G"/>
      </w:pPr>
      <w:r>
        <w:tab/>
        <w:t>a)</w:t>
      </w:r>
      <w:r>
        <w:tab/>
      </w:r>
      <w:r>
        <w:rPr>
          <w:bCs/>
        </w:rPr>
        <w:t>Осуществление новых положений Пересмотра 3 Соглашения 1958 года</w:t>
      </w:r>
    </w:p>
    <w:p w:rsidR="00641933" w:rsidRPr="00A72E35" w:rsidRDefault="00641933" w:rsidP="00641933">
      <w:pPr>
        <w:pStyle w:val="SingleTxtG"/>
        <w:spacing w:line="234" w:lineRule="atLeast"/>
      </w:pPr>
      <w:r>
        <w:tab/>
      </w:r>
      <w:r>
        <w:tab/>
        <w:t>GRVA, возможно, пожелает обсудить шаги, связанные с осуществлением новых положений, содержащихся в Пересмотре 3 Соглашения 1958 года, и касающиеся следующих вопросов:</w:t>
      </w:r>
    </w:p>
    <w:p w:rsidR="00641933" w:rsidRPr="00A72E35" w:rsidRDefault="00641933" w:rsidP="00641933">
      <w:pPr>
        <w:pStyle w:val="Bullet1G"/>
        <w:spacing w:line="234" w:lineRule="atLeast"/>
      </w:pPr>
      <w:r>
        <w:t>«уникальный идентификатор»</w:t>
      </w:r>
    </w:p>
    <w:p w:rsidR="00641933" w:rsidRPr="00A72E35" w:rsidRDefault="00641933" w:rsidP="00641933">
      <w:pPr>
        <w:pStyle w:val="SingleTxtG"/>
        <w:spacing w:line="234" w:lineRule="atLeast"/>
      </w:pPr>
      <w:r>
        <w:tab/>
      </w:r>
      <w:r>
        <w:tab/>
        <w:t>GRVA, возможно, пожелает уточнить, нужно ли в некоторых правилах, относящихся к ее ведению, прямо запретить использование «уникального идентификатора», предусмотренного в Пересмотре 3 Соглашения 1958 года.</w:t>
      </w:r>
    </w:p>
    <w:p w:rsidR="00641933" w:rsidRPr="00A72E35" w:rsidRDefault="00641933" w:rsidP="00641933">
      <w:pPr>
        <w:pStyle w:val="SingleTxtG"/>
        <w:spacing w:line="234" w:lineRule="atLeast"/>
      </w:pPr>
      <w:r>
        <w:tab/>
      </w:r>
      <w:r>
        <w:tab/>
        <w:t>GRVA будет проинформирована секретариатом о запросе НРГ по базе данных об обмене официальными утверждениями типа (ДЕТА) в отношении уникального идентификатора (УИ).</w:t>
      </w:r>
    </w:p>
    <w:p w:rsidR="00641933" w:rsidRPr="00A72E35" w:rsidRDefault="00641933" w:rsidP="00641933">
      <w:pPr>
        <w:pStyle w:val="Bullet1G"/>
        <w:spacing w:line="234" w:lineRule="atLeast"/>
      </w:pPr>
      <w:r>
        <w:t>Переходные положения в правилах ООН</w:t>
      </w:r>
    </w:p>
    <w:p w:rsidR="00641933" w:rsidRPr="00A72E35" w:rsidRDefault="00641933" w:rsidP="00641933">
      <w:pPr>
        <w:pStyle w:val="SingleTxtG"/>
        <w:spacing w:line="234" w:lineRule="atLeast"/>
      </w:pPr>
      <w:r>
        <w:tab/>
      </w:r>
      <w:r>
        <w:tab/>
        <w:t xml:space="preserve">GRVA, возможно, пожелает определить план действий для согласования переходных положений в правилах ООН в соответствии с положениями Соглашения 1958 года, </w:t>
      </w:r>
      <w:proofErr w:type="gramStart"/>
      <w:r>
        <w:t>например</w:t>
      </w:r>
      <w:proofErr w:type="gramEnd"/>
      <w:r>
        <w:t xml:space="preserve"> возможность предоставления официального утверждения типа на основании предыдущих вариантов правил ООН.</w:t>
      </w:r>
    </w:p>
    <w:p w:rsidR="00641933" w:rsidRPr="00A72E35" w:rsidRDefault="00641933" w:rsidP="00641933">
      <w:pPr>
        <w:pStyle w:val="Bullet1G"/>
      </w:pPr>
      <w:r>
        <w:lastRenderedPageBreak/>
        <w:t>Статья 12.6 и приложение 7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принять к сведени</w:t>
      </w:r>
      <w:r>
        <w:t>ю цель статьи 12.6 и приложения </w:t>
      </w:r>
      <w:r>
        <w:t>7 в отношении официального утверждения инновационных решений.</w:t>
      </w:r>
    </w:p>
    <w:p w:rsidR="00641933" w:rsidRPr="00A72E35" w:rsidRDefault="00641933" w:rsidP="00641933">
      <w:pPr>
        <w:pStyle w:val="Bullet1G"/>
      </w:pPr>
      <w:r>
        <w:t>Процедуры соответствия производства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определить план действий для согласования положений о соответствии производства (СП) в правилах ООН и изменения ссылок на СП в правилах ООН.</w:t>
      </w:r>
    </w:p>
    <w:p w:rsidR="00641933" w:rsidRPr="00A72E35" w:rsidRDefault="00641933" w:rsidP="00641933">
      <w:pPr>
        <w:pStyle w:val="H23G"/>
      </w:pPr>
      <w:r>
        <w:tab/>
        <w:t>b)</w:t>
      </w:r>
      <w:r>
        <w:tab/>
      </w:r>
      <w:r>
        <w:rPr>
          <w:bCs/>
        </w:rPr>
        <w:t>Международное официальное утверждение типа комплектного транспортного средства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ознакомиться с докладом о ходе работы НРГ по международному официальному утверждению типа комплектного транспортного средства (МОУТКТС) и деятельности ее подгрупп, если таковой будет представлен.</w:t>
      </w:r>
    </w:p>
    <w:p w:rsidR="00641933" w:rsidRPr="00A72E35" w:rsidRDefault="00641933" w:rsidP="00641933">
      <w:pPr>
        <w:pStyle w:val="H1G"/>
      </w:pPr>
      <w:r>
        <w:tab/>
        <w:t>12.</w:t>
      </w:r>
      <w:r>
        <w:tab/>
      </w:r>
      <w:r>
        <w:rPr>
          <w:bCs/>
        </w:rPr>
        <w:t>Выборы должностных лиц</w:t>
      </w:r>
    </w:p>
    <w:p w:rsidR="00641933" w:rsidRPr="00A72E35" w:rsidRDefault="00641933" w:rsidP="00641933">
      <w:pPr>
        <w:pStyle w:val="SingleTxtG"/>
      </w:pPr>
      <w:r>
        <w:tab/>
      </w:r>
      <w:r>
        <w:tab/>
        <w:t>В соответствии с правилом 37 правил процедуры (TRANS/WP.29/690 с поправками) GRVA изберет Председателя и заместителя(ей) Председателя для сессий, запланированных на 2020 год.</w:t>
      </w:r>
    </w:p>
    <w:p w:rsidR="00641933" w:rsidRPr="00A72E35" w:rsidRDefault="00641933" w:rsidP="00641933">
      <w:pPr>
        <w:pStyle w:val="H1G"/>
      </w:pPr>
      <w:r>
        <w:tab/>
        <w:t>13.</w:t>
      </w:r>
      <w:r>
        <w:tab/>
      </w:r>
      <w:r>
        <w:rPr>
          <w:bCs/>
        </w:rPr>
        <w:t>Прочие вопросы</w:t>
      </w:r>
    </w:p>
    <w:p w:rsidR="00641933" w:rsidRPr="00CC7D8B" w:rsidRDefault="00641933" w:rsidP="00641933">
      <w:pPr>
        <w:pStyle w:val="SingleTxtG"/>
      </w:pPr>
      <w:r>
        <w:tab/>
      </w:r>
      <w:r>
        <w:tab/>
        <w:t>GRVA предлагается рассмотреть неофициальный документ WP.29-176-14, который был подготовлен НРГ по периодическим техническим осмотрам (ПТО) и содержит предложение о внесении поправки в резолюцию СР.6 об административных и технических положениях, необходимых для проведения технических осмотров в соответствии с техническими требованиями, указанными в предписаниях, прилагаемых к Соглашению 1997 года.</w:t>
      </w:r>
    </w:p>
    <w:p w:rsidR="00641933" w:rsidRPr="00CC7D8B" w:rsidRDefault="00641933" w:rsidP="00641933">
      <w:pPr>
        <w:pStyle w:val="SingleTxtG"/>
      </w:pPr>
      <w:r>
        <w:rPr>
          <w:b/>
          <w:bCs/>
        </w:rPr>
        <w:t>Документация</w:t>
      </w:r>
      <w:r w:rsidR="007F58E8">
        <w:rPr>
          <w:b/>
          <w:bCs/>
        </w:rPr>
        <w:t>:</w:t>
      </w:r>
      <w:r>
        <w:tab/>
        <w:t>неофициальный документ WP.29-176-14</w:t>
      </w:r>
    </w:p>
    <w:p w:rsidR="00641933" w:rsidRPr="00A72E35" w:rsidRDefault="00641933" w:rsidP="00641933">
      <w:pPr>
        <w:pStyle w:val="SingleTxtG"/>
      </w:pPr>
      <w:r>
        <w:tab/>
      </w:r>
      <w:r>
        <w:tab/>
        <w:t>На своей восемьдесят первой сессии в 2019 году Комитет по внутреннему транспорту (КВТ) принял стратегию КВТ до 2030 года, просил свои вспомогательные органы принять последующие меры для согласования работы с этой стратегией и поручил секретариату предпринять необходимые шаги для содействия ее осуществлению (ECE/TRANS/288, пункты 15 a), c) и g). Кроме того, Комитет выразил обеспокоенность по поводу ограниченного продвижения вперед на глобальном уровне в выполнении задач, предусмотренных целями устойчивого развития в сфере безопасности дорожного движения, и задач Десятилетия действий Организации Объединенных Наций по обеспечению безопасности дорожного движения (там же, пункт 64). Для оказания помощи странам, особенно из числа новых договаривающихся сторон, в деле дальнейшего осуществления правовых документов в области безопасности дорожного движения секретариат подготовил проект рекомендаций КВТ по укреплению национальных систем безопасности дорожного движения для получения замечаний от рабочих групп. В этой связи GRVA будет предложено внести свой вклад.</w:t>
      </w:r>
    </w:p>
    <w:p w:rsidR="00641933" w:rsidRPr="00A72E35" w:rsidRDefault="00641933" w:rsidP="00641933">
      <w:pPr>
        <w:pStyle w:val="SingleTxtG"/>
        <w:ind w:left="2835" w:hanging="1701"/>
        <w:jc w:val="left"/>
      </w:pPr>
      <w:r>
        <w:rPr>
          <w:b/>
          <w:bCs/>
        </w:rPr>
        <w:t>Документация</w:t>
      </w:r>
      <w:r w:rsidR="007F58E8">
        <w:rPr>
          <w:b/>
          <w:bCs/>
        </w:rPr>
        <w:t>:</w:t>
      </w:r>
      <w:r w:rsidR="007F58E8">
        <w:tab/>
        <w:t>ECE/TRANS/288, Add.1 и Add.2</w:t>
      </w:r>
      <w:r w:rsidR="007F58E8">
        <w:br/>
      </w:r>
      <w:bookmarkStart w:id="6" w:name="_GoBack"/>
      <w:bookmarkEnd w:id="6"/>
      <w:r>
        <w:t>неофициальный документ № 5 (для ограниченного распространения), седьмая сессия Бюро КВТ в 2019 году</w:t>
      </w:r>
    </w:p>
    <w:p w:rsidR="00641933" w:rsidRPr="00A72E35" w:rsidRDefault="00641933" w:rsidP="00641933">
      <w:pPr>
        <w:pStyle w:val="SingleTxtG"/>
      </w:pPr>
      <w:r>
        <w:tab/>
      </w:r>
      <w:r>
        <w:tab/>
        <w:t>GRVA, возможно, пожелает рассмотреть любые другие предложения, если таковые будут представлены.</w:t>
      </w:r>
    </w:p>
    <w:p w:rsidR="00641933" w:rsidRPr="00A72E35" w:rsidRDefault="00641933" w:rsidP="00641933">
      <w:pPr>
        <w:jc w:val="center"/>
        <w:rPr>
          <w:b/>
          <w:bCs/>
          <w:u w:val="single"/>
        </w:rPr>
      </w:pPr>
      <w:r w:rsidRPr="00A72E35">
        <w:rPr>
          <w:u w:val="single"/>
        </w:rPr>
        <w:tab/>
      </w:r>
      <w:r w:rsidRPr="00A72E35">
        <w:rPr>
          <w:u w:val="single"/>
        </w:rPr>
        <w:tab/>
      </w:r>
      <w:r w:rsidRPr="00A72E35">
        <w:rPr>
          <w:u w:val="single"/>
        </w:rPr>
        <w:tab/>
      </w:r>
    </w:p>
    <w:p w:rsidR="00E12C5F" w:rsidRPr="008D53B6" w:rsidRDefault="00E12C5F" w:rsidP="00D9145B"/>
    <w:sectPr w:rsidR="00E12C5F" w:rsidRPr="008D53B6" w:rsidSect="00D2358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29" w:rsidRPr="00A312BC" w:rsidRDefault="00EA6929" w:rsidP="00A312BC"/>
  </w:endnote>
  <w:endnote w:type="continuationSeparator" w:id="0">
    <w:p w:rsidR="00EA6929" w:rsidRPr="00A312BC" w:rsidRDefault="00EA692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8C" w:rsidRPr="00D2358C" w:rsidRDefault="00D2358C">
    <w:pPr>
      <w:pStyle w:val="a8"/>
    </w:pPr>
    <w:r w:rsidRPr="00D2358C">
      <w:rPr>
        <w:b/>
        <w:sz w:val="18"/>
      </w:rPr>
      <w:fldChar w:fldCharType="begin"/>
    </w:r>
    <w:r w:rsidRPr="00D2358C">
      <w:rPr>
        <w:b/>
        <w:sz w:val="18"/>
      </w:rPr>
      <w:instrText xml:space="preserve"> PAGE  \* MERGEFORMAT </w:instrText>
    </w:r>
    <w:r w:rsidRPr="00D2358C">
      <w:rPr>
        <w:b/>
        <w:sz w:val="18"/>
      </w:rPr>
      <w:fldChar w:fldCharType="separate"/>
    </w:r>
    <w:r w:rsidR="00EA4ADE">
      <w:rPr>
        <w:b/>
        <w:noProof/>
        <w:sz w:val="18"/>
      </w:rPr>
      <w:t>4</w:t>
    </w:r>
    <w:r w:rsidRPr="00D2358C">
      <w:rPr>
        <w:b/>
        <w:sz w:val="18"/>
      </w:rPr>
      <w:fldChar w:fldCharType="end"/>
    </w:r>
    <w:r>
      <w:rPr>
        <w:b/>
        <w:sz w:val="18"/>
      </w:rPr>
      <w:tab/>
    </w:r>
    <w:r>
      <w:t>GE.19-12106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8C" w:rsidRPr="00D2358C" w:rsidRDefault="00D2358C" w:rsidP="00D2358C">
    <w:pPr>
      <w:pStyle w:val="a8"/>
      <w:tabs>
        <w:tab w:val="clear" w:pos="9639"/>
        <w:tab w:val="right" w:pos="9638"/>
      </w:tabs>
      <w:rPr>
        <w:b/>
        <w:sz w:val="18"/>
      </w:rPr>
    </w:pPr>
    <w:r>
      <w:t>GE.19-12106</w:t>
    </w:r>
    <w:r>
      <w:tab/>
    </w:r>
    <w:r w:rsidRPr="00D2358C">
      <w:rPr>
        <w:b/>
        <w:sz w:val="18"/>
      </w:rPr>
      <w:fldChar w:fldCharType="begin"/>
    </w:r>
    <w:r w:rsidRPr="00D2358C">
      <w:rPr>
        <w:b/>
        <w:sz w:val="18"/>
      </w:rPr>
      <w:instrText xml:space="preserve"> PAGE  \* MERGEFORMAT </w:instrText>
    </w:r>
    <w:r w:rsidRPr="00D2358C">
      <w:rPr>
        <w:b/>
        <w:sz w:val="18"/>
      </w:rPr>
      <w:fldChar w:fldCharType="separate"/>
    </w:r>
    <w:r w:rsidR="00EA4ADE">
      <w:rPr>
        <w:b/>
        <w:noProof/>
        <w:sz w:val="18"/>
      </w:rPr>
      <w:t>5</w:t>
    </w:r>
    <w:r w:rsidRPr="00D2358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D2358C" w:rsidRDefault="00D2358C" w:rsidP="00D2358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12106  (</w:t>
    </w:r>
    <w:proofErr w:type="gramEnd"/>
    <w:r>
      <w:t>R)</w:t>
    </w:r>
    <w:r w:rsidR="00641933">
      <w:t xml:space="preserve">  170719  170719</w:t>
    </w:r>
    <w:r>
      <w:br/>
    </w:r>
    <w:r w:rsidRPr="00D2358C">
      <w:rPr>
        <w:rFonts w:ascii="C39T30Lfz" w:hAnsi="C39T30Lfz"/>
        <w:kern w:val="14"/>
        <w:sz w:val="56"/>
      </w:rPr>
      <w:t></w:t>
    </w:r>
    <w:r w:rsidRPr="00D2358C">
      <w:rPr>
        <w:rFonts w:ascii="C39T30Lfz" w:hAnsi="C39T30Lfz"/>
        <w:kern w:val="14"/>
        <w:sz w:val="56"/>
      </w:rPr>
      <w:t></w:t>
    </w:r>
    <w:r w:rsidRPr="00D2358C">
      <w:rPr>
        <w:rFonts w:ascii="C39T30Lfz" w:hAnsi="C39T30Lfz"/>
        <w:kern w:val="14"/>
        <w:sz w:val="56"/>
      </w:rPr>
      <w:t></w:t>
    </w:r>
    <w:r w:rsidRPr="00D2358C">
      <w:rPr>
        <w:rFonts w:ascii="C39T30Lfz" w:hAnsi="C39T30Lfz"/>
        <w:kern w:val="14"/>
        <w:sz w:val="56"/>
      </w:rPr>
      <w:t></w:t>
    </w:r>
    <w:r w:rsidRPr="00D2358C">
      <w:rPr>
        <w:rFonts w:ascii="C39T30Lfz" w:hAnsi="C39T30Lfz"/>
        <w:kern w:val="14"/>
        <w:sz w:val="56"/>
      </w:rPr>
      <w:t></w:t>
    </w:r>
    <w:r w:rsidRPr="00D2358C">
      <w:rPr>
        <w:rFonts w:ascii="C39T30Lfz" w:hAnsi="C39T30Lfz"/>
        <w:kern w:val="14"/>
        <w:sz w:val="56"/>
      </w:rPr>
      <w:t></w:t>
    </w:r>
    <w:r w:rsidRPr="00D2358C">
      <w:rPr>
        <w:rFonts w:ascii="C39T30Lfz" w:hAnsi="C39T30Lfz"/>
        <w:kern w:val="14"/>
        <w:sz w:val="56"/>
      </w:rPr>
      <w:t></w:t>
    </w:r>
    <w:r w:rsidRPr="00D2358C">
      <w:rPr>
        <w:rFonts w:ascii="C39T30Lfz" w:hAnsi="C39T30Lfz"/>
        <w:kern w:val="14"/>
        <w:sz w:val="56"/>
      </w:rPr>
      <w:t></w:t>
    </w:r>
    <w:r w:rsidRPr="00D2358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VA/2019/15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VA/2019/15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29" w:rsidRPr="001075E9" w:rsidRDefault="00EA692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6929" w:rsidRDefault="00EA692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8C" w:rsidRPr="00D2358C" w:rsidRDefault="00D2358C">
    <w:pPr>
      <w:pStyle w:val="a5"/>
    </w:pPr>
    <w:fldSimple w:instr=" TITLE  \* MERGEFORMAT ">
      <w:r w:rsidR="00EA4ADE">
        <w:t>ECE/TRANS/WP.29/GRVA/2019/15/Add.1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8C" w:rsidRPr="00D2358C" w:rsidRDefault="00D2358C" w:rsidP="00D2358C">
    <w:pPr>
      <w:pStyle w:val="a5"/>
      <w:jc w:val="right"/>
    </w:pPr>
    <w:fldSimple w:instr=" TITLE  \* MERGEFORMAT ">
      <w:r w:rsidR="00EA4ADE">
        <w:t>ECE/TRANS/WP.29/GRVA/2019/15/Add.1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081C"/>
    <w:multiLevelType w:val="hybridMultilevel"/>
    <w:tmpl w:val="F2C63DCE"/>
    <w:lvl w:ilvl="0" w:tplc="023E80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16F79"/>
    <w:multiLevelType w:val="hybridMultilevel"/>
    <w:tmpl w:val="8C5ADFF2"/>
    <w:lvl w:ilvl="0" w:tplc="8E76DE60">
      <w:start w:val="1"/>
      <w:numFmt w:val="lowerLetter"/>
      <w:lvlText w:val="%1)"/>
      <w:lvlJc w:val="left"/>
      <w:pPr>
        <w:ind w:left="1140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2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2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3130"/>
    <w:rsid w:val="005961C8"/>
    <w:rsid w:val="005966F1"/>
    <w:rsid w:val="005D7914"/>
    <w:rsid w:val="005E2B41"/>
    <w:rsid w:val="005F0B42"/>
    <w:rsid w:val="00617A43"/>
    <w:rsid w:val="006345DB"/>
    <w:rsid w:val="00640F49"/>
    <w:rsid w:val="00641933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F58E8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2358C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4ADE"/>
    <w:rsid w:val="00EA6929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BB3338"/>
  <w15:docId w15:val="{4A0B0B67-8150-42FB-8D28-BE520AB1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641933"/>
    <w:rPr>
      <w:lang w:val="ru-RU" w:eastAsia="en-US"/>
    </w:rPr>
  </w:style>
  <w:style w:type="character" w:customStyle="1" w:styleId="HChGChar">
    <w:name w:val="_ H _Ch_G Char"/>
    <w:link w:val="HChG"/>
    <w:rsid w:val="0064193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1305</Words>
  <Characters>9585</Characters>
  <Application>Microsoft Office Word</Application>
  <DocSecurity>0</DocSecurity>
  <Lines>212</Lines>
  <Paragraphs>106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ECE/TRANS/WP.29/GRVA/2019/15/Add.1</vt:lpstr>
      <vt:lpstr>A/</vt:lpstr>
      <vt:lpstr>A/</vt:lpstr>
    </vt:vector>
  </TitlesOfParts>
  <Company>DCM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ECE/TRANS/WP.29/GRVA/2019/15/Add.1</dc:title>
  <dc:subject/>
  <dc:creator>Uliana ANTIPOVA</dc:creator>
  <cp:keywords/>
  <cp:lastModifiedBy>Uliana Antipova</cp:lastModifiedBy>
  <cp:revision>3</cp:revision>
  <cp:lastPrinted>2019-07-17T11:17:00Z</cp:lastPrinted>
  <dcterms:created xsi:type="dcterms:W3CDTF">2019-07-17T11:17:00Z</dcterms:created>
  <dcterms:modified xsi:type="dcterms:W3CDTF">2019-07-17T11:19:00Z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