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C9" w:rsidRPr="004B4643" w:rsidRDefault="006D5076" w:rsidP="00207C33">
      <w:pPr>
        <w:pStyle w:val="HChG"/>
        <w:spacing w:before="0" w:line="240" w:lineRule="auto"/>
        <w:ind w:firstLine="0"/>
        <w:jc w:val="center"/>
      </w:pPr>
      <w:bookmarkStart w:id="0" w:name="_GoBack"/>
      <w:bookmarkEnd w:id="0"/>
      <w:r>
        <w:t>Proposal for amendment</w:t>
      </w:r>
      <w:r w:rsidR="00C979C9">
        <w:t xml:space="preserve"> to </w:t>
      </w:r>
      <w:r w:rsidR="00C979C9" w:rsidRPr="004B4643">
        <w:t>ECE/TRANS/WP.29/GRSG/2019/32</w:t>
      </w:r>
    </w:p>
    <w:p w:rsidR="004B4643" w:rsidRPr="004B4643" w:rsidRDefault="004B4643" w:rsidP="004B4643">
      <w:pPr>
        <w:keepNext/>
        <w:keepLines/>
        <w:spacing w:before="360" w:after="240" w:line="240" w:lineRule="auto"/>
        <w:ind w:left="426" w:right="-46"/>
        <w:jc w:val="both"/>
        <w:rPr>
          <w:rFonts w:ascii="Times New Roman" w:hAnsi="Times New Roman"/>
          <w:lang w:val="en-US"/>
        </w:rPr>
      </w:pPr>
      <w:r w:rsidRPr="004B4643">
        <w:rPr>
          <w:rFonts w:ascii="Times New Roman" w:hAnsi="Times New Roman"/>
          <w:lang w:val="en-US"/>
        </w:rPr>
        <w:t xml:space="preserve">The text reproduced below was prepared by the expert from the European Association of Automotive Suppliers (CLEPA) to add a missing footnote and to clarify the application of Annex 4 for heat pumps. The modifications to the existing text of the Regulation are marked in </w:t>
      </w:r>
      <w:r w:rsidRPr="004B4643">
        <w:rPr>
          <w:rFonts w:ascii="Times New Roman" w:hAnsi="Times New Roman"/>
          <w:b/>
          <w:lang w:val="en-US"/>
        </w:rPr>
        <w:t>bold</w:t>
      </w:r>
      <w:r w:rsidRPr="004B4643">
        <w:rPr>
          <w:rFonts w:ascii="Times New Roman" w:hAnsi="Times New Roman"/>
          <w:lang w:val="en-US"/>
        </w:rPr>
        <w:t xml:space="preserve"> for new and strikethrough for deleted characters.</w:t>
      </w:r>
    </w:p>
    <w:p w:rsidR="00C979C9" w:rsidRPr="00066C8A" w:rsidRDefault="00C979C9" w:rsidP="00C979C9">
      <w:pPr>
        <w:pStyle w:val="HChG"/>
        <w:rPr>
          <w:rFonts w:eastAsia="Cambria"/>
        </w:rPr>
      </w:pPr>
      <w:r>
        <w:rPr>
          <w:rFonts w:eastAsia="Cambria"/>
        </w:rPr>
        <w:tab/>
        <w:t>I.</w:t>
      </w:r>
      <w:r>
        <w:rPr>
          <w:rFonts w:eastAsia="Cambria"/>
        </w:rPr>
        <w:tab/>
      </w:r>
      <w:r w:rsidRPr="00066C8A">
        <w:rPr>
          <w:rFonts w:eastAsia="Cambria"/>
        </w:rPr>
        <w:t>Proposal</w:t>
      </w:r>
    </w:p>
    <w:p w:rsidR="00C979C9" w:rsidRDefault="00C979C9" w:rsidP="00C979C9">
      <w:pPr>
        <w:pStyle w:val="H4G"/>
        <w:rPr>
          <w:rFonts w:eastAsia="Cambria"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 w:rsidRPr="00347285">
        <w:rPr>
          <w:rFonts w:eastAsia="Cambria"/>
        </w:rPr>
        <w:t xml:space="preserve">Annex </w:t>
      </w:r>
      <w:r>
        <w:rPr>
          <w:rFonts w:eastAsia="Cambria"/>
        </w:rPr>
        <w:t>8, paragraph 6.2. replace</w:t>
      </w:r>
      <w:r w:rsidRPr="00347285">
        <w:rPr>
          <w:rFonts w:eastAsia="Cambria"/>
        </w:rPr>
        <w:t xml:space="preserve"> </w:t>
      </w:r>
      <w:r>
        <w:rPr>
          <w:rFonts w:eastAsia="Cambria"/>
        </w:rPr>
        <w:t>figure 4 by</w:t>
      </w:r>
      <w:r w:rsidR="004B4643">
        <w:rPr>
          <w:rFonts w:eastAsia="Cambria"/>
        </w:rPr>
        <w:t xml:space="preserve"> the following</w:t>
      </w:r>
      <w:r>
        <w:rPr>
          <w:rFonts w:eastAsia="Cambria"/>
        </w:rPr>
        <w:t xml:space="preserve"> </w:t>
      </w:r>
      <w:r w:rsidRPr="00347285">
        <w:rPr>
          <w:rFonts w:eastAsia="Cambria"/>
        </w:rPr>
        <w:t>:</w:t>
      </w:r>
    </w:p>
    <w:p w:rsidR="006D5076" w:rsidRDefault="006D5076" w:rsidP="006D5076">
      <w:pPr>
        <w:rPr>
          <w:lang w:val="en-GB" w:eastAsia="fr-FR"/>
        </w:rPr>
      </w:pPr>
    </w:p>
    <w:p w:rsidR="004B4643" w:rsidRPr="004B4643" w:rsidRDefault="004B4643" w:rsidP="006D5076">
      <w:pPr>
        <w:rPr>
          <w:rFonts w:ascii="Times New Roman" w:eastAsia="Cambria" w:hAnsi="Times New Roman"/>
          <w:sz w:val="20"/>
          <w:szCs w:val="20"/>
          <w:lang w:val="en-GB" w:eastAsia="fr-FR"/>
        </w:rPr>
      </w:pPr>
      <w:r w:rsidRPr="004B4643">
        <w:rPr>
          <w:rFonts w:ascii="Times New Roman" w:eastAsia="Cambria" w:hAnsi="Times New Roman"/>
          <w:sz w:val="20"/>
          <w:szCs w:val="20"/>
          <w:lang w:val="en-GB" w:eastAsia="fr-FR"/>
        </w:rPr>
        <w:t>“</w:t>
      </w:r>
      <w:r w:rsidR="00E337B9">
        <w:rPr>
          <w:rFonts w:ascii="Times New Roman" w:eastAsia="Cambria" w:hAnsi="Times New Roman"/>
          <w:sz w:val="20"/>
          <w:szCs w:val="20"/>
          <w:lang w:val="en-GB" w:eastAsia="fr-FR"/>
        </w:rPr>
        <w:t xml:space="preserve"> </w:t>
      </w:r>
      <w:r w:rsidRPr="004B4643">
        <w:rPr>
          <w:rFonts w:ascii="Times New Roman" w:eastAsia="Cambria" w:hAnsi="Times New Roman"/>
          <w:sz w:val="20"/>
          <w:szCs w:val="20"/>
          <w:lang w:val="en-GB" w:eastAsia="fr-FR"/>
        </w:rPr>
        <w:t>Figure 4</w:t>
      </w:r>
    </w:p>
    <w:p w:rsidR="00C979C9" w:rsidRDefault="00E337B9" w:rsidP="00C979C9">
      <w:pPr>
        <w:pStyle w:val="SingleTxtG"/>
        <w:ind w:left="2268" w:hanging="1134"/>
        <w:rPr>
          <w:noProof/>
          <w:lang w:val="de-DE" w:eastAsia="de-DE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58pt">
            <v:imagedata r:id="rId7" o:title=""/>
          </v:shape>
        </w:pict>
      </w:r>
      <w:r>
        <w:rPr>
          <w:noProof/>
          <w:lang w:val="de-DE" w:eastAsia="de-DE"/>
        </w:rPr>
        <w:t xml:space="preserve"> “</w:t>
      </w:r>
    </w:p>
    <w:p w:rsidR="006D5076" w:rsidRDefault="006D5076" w:rsidP="00C979C9">
      <w:pPr>
        <w:pStyle w:val="SingleTxtG"/>
        <w:ind w:left="2268" w:hanging="1134"/>
        <w:rPr>
          <w:noProof/>
          <w:lang w:val="de-DE" w:eastAsia="de-DE"/>
        </w:rPr>
      </w:pPr>
    </w:p>
    <w:p w:rsidR="006D5076" w:rsidRPr="00066C8A" w:rsidRDefault="006D5076" w:rsidP="006D5076">
      <w:pPr>
        <w:pStyle w:val="HChG"/>
        <w:rPr>
          <w:rFonts w:eastAsia="Cambria"/>
        </w:rPr>
      </w:pPr>
      <w:r w:rsidRPr="00066C8A">
        <w:rPr>
          <w:rFonts w:eastAsia="Cambria"/>
        </w:rPr>
        <w:t>II.</w:t>
      </w:r>
      <w:r w:rsidRPr="00066C8A">
        <w:rPr>
          <w:rFonts w:eastAsia="Cambria"/>
        </w:rPr>
        <w:tab/>
      </w:r>
      <w:r w:rsidRPr="00066C8A">
        <w:rPr>
          <w:rFonts w:eastAsia="Cambria"/>
        </w:rPr>
        <w:tab/>
        <w:t>Justification</w:t>
      </w:r>
    </w:p>
    <w:p w:rsidR="008554A1" w:rsidRDefault="006D5076" w:rsidP="008554A1">
      <w:pPr>
        <w:pStyle w:val="SingleTxtG"/>
        <w:numPr>
          <w:ilvl w:val="0"/>
          <w:numId w:val="1"/>
        </w:numPr>
        <w:rPr>
          <w:rFonts w:eastAsia="Cambria"/>
        </w:rPr>
      </w:pPr>
      <w:r>
        <w:rPr>
          <w:rFonts w:eastAsia="Cambria"/>
        </w:rPr>
        <w:t xml:space="preserve">From technical point of view it is necessary to support the soft area of the device </w:t>
      </w:r>
      <w:r w:rsidR="004B4643">
        <w:rPr>
          <w:rFonts w:eastAsia="Cambria"/>
        </w:rPr>
        <w:t>with</w:t>
      </w:r>
      <w:r>
        <w:rPr>
          <w:rFonts w:eastAsia="Cambria"/>
        </w:rPr>
        <w:t xml:space="preserve"> a frame. </w:t>
      </w:r>
    </w:p>
    <w:p w:rsidR="00953A97" w:rsidRPr="00C979C9" w:rsidRDefault="007835F7" w:rsidP="00953A97">
      <w:pPr>
        <w:pStyle w:val="SingleTxtG"/>
        <w:numPr>
          <w:ilvl w:val="0"/>
          <w:numId w:val="1"/>
        </w:numPr>
        <w:rPr>
          <w:lang w:val="en-US"/>
        </w:rPr>
      </w:pPr>
      <w:r>
        <w:rPr>
          <w:rFonts w:eastAsia="Cambria"/>
        </w:rPr>
        <w:t xml:space="preserve">Paragraph </w:t>
      </w:r>
      <w:r w:rsidR="00953A97">
        <w:rPr>
          <w:rFonts w:eastAsia="Cambria"/>
        </w:rPr>
        <w:t>6.2. already exempts c</w:t>
      </w:r>
      <w:r w:rsidR="00953A97">
        <w:t>omponents (fastenings, hinges, actuators, springs, cables, lamps etc.) from being made of soft material, but current figure</w:t>
      </w:r>
      <w:r w:rsidR="004B4643">
        <w:t> </w:t>
      </w:r>
      <w:r w:rsidR="00953A97">
        <w:t>4 may be misleading, that the entire part sh</w:t>
      </w:r>
      <w:r>
        <w:t>all</w:t>
      </w:r>
      <w:r w:rsidR="00953A97">
        <w:t xml:space="preserve"> be made from soft material.</w:t>
      </w:r>
    </w:p>
    <w:p w:rsidR="00953A97" w:rsidRPr="00207C33" w:rsidRDefault="006D5076" w:rsidP="00207C33">
      <w:pPr>
        <w:pStyle w:val="SingleTxtG"/>
        <w:numPr>
          <w:ilvl w:val="0"/>
          <w:numId w:val="1"/>
        </w:numPr>
        <w:rPr>
          <w:lang w:val="en-US"/>
        </w:rPr>
      </w:pPr>
      <w:r>
        <w:rPr>
          <w:rFonts w:eastAsia="Cambria"/>
        </w:rPr>
        <w:t xml:space="preserve">Following the intention of paragraph 6.1. </w:t>
      </w:r>
      <w:r w:rsidR="00725DAF">
        <w:rPr>
          <w:rFonts w:eastAsia="Cambria"/>
        </w:rPr>
        <w:t xml:space="preserve">which exempts from the force test an area of </w:t>
      </w:r>
      <w:r w:rsidR="00725DAF" w:rsidRPr="00725DAF">
        <w:rPr>
          <w:rFonts w:eastAsia="Cambria"/>
        </w:rPr>
        <w:t>maximum remaining length of 200 mm in longitudinal direction of the vehicle</w:t>
      </w:r>
      <w:r w:rsidR="00725DAF">
        <w:rPr>
          <w:rFonts w:eastAsia="Cambria"/>
        </w:rPr>
        <w:t xml:space="preserve">, </w:t>
      </w:r>
      <w:r w:rsidR="007835F7">
        <w:rPr>
          <w:rFonts w:eastAsia="Cambria"/>
        </w:rPr>
        <w:t xml:space="preserve">this </w:t>
      </w:r>
      <w:r w:rsidR="00725DAF">
        <w:rPr>
          <w:rFonts w:eastAsia="Cambria"/>
        </w:rPr>
        <w:t xml:space="preserve">“exempted” </w:t>
      </w:r>
      <w:r w:rsidR="007835F7">
        <w:rPr>
          <w:rFonts w:eastAsia="Cambria"/>
        </w:rPr>
        <w:t>area sh</w:t>
      </w:r>
      <w:r w:rsidR="00725DAF">
        <w:rPr>
          <w:rFonts w:eastAsia="Cambria"/>
        </w:rPr>
        <w:t>ould</w:t>
      </w:r>
      <w:r w:rsidR="007835F7">
        <w:rPr>
          <w:rFonts w:eastAsia="Cambria"/>
        </w:rPr>
        <w:t xml:space="preserve"> be shown in figure 4 </w:t>
      </w:r>
      <w:r>
        <w:rPr>
          <w:rFonts w:eastAsia="Cambria"/>
        </w:rPr>
        <w:t>.</w:t>
      </w:r>
    </w:p>
    <w:sectPr w:rsidR="00953A97" w:rsidRPr="00207C33" w:rsidSect="00207C33">
      <w:headerReference w:type="default" r:id="rId8"/>
      <w:pgSz w:w="11906" w:h="16838"/>
      <w:pgMar w:top="56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32" w:rsidRDefault="00373432" w:rsidP="004B4643">
      <w:pPr>
        <w:spacing w:after="0" w:line="240" w:lineRule="auto"/>
      </w:pPr>
      <w:r>
        <w:separator/>
      </w:r>
    </w:p>
  </w:endnote>
  <w:endnote w:type="continuationSeparator" w:id="0">
    <w:p w:rsidR="00373432" w:rsidRDefault="00373432" w:rsidP="004B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32" w:rsidRDefault="00373432" w:rsidP="004B4643">
      <w:pPr>
        <w:spacing w:after="0" w:line="240" w:lineRule="auto"/>
      </w:pPr>
      <w:r>
        <w:separator/>
      </w:r>
    </w:p>
  </w:footnote>
  <w:footnote w:type="continuationSeparator" w:id="0">
    <w:p w:rsidR="00373432" w:rsidRDefault="00373432" w:rsidP="004B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4395"/>
      <w:gridCol w:w="5103"/>
    </w:tblGrid>
    <w:tr w:rsidR="004B4643" w:rsidTr="004B4643">
      <w:tc>
        <w:tcPr>
          <w:tcW w:w="4395" w:type="dxa"/>
          <w:vAlign w:val="center"/>
          <w:hideMark/>
        </w:tcPr>
        <w:p w:rsidR="004B4643" w:rsidRDefault="004B4643" w:rsidP="004B4643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n-GB" w:eastAsia="ar-SA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en-GB" w:eastAsia="ar-SA"/>
            </w:rPr>
            <w:t>Transmitted by the expert from CLEPA</w:t>
          </w:r>
        </w:p>
      </w:tc>
      <w:tc>
        <w:tcPr>
          <w:tcW w:w="5103" w:type="dxa"/>
          <w:hideMark/>
        </w:tcPr>
        <w:p w:rsidR="004B4643" w:rsidRDefault="004B4643" w:rsidP="004B4643">
          <w:pPr>
            <w:suppressAutoHyphens/>
            <w:spacing w:after="0" w:line="240" w:lineRule="auto"/>
            <w:ind w:left="884"/>
            <w:rPr>
              <w:rFonts w:ascii="Times New Roman" w:eastAsia="Times New Roman" w:hAnsi="Times New Roman"/>
              <w:b/>
              <w:bCs/>
              <w:sz w:val="32"/>
              <w:szCs w:val="24"/>
              <w:lang w:val="en-GB" w:eastAsia="ar-SA"/>
            </w:rPr>
          </w:pPr>
          <w:r>
            <w:rPr>
              <w:rFonts w:ascii="Times New Roman" w:eastAsia="Times New Roman" w:hAnsi="Times New Roman"/>
              <w:sz w:val="24"/>
              <w:szCs w:val="24"/>
              <w:u w:val="single"/>
              <w:lang w:val="en-GB" w:eastAsia="ar-SA"/>
            </w:rPr>
            <w:t>Informal document</w:t>
          </w:r>
          <w:r>
            <w:rPr>
              <w:rFonts w:ascii="Times New Roman" w:eastAsia="Times New Roman" w:hAnsi="Times New Roman"/>
              <w:sz w:val="24"/>
              <w:szCs w:val="24"/>
              <w:lang w:val="en-GB" w:eastAsia="ar-SA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GB" w:eastAsia="ar-SA"/>
            </w:rPr>
            <w:t>GRSG-117-</w:t>
          </w:r>
          <w:r w:rsidR="00207C33">
            <w:rPr>
              <w:rFonts w:ascii="Times New Roman" w:eastAsia="Times New Roman" w:hAnsi="Times New Roman"/>
              <w:b/>
              <w:bCs/>
              <w:sz w:val="24"/>
              <w:szCs w:val="24"/>
              <w:lang w:val="en-GB" w:eastAsia="ar-SA"/>
            </w:rPr>
            <w:t>46</w:t>
          </w:r>
        </w:p>
        <w:p w:rsidR="004B4643" w:rsidRDefault="004B4643" w:rsidP="004B4643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/>
              <w:sz w:val="24"/>
              <w:szCs w:val="24"/>
              <w:lang w:val="en-GB" w:eastAsia="ar-SA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en-GB" w:eastAsia="ar-SA"/>
            </w:rPr>
            <w:t>117</w:t>
          </w:r>
          <w:r>
            <w:rPr>
              <w:rFonts w:ascii="Times New Roman" w:eastAsia="Times New Roman" w:hAnsi="Times New Roman"/>
              <w:sz w:val="24"/>
              <w:szCs w:val="24"/>
              <w:vertAlign w:val="superscript"/>
              <w:lang w:val="en-GB" w:eastAsia="ar-SA"/>
            </w:rPr>
            <w:t>th</w:t>
          </w:r>
          <w:r>
            <w:rPr>
              <w:rFonts w:ascii="Times New Roman" w:eastAsia="Times New Roman" w:hAnsi="Times New Roman"/>
              <w:sz w:val="24"/>
              <w:szCs w:val="24"/>
              <w:lang w:val="en-GB" w:eastAsia="ar-SA"/>
            </w:rPr>
            <w:t xml:space="preserve"> GRSG, 08-11 October 2019</w:t>
          </w:r>
        </w:p>
        <w:p w:rsidR="004B4643" w:rsidRDefault="004B4643" w:rsidP="004B4643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left="884"/>
            <w:rPr>
              <w:rFonts w:ascii="Times New Roman" w:eastAsia="Times New Roman" w:hAnsi="Times New Roman"/>
              <w:sz w:val="24"/>
              <w:szCs w:val="24"/>
              <w:lang w:val="en-GB" w:eastAsia="ar-SA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en-GB" w:eastAsia="ar-SA"/>
            </w:rPr>
            <w:t>Agenda item 9</w:t>
          </w:r>
        </w:p>
      </w:tc>
    </w:tr>
  </w:tbl>
  <w:p w:rsidR="004B4643" w:rsidRDefault="004B4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A6AF5"/>
    <w:multiLevelType w:val="hybridMultilevel"/>
    <w:tmpl w:val="824620AE"/>
    <w:lvl w:ilvl="0" w:tplc="DFF077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9C9"/>
    <w:rsid w:val="00207C33"/>
    <w:rsid w:val="00211FF0"/>
    <w:rsid w:val="00373432"/>
    <w:rsid w:val="004B4643"/>
    <w:rsid w:val="00554D4E"/>
    <w:rsid w:val="005B11B2"/>
    <w:rsid w:val="006D5076"/>
    <w:rsid w:val="00725DAF"/>
    <w:rsid w:val="007835F7"/>
    <w:rsid w:val="008554A1"/>
    <w:rsid w:val="00953A97"/>
    <w:rsid w:val="00C05D08"/>
    <w:rsid w:val="00C979C9"/>
    <w:rsid w:val="00E337B9"/>
    <w:rsid w:val="00F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7AED39-7E1A-45D9-9220-A6325413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979C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HChG">
    <w:name w:val="_ H _Ch_G"/>
    <w:basedOn w:val="Normal"/>
    <w:next w:val="Normal"/>
    <w:qFormat/>
    <w:rsid w:val="00C979C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 w:eastAsia="fr-FR"/>
    </w:rPr>
  </w:style>
  <w:style w:type="paragraph" w:customStyle="1" w:styleId="H4G">
    <w:name w:val="_ H_4_G"/>
    <w:basedOn w:val="Normal"/>
    <w:next w:val="Normal"/>
    <w:qFormat/>
    <w:rsid w:val="00C979C9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i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4B46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B4643"/>
    <w:rPr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4B46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4643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WABCO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Christoph</dc:creator>
  <cp:keywords/>
  <cp:lastModifiedBy>Benedicte Boudol</cp:lastModifiedBy>
  <cp:revision>2</cp:revision>
  <dcterms:created xsi:type="dcterms:W3CDTF">2019-10-09T08:52:00Z</dcterms:created>
  <dcterms:modified xsi:type="dcterms:W3CDTF">2019-10-09T08:52:00Z</dcterms:modified>
</cp:coreProperties>
</file>