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E4DB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E4DB5" w:rsidP="00AE4DB5">
            <w:pPr>
              <w:jc w:val="right"/>
            </w:pPr>
            <w:r w:rsidRPr="00AE4DB5">
              <w:rPr>
                <w:sz w:val="40"/>
              </w:rPr>
              <w:t>ECE</w:t>
            </w:r>
            <w:r>
              <w:t>/TRANS/WP.29/GRSG/2019/1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E4DB5" w:rsidP="00C97039">
            <w:pPr>
              <w:spacing w:before="240"/>
            </w:pPr>
            <w:r>
              <w:t>Distr. générale</w:t>
            </w:r>
          </w:p>
          <w:p w:rsidR="00AE4DB5" w:rsidRDefault="00AE4DB5" w:rsidP="00AE4DB5">
            <w:pPr>
              <w:spacing w:line="240" w:lineRule="exact"/>
            </w:pPr>
            <w:r>
              <w:t>2 janvier 2019</w:t>
            </w:r>
          </w:p>
          <w:p w:rsidR="00AE4DB5" w:rsidRDefault="00AE4DB5" w:rsidP="00AE4DB5">
            <w:pPr>
              <w:spacing w:line="240" w:lineRule="exact"/>
            </w:pPr>
            <w:r>
              <w:t>Français</w:t>
            </w:r>
          </w:p>
          <w:p w:rsidR="00AE4DB5" w:rsidRPr="00DB58B5" w:rsidRDefault="00AE4DB5" w:rsidP="00AE4DB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AE4DB5">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E4DB5" w:rsidRDefault="00AE4DB5"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E4DB5" w:rsidRDefault="00AE4DB5" w:rsidP="00257168">
      <w:pPr>
        <w:spacing w:before="120" w:after="120" w:line="240" w:lineRule="exact"/>
        <w:rPr>
          <w:b/>
        </w:rPr>
      </w:pPr>
      <w:r w:rsidRPr="00AE4DB5">
        <w:rPr>
          <w:b/>
          <w:bCs/>
          <w:lang w:val="fr-FR"/>
        </w:rPr>
        <w:t>Groupe de travail des dispositions générales de sécurité</w:t>
      </w:r>
    </w:p>
    <w:p w:rsidR="00AE4DB5" w:rsidRDefault="00AE4DB5" w:rsidP="00257168">
      <w:pPr>
        <w:spacing w:before="120" w:line="240" w:lineRule="exact"/>
        <w:rPr>
          <w:b/>
        </w:rPr>
      </w:pPr>
      <w:r w:rsidRPr="00AE4DB5">
        <w:rPr>
          <w:b/>
          <w:bCs/>
          <w:lang w:val="fr-FR"/>
        </w:rPr>
        <w:t>116</w:t>
      </w:r>
      <w:r w:rsidRPr="00AE4DB5">
        <w:rPr>
          <w:b/>
          <w:bCs/>
          <w:vertAlign w:val="superscript"/>
          <w:lang w:val="fr-FR"/>
        </w:rPr>
        <w:t>e</w:t>
      </w:r>
      <w:r>
        <w:rPr>
          <w:b/>
          <w:bCs/>
          <w:lang w:val="fr-FR"/>
        </w:rPr>
        <w:t> </w:t>
      </w:r>
      <w:r>
        <w:rPr>
          <w:b/>
        </w:rPr>
        <w:t>session</w:t>
      </w:r>
    </w:p>
    <w:p w:rsidR="00AE4DB5" w:rsidRDefault="00AE4DB5" w:rsidP="00257168">
      <w:pPr>
        <w:spacing w:line="240" w:lineRule="exact"/>
      </w:pPr>
      <w:r>
        <w:t xml:space="preserve">Genève, </w:t>
      </w:r>
      <w:r w:rsidRPr="00AE4DB5">
        <w:rPr>
          <w:lang w:val="fr-FR"/>
        </w:rPr>
        <w:t>1</w:t>
      </w:r>
      <w:r w:rsidRPr="00AE4DB5">
        <w:rPr>
          <w:vertAlign w:val="superscript"/>
          <w:lang w:val="fr-FR"/>
        </w:rPr>
        <w:t>er</w:t>
      </w:r>
      <w:r w:rsidRPr="00AE4DB5">
        <w:rPr>
          <w:lang w:val="fr-FR"/>
        </w:rPr>
        <w:t>-5 avril 2019</w:t>
      </w:r>
    </w:p>
    <w:p w:rsidR="00AE4DB5" w:rsidRDefault="00AE4DB5" w:rsidP="00257168">
      <w:pPr>
        <w:spacing w:line="240" w:lineRule="exact"/>
      </w:pPr>
      <w:r>
        <w:t>Point 1 de l’ordre du jour provisoire</w:t>
      </w:r>
    </w:p>
    <w:p w:rsidR="00F9573C" w:rsidRDefault="00AE4DB5" w:rsidP="00AF0CB5">
      <w:pPr>
        <w:rPr>
          <w:b/>
          <w:bCs/>
          <w:lang w:val="fr-FR"/>
        </w:rPr>
      </w:pPr>
      <w:r w:rsidRPr="00734424">
        <w:rPr>
          <w:b/>
          <w:bCs/>
          <w:lang w:val="fr-FR"/>
        </w:rPr>
        <w:t>Adoption de l</w:t>
      </w:r>
      <w:r>
        <w:rPr>
          <w:b/>
          <w:bCs/>
          <w:lang w:val="fr-FR"/>
        </w:rPr>
        <w:t>’</w:t>
      </w:r>
      <w:r w:rsidRPr="00734424">
        <w:rPr>
          <w:b/>
          <w:bCs/>
          <w:lang w:val="fr-FR"/>
        </w:rPr>
        <w:t>ordre du jour</w:t>
      </w:r>
    </w:p>
    <w:p w:rsidR="00AE4DB5" w:rsidRPr="00AE4DB5" w:rsidRDefault="00AE4DB5" w:rsidP="00AE4DB5">
      <w:pPr>
        <w:pStyle w:val="HChG"/>
      </w:pPr>
      <w:r>
        <w:rPr>
          <w:lang w:val="fr-FR"/>
        </w:rPr>
        <w:tab/>
      </w:r>
      <w:r>
        <w:rPr>
          <w:lang w:val="fr-FR"/>
        </w:rPr>
        <w:tab/>
      </w:r>
      <w:r w:rsidRPr="00AE4DB5">
        <w:rPr>
          <w:lang w:val="fr-FR"/>
        </w:rPr>
        <w:t>Ordre du jour provisoire de la 116</w:t>
      </w:r>
      <w:r w:rsidRPr="00AE4DB5">
        <w:rPr>
          <w:vertAlign w:val="superscript"/>
          <w:lang w:val="fr-FR"/>
        </w:rPr>
        <w:t>e</w:t>
      </w:r>
      <w:r>
        <w:rPr>
          <w:lang w:val="fr-FR"/>
        </w:rPr>
        <w:t> </w:t>
      </w:r>
      <w:r w:rsidRPr="00AE4DB5">
        <w:rPr>
          <w:lang w:val="fr-FR"/>
        </w:rPr>
        <w:t>session</w:t>
      </w:r>
      <w:r w:rsidRPr="00AE4DB5">
        <w:rPr>
          <w:b w:val="0"/>
          <w:sz w:val="20"/>
          <w:lang w:val="fr-FR"/>
        </w:rPr>
        <w:footnoteReference w:customMarkFollows="1" w:id="2"/>
        <w:t>*</w:t>
      </w:r>
      <w:r w:rsidRPr="00AE4DB5">
        <w:rPr>
          <w:b w:val="0"/>
          <w:position w:val="6"/>
          <w:sz w:val="20"/>
          <w:lang w:val="fr-FR"/>
        </w:rPr>
        <w:t>,</w:t>
      </w:r>
      <w:r w:rsidRPr="00AE4DB5">
        <w:rPr>
          <w:b w:val="0"/>
          <w:sz w:val="20"/>
          <w:lang w:val="fr-FR"/>
        </w:rPr>
        <w:t xml:space="preserve"> </w:t>
      </w:r>
      <w:r w:rsidRPr="00AE4DB5">
        <w:rPr>
          <w:b w:val="0"/>
          <w:sz w:val="20"/>
          <w:lang w:val="fr-FR"/>
        </w:rPr>
        <w:footnoteReference w:customMarkFollows="1" w:id="3"/>
        <w:t>**</w:t>
      </w:r>
    </w:p>
    <w:p w:rsidR="00AE4DB5" w:rsidRDefault="00AE4DB5" w:rsidP="00AE4DB5">
      <w:pPr>
        <w:pStyle w:val="H56G"/>
        <w:rPr>
          <w:lang w:val="fr-FR"/>
        </w:rPr>
      </w:pPr>
      <w:r>
        <w:rPr>
          <w:lang w:val="fr-FR"/>
        </w:rPr>
        <w:tab/>
      </w:r>
      <w:r>
        <w:rPr>
          <w:lang w:val="fr-FR"/>
        </w:rPr>
        <w:tab/>
      </w:r>
      <w:r w:rsidRPr="00AE4DB5">
        <w:rPr>
          <w:lang w:val="fr-FR"/>
        </w:rPr>
        <w:t>qui s</w:t>
      </w:r>
      <w:r>
        <w:rPr>
          <w:lang w:val="fr-FR"/>
        </w:rPr>
        <w:t>’</w:t>
      </w:r>
      <w:r w:rsidRPr="00AE4DB5">
        <w:rPr>
          <w:lang w:val="fr-FR"/>
        </w:rPr>
        <w:t>ouvrira au Palais des Nations, à Genève, le 1</w:t>
      </w:r>
      <w:r w:rsidRPr="00AE4DB5">
        <w:rPr>
          <w:vertAlign w:val="superscript"/>
          <w:lang w:val="fr-FR"/>
        </w:rPr>
        <w:t>er</w:t>
      </w:r>
      <w:r>
        <w:rPr>
          <w:lang w:val="fr-FR"/>
        </w:rPr>
        <w:t> avril 2019 à 14 </w:t>
      </w:r>
      <w:r w:rsidRPr="00AE4DB5">
        <w:rPr>
          <w:lang w:val="fr-FR"/>
        </w:rPr>
        <w:t>h</w:t>
      </w:r>
      <w:r>
        <w:rPr>
          <w:lang w:val="fr-FR"/>
        </w:rPr>
        <w:t> </w:t>
      </w:r>
      <w:r w:rsidRPr="00AE4DB5">
        <w:rPr>
          <w:lang w:val="fr-FR"/>
        </w:rPr>
        <w:t xml:space="preserve">30, </w:t>
      </w:r>
      <w:r>
        <w:rPr>
          <w:lang w:val="fr-FR"/>
        </w:rPr>
        <w:br/>
      </w:r>
      <w:r w:rsidRPr="00AE4DB5">
        <w:rPr>
          <w:lang w:val="fr-FR"/>
        </w:rPr>
        <w:t xml:space="preserve">et </w:t>
      </w:r>
      <w:r>
        <w:rPr>
          <w:lang w:val="fr-FR"/>
        </w:rPr>
        <w:t>s’achèvera le 5 avril 2019 à 12 </w:t>
      </w:r>
      <w:r w:rsidRPr="00AE4DB5">
        <w:rPr>
          <w:lang w:val="fr-FR"/>
        </w:rPr>
        <w:t>h</w:t>
      </w:r>
      <w:r>
        <w:rPr>
          <w:lang w:val="fr-FR"/>
        </w:rPr>
        <w:t> </w:t>
      </w:r>
      <w:r w:rsidRPr="00AE4DB5">
        <w:rPr>
          <w:lang w:val="fr-FR"/>
        </w:rPr>
        <w:t>30.</w:t>
      </w:r>
    </w:p>
    <w:p w:rsidR="00AE4DB5" w:rsidRPr="00AE4DB5" w:rsidRDefault="00AE4DB5" w:rsidP="00AE4DB5">
      <w:pPr>
        <w:pStyle w:val="HChG"/>
      </w:pPr>
      <w:r>
        <w:rPr>
          <w:lang w:val="fr-FR"/>
        </w:rPr>
        <w:br w:type="page"/>
      </w:r>
      <w:r>
        <w:rPr>
          <w:lang w:val="fr-FR"/>
        </w:rPr>
        <w:lastRenderedPageBreak/>
        <w:tab/>
      </w:r>
      <w:r w:rsidRPr="00AE4DB5">
        <w:rPr>
          <w:lang w:val="fr-FR"/>
        </w:rPr>
        <w:t>I.</w:t>
      </w:r>
      <w:r w:rsidRPr="00AE4DB5">
        <w:rPr>
          <w:lang w:val="fr-FR"/>
        </w:rPr>
        <w:tab/>
        <w:t>Ordre du jour provisoire</w:t>
      </w:r>
    </w:p>
    <w:p w:rsidR="00AE4DB5" w:rsidRPr="00AE4DB5" w:rsidRDefault="00AE4DB5" w:rsidP="00AE4DB5">
      <w:pPr>
        <w:pStyle w:val="SingleTxtG"/>
      </w:pPr>
      <w:r w:rsidRPr="00AE4DB5">
        <w:rPr>
          <w:lang w:val="fr-FR"/>
        </w:rPr>
        <w:t>1.</w:t>
      </w:r>
      <w:r w:rsidRPr="00AE4DB5">
        <w:rPr>
          <w:lang w:val="fr-FR"/>
        </w:rPr>
        <w:tab/>
        <w:t>Adoption de l</w:t>
      </w:r>
      <w:r>
        <w:rPr>
          <w:lang w:val="fr-FR"/>
        </w:rPr>
        <w:t>’</w:t>
      </w:r>
      <w:r w:rsidRPr="00AE4DB5">
        <w:rPr>
          <w:lang w:val="fr-FR"/>
        </w:rPr>
        <w:t>ordre du jour.</w:t>
      </w:r>
    </w:p>
    <w:p w:rsidR="00AE4DB5" w:rsidRPr="00AE4DB5" w:rsidRDefault="00AE4DB5" w:rsidP="00AE4DB5">
      <w:pPr>
        <w:pStyle w:val="SingleTxtG"/>
        <w:keepNext/>
        <w:keepLines/>
      </w:pPr>
      <w:r w:rsidRPr="00AE4DB5">
        <w:rPr>
          <w:lang w:val="fr-FR"/>
        </w:rPr>
        <w:t>2.</w:t>
      </w:r>
      <w:r w:rsidRPr="00AE4DB5">
        <w:rPr>
          <w:lang w:val="fr-FR"/>
        </w:rPr>
        <w:tab/>
        <w:t>Amendements aux Règlements sur les autobus et les autocars</w:t>
      </w:r>
      <w:r>
        <w:rPr>
          <w:lang w:val="fr-FR"/>
        </w:rPr>
        <w:t> :</w:t>
      </w:r>
    </w:p>
    <w:p w:rsidR="00AE4DB5" w:rsidRPr="00AE4DB5" w:rsidRDefault="00AE4DB5" w:rsidP="00AE4DB5">
      <w:pPr>
        <w:pStyle w:val="SingleTxtG"/>
        <w:ind w:left="2268" w:hanging="567"/>
      </w:pPr>
      <w:r w:rsidRPr="00AE4DB5">
        <w:rPr>
          <w:lang w:val="fr-FR"/>
        </w:rPr>
        <w:t>a)</w:t>
      </w:r>
      <w:r w:rsidRPr="00AE4DB5">
        <w:rPr>
          <w:lang w:val="fr-FR"/>
        </w:rPr>
        <w:tab/>
        <w:t>Règlement ONU n</w:t>
      </w:r>
      <w:r w:rsidRPr="00AE4DB5">
        <w:rPr>
          <w:vertAlign w:val="superscript"/>
          <w:lang w:val="fr-FR"/>
        </w:rPr>
        <w:t>o</w:t>
      </w:r>
      <w:r>
        <w:rPr>
          <w:lang w:val="fr-FR"/>
        </w:rPr>
        <w:t> </w:t>
      </w:r>
      <w:r w:rsidRPr="00AE4DB5">
        <w:rPr>
          <w:lang w:val="fr-FR"/>
        </w:rPr>
        <w:t>107 (Véhicules des catégories M</w:t>
      </w:r>
      <w:r w:rsidRPr="00AE4DB5">
        <w:rPr>
          <w:vertAlign w:val="subscript"/>
          <w:lang w:val="fr-FR"/>
        </w:rPr>
        <w:t>2</w:t>
      </w:r>
      <w:r w:rsidRPr="00AE4DB5">
        <w:rPr>
          <w:lang w:val="fr-FR"/>
        </w:rPr>
        <w:t xml:space="preserve"> et M</w:t>
      </w:r>
      <w:r w:rsidRPr="00AE4DB5">
        <w:rPr>
          <w:vertAlign w:val="subscript"/>
          <w:lang w:val="fr-FR"/>
        </w:rPr>
        <w:t>3</w:t>
      </w:r>
      <w:r w:rsidRPr="00AE4DB5">
        <w:rPr>
          <w:lang w:val="fr-FR"/>
        </w:rPr>
        <w:t>)</w:t>
      </w:r>
      <w:r>
        <w:rPr>
          <w:lang w:val="fr-FR"/>
        </w:rPr>
        <w:t> ;</w:t>
      </w:r>
    </w:p>
    <w:p w:rsidR="00AE4DB5" w:rsidRPr="00AE4DB5" w:rsidRDefault="00AE4DB5" w:rsidP="00AE4DB5">
      <w:pPr>
        <w:pStyle w:val="SingleTxtG"/>
        <w:ind w:left="2268" w:hanging="567"/>
      </w:pPr>
      <w:r w:rsidRPr="00AE4DB5">
        <w:rPr>
          <w:lang w:val="fr-FR"/>
        </w:rPr>
        <w:t>b)</w:t>
      </w:r>
      <w:r w:rsidRPr="00AE4DB5">
        <w:rPr>
          <w:lang w:val="fr-FR"/>
        </w:rPr>
        <w:tab/>
        <w:t>Règlement ONU n</w:t>
      </w:r>
      <w:r w:rsidRPr="00AE4DB5">
        <w:rPr>
          <w:vertAlign w:val="superscript"/>
          <w:lang w:val="fr-FR"/>
        </w:rPr>
        <w:t>o</w:t>
      </w:r>
      <w:r>
        <w:rPr>
          <w:lang w:val="fr-FR"/>
        </w:rPr>
        <w:t> </w:t>
      </w:r>
      <w:r w:rsidRPr="00AE4DB5">
        <w:rPr>
          <w:lang w:val="fr-FR"/>
        </w:rPr>
        <w:t>118 (Comportement au feu des matériaux).</w:t>
      </w:r>
    </w:p>
    <w:p w:rsidR="00AE4DB5" w:rsidRPr="00AE4DB5" w:rsidRDefault="00AE4DB5" w:rsidP="00AE4DB5">
      <w:pPr>
        <w:pStyle w:val="SingleTxtG"/>
      </w:pPr>
      <w:r w:rsidRPr="00AE4DB5">
        <w:rPr>
          <w:lang w:val="fr-FR"/>
        </w:rPr>
        <w:t>3.</w:t>
      </w:r>
      <w:r w:rsidRPr="00AE4DB5">
        <w:rPr>
          <w:lang w:val="fr-FR"/>
        </w:rPr>
        <w:tab/>
        <w:t>Règlement ONU n</w:t>
      </w:r>
      <w:r w:rsidRPr="00AE4DB5">
        <w:rPr>
          <w:vertAlign w:val="superscript"/>
          <w:lang w:val="fr-FR"/>
        </w:rPr>
        <w:t>o</w:t>
      </w:r>
      <w:r>
        <w:rPr>
          <w:lang w:val="fr-FR"/>
        </w:rPr>
        <w:t> </w:t>
      </w:r>
      <w:r w:rsidRPr="00AE4DB5">
        <w:rPr>
          <w:lang w:val="fr-FR"/>
        </w:rPr>
        <w:t>26 (Saillies extérieures des voitures particulières).</w:t>
      </w:r>
    </w:p>
    <w:p w:rsidR="00AE4DB5" w:rsidRPr="00AE4DB5" w:rsidRDefault="00AE4DB5" w:rsidP="00AE4DB5">
      <w:pPr>
        <w:pStyle w:val="SingleTxtG"/>
      </w:pPr>
      <w:r w:rsidRPr="00AE4DB5">
        <w:rPr>
          <w:lang w:val="fr-FR"/>
        </w:rPr>
        <w:t>4.</w:t>
      </w:r>
      <w:r w:rsidRPr="00AE4DB5">
        <w:rPr>
          <w:lang w:val="fr-FR"/>
        </w:rPr>
        <w:tab/>
        <w:t>Règlement ONU n</w:t>
      </w:r>
      <w:r w:rsidRPr="00AE4DB5">
        <w:rPr>
          <w:vertAlign w:val="superscript"/>
          <w:lang w:val="fr-FR"/>
        </w:rPr>
        <w:t>o</w:t>
      </w:r>
      <w:r>
        <w:rPr>
          <w:lang w:val="fr-FR"/>
        </w:rPr>
        <w:t> </w:t>
      </w:r>
      <w:r w:rsidRPr="00AE4DB5">
        <w:rPr>
          <w:lang w:val="fr-FR"/>
        </w:rPr>
        <w:t>34 (Prévention des risques d</w:t>
      </w:r>
      <w:r>
        <w:rPr>
          <w:lang w:val="fr-FR"/>
        </w:rPr>
        <w:t>’</w:t>
      </w:r>
      <w:r w:rsidRPr="00AE4DB5">
        <w:rPr>
          <w:lang w:val="fr-FR"/>
        </w:rPr>
        <w:t>incendie).</w:t>
      </w:r>
    </w:p>
    <w:p w:rsidR="00AE4DB5" w:rsidRPr="00AE4DB5" w:rsidRDefault="00AE4DB5" w:rsidP="00AE4DB5">
      <w:pPr>
        <w:pStyle w:val="SingleTxtG"/>
      </w:pPr>
      <w:r w:rsidRPr="00AE4DB5">
        <w:rPr>
          <w:lang w:val="fr-FR"/>
        </w:rPr>
        <w:t>5.</w:t>
      </w:r>
      <w:r w:rsidRPr="00AE4DB5">
        <w:rPr>
          <w:lang w:val="fr-FR"/>
        </w:rPr>
        <w:tab/>
        <w:t>Règlement ONU n</w:t>
      </w:r>
      <w:r w:rsidRPr="00AE4DB5">
        <w:rPr>
          <w:vertAlign w:val="superscript"/>
          <w:lang w:val="fr-FR"/>
        </w:rPr>
        <w:t>o</w:t>
      </w:r>
      <w:r>
        <w:rPr>
          <w:lang w:val="fr-FR"/>
        </w:rPr>
        <w:t> </w:t>
      </w:r>
      <w:r w:rsidRPr="00AE4DB5">
        <w:rPr>
          <w:lang w:val="fr-FR"/>
        </w:rPr>
        <w:t>35 (Disposition des pédales de commande).</w:t>
      </w:r>
    </w:p>
    <w:p w:rsidR="00AE4DB5" w:rsidRPr="00AE4DB5" w:rsidRDefault="00AE4DB5" w:rsidP="00AE4DB5">
      <w:pPr>
        <w:pStyle w:val="SingleTxtG"/>
        <w:keepNext/>
        <w:keepLines/>
      </w:pPr>
      <w:r w:rsidRPr="00AE4DB5">
        <w:rPr>
          <w:lang w:val="fr-FR"/>
        </w:rPr>
        <w:t>6.</w:t>
      </w:r>
      <w:r w:rsidRPr="00AE4DB5">
        <w:rPr>
          <w:lang w:val="fr-FR"/>
        </w:rPr>
        <w:tab/>
        <w:t>Amendements aux Règlements ONU relatifs aux vitrages de sécurité</w:t>
      </w:r>
      <w:r>
        <w:rPr>
          <w:lang w:val="fr-FR"/>
        </w:rPr>
        <w:t> :</w:t>
      </w:r>
    </w:p>
    <w:p w:rsidR="00AE4DB5" w:rsidRPr="00AE4DB5" w:rsidRDefault="00AE4DB5" w:rsidP="00AE4DB5">
      <w:pPr>
        <w:pStyle w:val="SingleTxtG"/>
        <w:ind w:left="2268" w:hanging="567"/>
      </w:pPr>
      <w:r w:rsidRPr="00AE4DB5">
        <w:rPr>
          <w:lang w:val="fr-FR"/>
        </w:rPr>
        <w:t>a)</w:t>
      </w:r>
      <w:r w:rsidRPr="00AE4DB5">
        <w:rPr>
          <w:lang w:val="fr-FR"/>
        </w:rPr>
        <w:tab/>
        <w:t>Règlement technique mondial ONU n</w:t>
      </w:r>
      <w:r w:rsidRPr="00AE4DB5">
        <w:rPr>
          <w:vertAlign w:val="superscript"/>
          <w:lang w:val="fr-FR"/>
        </w:rPr>
        <w:t>o</w:t>
      </w:r>
      <w:r w:rsidRPr="00AE4DB5">
        <w:rPr>
          <w:lang w:val="fr-FR"/>
        </w:rPr>
        <w:t xml:space="preserve"> 6 (Vitrages de sécurité</w:t>
      </w:r>
      <w:r>
        <w:rPr>
          <w:lang w:val="fr-FR"/>
        </w:rPr>
        <w:t>) ;</w:t>
      </w:r>
    </w:p>
    <w:p w:rsidR="00AE4DB5" w:rsidRPr="00AE4DB5" w:rsidRDefault="00AE4DB5" w:rsidP="00AE4DB5">
      <w:pPr>
        <w:pStyle w:val="SingleTxtG"/>
        <w:ind w:left="2268" w:hanging="567"/>
      </w:pPr>
      <w:r w:rsidRPr="00AE4DB5">
        <w:rPr>
          <w:lang w:val="fr-FR"/>
        </w:rPr>
        <w:t>b)</w:t>
      </w:r>
      <w:r w:rsidRPr="00AE4DB5">
        <w:rPr>
          <w:lang w:val="fr-FR"/>
        </w:rPr>
        <w:tab/>
        <w:t>Règlement ONU n</w:t>
      </w:r>
      <w:r w:rsidRPr="00AE4DB5">
        <w:rPr>
          <w:vertAlign w:val="superscript"/>
          <w:lang w:val="fr-FR"/>
        </w:rPr>
        <w:t>o</w:t>
      </w:r>
      <w:r>
        <w:rPr>
          <w:lang w:val="fr-FR"/>
        </w:rPr>
        <w:t> </w:t>
      </w:r>
      <w:r w:rsidRPr="00AE4DB5">
        <w:rPr>
          <w:lang w:val="fr-FR"/>
        </w:rPr>
        <w:t>43 (Vitrages de sécurité).</w:t>
      </w:r>
    </w:p>
    <w:p w:rsidR="00AE4DB5" w:rsidRPr="00AE4DB5" w:rsidRDefault="00AE4DB5" w:rsidP="00AE4DB5">
      <w:pPr>
        <w:pStyle w:val="SingleTxtG"/>
        <w:keepNext/>
        <w:keepLines/>
      </w:pPr>
      <w:r w:rsidRPr="00AE4DB5">
        <w:rPr>
          <w:lang w:val="fr-FR"/>
        </w:rPr>
        <w:t>7.</w:t>
      </w:r>
      <w:r w:rsidRPr="00AE4DB5">
        <w:rPr>
          <w:lang w:val="fr-FR"/>
        </w:rPr>
        <w:tab/>
        <w:t>Détection de la présence d</w:t>
      </w:r>
      <w:r>
        <w:rPr>
          <w:lang w:val="fr-FR"/>
        </w:rPr>
        <w:t>’</w:t>
      </w:r>
      <w:r w:rsidRPr="00AE4DB5">
        <w:rPr>
          <w:lang w:val="fr-FR"/>
        </w:rPr>
        <w:t>usagers de la route vulnérables</w:t>
      </w:r>
      <w:r>
        <w:rPr>
          <w:lang w:val="fr-FR"/>
        </w:rPr>
        <w:t> :</w:t>
      </w:r>
    </w:p>
    <w:p w:rsidR="00AE4DB5" w:rsidRPr="00AE4DB5" w:rsidRDefault="00AE4DB5" w:rsidP="00AE4DB5">
      <w:pPr>
        <w:pStyle w:val="SingleTxtG"/>
        <w:ind w:left="2268" w:hanging="567"/>
      </w:pPr>
      <w:r w:rsidRPr="00AE4DB5">
        <w:rPr>
          <w:lang w:val="fr-FR"/>
        </w:rPr>
        <w:t>a)</w:t>
      </w:r>
      <w:r w:rsidRPr="00AE4DB5">
        <w:rPr>
          <w:lang w:val="fr-FR"/>
        </w:rPr>
        <w:tab/>
        <w:t>Règlement ONU n</w:t>
      </w:r>
      <w:r w:rsidRPr="00AE4DB5">
        <w:rPr>
          <w:vertAlign w:val="superscript"/>
          <w:lang w:val="fr-FR"/>
        </w:rPr>
        <w:t>o</w:t>
      </w:r>
      <w:r>
        <w:rPr>
          <w:lang w:val="fr-FR"/>
        </w:rPr>
        <w:t> </w:t>
      </w:r>
      <w:r w:rsidRPr="00AE4DB5">
        <w:rPr>
          <w:lang w:val="fr-FR"/>
        </w:rPr>
        <w:t>46 (Systèmes de vision indirecte</w:t>
      </w:r>
      <w:r>
        <w:rPr>
          <w:lang w:val="fr-FR"/>
        </w:rPr>
        <w:t>) ;</w:t>
      </w:r>
    </w:p>
    <w:p w:rsidR="00AE4DB5" w:rsidRPr="00AE4DB5" w:rsidRDefault="00AE4DB5" w:rsidP="00AE4DB5">
      <w:pPr>
        <w:pStyle w:val="SingleTxtG"/>
        <w:ind w:left="2268" w:hanging="567"/>
      </w:pPr>
      <w:r w:rsidRPr="00AE4DB5">
        <w:rPr>
          <w:lang w:val="fr-FR"/>
        </w:rPr>
        <w:t>b)</w:t>
      </w:r>
      <w:r w:rsidRPr="00AE4DB5">
        <w:rPr>
          <w:lang w:val="fr-FR"/>
        </w:rPr>
        <w:tab/>
        <w:t>Règlement ONU sur les systèmes de surveillance de l</w:t>
      </w:r>
      <w:r>
        <w:rPr>
          <w:lang w:val="fr-FR"/>
        </w:rPr>
        <w:t>’</w:t>
      </w:r>
      <w:r w:rsidRPr="00AE4DB5">
        <w:rPr>
          <w:lang w:val="fr-FR"/>
        </w:rPr>
        <w:t>angle mort.</w:t>
      </w:r>
    </w:p>
    <w:p w:rsidR="00AE4DB5" w:rsidRPr="00AE4DB5" w:rsidRDefault="00AE4DB5" w:rsidP="00AE4DB5">
      <w:pPr>
        <w:pStyle w:val="SingleTxtG"/>
      </w:pPr>
      <w:r w:rsidRPr="00AE4DB5">
        <w:rPr>
          <w:lang w:val="fr-FR"/>
        </w:rPr>
        <w:t>8.</w:t>
      </w:r>
      <w:r w:rsidRPr="00AE4DB5">
        <w:rPr>
          <w:lang w:val="fr-FR"/>
        </w:rPr>
        <w:tab/>
        <w:t>Règlement ONU n</w:t>
      </w:r>
      <w:r w:rsidRPr="00AE4DB5">
        <w:rPr>
          <w:vertAlign w:val="superscript"/>
          <w:lang w:val="fr-FR"/>
        </w:rPr>
        <w:t>o</w:t>
      </w:r>
      <w:r>
        <w:rPr>
          <w:lang w:val="fr-FR"/>
        </w:rPr>
        <w:t> </w:t>
      </w:r>
      <w:r w:rsidRPr="00AE4DB5">
        <w:rPr>
          <w:lang w:val="fr-FR"/>
        </w:rPr>
        <w:t>55 (Pièces mécaniques d</w:t>
      </w:r>
      <w:r>
        <w:rPr>
          <w:lang w:val="fr-FR"/>
        </w:rPr>
        <w:t>’</w:t>
      </w:r>
      <w:r w:rsidRPr="00AE4DB5">
        <w:rPr>
          <w:lang w:val="fr-FR"/>
        </w:rPr>
        <w:t>attelage).</w:t>
      </w:r>
    </w:p>
    <w:p w:rsidR="00AE4DB5" w:rsidRPr="00AE4DB5" w:rsidRDefault="00AE4DB5" w:rsidP="00AE4DB5">
      <w:pPr>
        <w:pStyle w:val="SingleTxtG"/>
        <w:keepNext/>
        <w:keepLines/>
      </w:pPr>
      <w:r>
        <w:rPr>
          <w:lang w:val="fr-FR"/>
        </w:rPr>
        <w:t>9.</w:t>
      </w:r>
      <w:r>
        <w:rPr>
          <w:lang w:val="fr-FR"/>
        </w:rPr>
        <w:tab/>
        <w:t>Amendements aux</w:t>
      </w:r>
      <w:r w:rsidRPr="00AE4DB5">
        <w:rPr>
          <w:lang w:val="fr-FR"/>
        </w:rPr>
        <w:t xml:space="preserve"> Règlements ONU concernant les véhicules fonctionnant au gaz</w:t>
      </w:r>
      <w:r>
        <w:rPr>
          <w:lang w:val="fr-FR"/>
        </w:rPr>
        <w:t> :</w:t>
      </w:r>
    </w:p>
    <w:p w:rsidR="00AE4DB5" w:rsidRPr="00AE4DB5" w:rsidRDefault="00AE4DB5" w:rsidP="00AE4DB5">
      <w:pPr>
        <w:pStyle w:val="SingleTxtG"/>
        <w:ind w:left="2268" w:hanging="567"/>
      </w:pPr>
      <w:r w:rsidRPr="00AE4DB5">
        <w:rPr>
          <w:lang w:val="fr-FR"/>
        </w:rPr>
        <w:t>a)</w:t>
      </w:r>
      <w:r w:rsidRPr="00AE4DB5">
        <w:rPr>
          <w:lang w:val="fr-FR"/>
        </w:rPr>
        <w:tab/>
        <w:t>Règlement ONU n</w:t>
      </w:r>
      <w:r w:rsidRPr="00AE4DB5">
        <w:rPr>
          <w:vertAlign w:val="superscript"/>
          <w:lang w:val="fr-FR"/>
        </w:rPr>
        <w:t>o</w:t>
      </w:r>
      <w:r>
        <w:rPr>
          <w:lang w:val="fr-FR"/>
        </w:rPr>
        <w:t> </w:t>
      </w:r>
      <w:r w:rsidRPr="00AE4DB5">
        <w:rPr>
          <w:lang w:val="fr-FR"/>
        </w:rPr>
        <w:t>67 (Véhicules alimentés au GPL</w:t>
      </w:r>
      <w:r>
        <w:rPr>
          <w:lang w:val="fr-FR"/>
        </w:rPr>
        <w:t>) ;</w:t>
      </w:r>
    </w:p>
    <w:p w:rsidR="00AE4DB5" w:rsidRPr="00AE4DB5" w:rsidRDefault="00AE4DB5" w:rsidP="00AE4DB5">
      <w:pPr>
        <w:pStyle w:val="SingleTxtG"/>
        <w:ind w:left="2268" w:hanging="567"/>
      </w:pPr>
      <w:r w:rsidRPr="00AE4DB5">
        <w:rPr>
          <w:lang w:val="fr-FR"/>
        </w:rPr>
        <w:t>b)</w:t>
      </w:r>
      <w:r w:rsidRPr="00AE4DB5">
        <w:rPr>
          <w:lang w:val="fr-FR"/>
        </w:rPr>
        <w:tab/>
        <w:t>Règlement ONU n</w:t>
      </w:r>
      <w:r w:rsidRPr="00AE4DB5">
        <w:rPr>
          <w:vertAlign w:val="superscript"/>
          <w:lang w:val="fr-FR"/>
        </w:rPr>
        <w:t>o</w:t>
      </w:r>
      <w:r>
        <w:rPr>
          <w:lang w:val="fr-FR"/>
        </w:rPr>
        <w:t> </w:t>
      </w:r>
      <w:r w:rsidRPr="00AE4DB5">
        <w:rPr>
          <w:lang w:val="fr-FR"/>
        </w:rPr>
        <w:t>110 (Véhicules alimentés au GNC/GNL).</w:t>
      </w:r>
    </w:p>
    <w:p w:rsidR="00AE4DB5" w:rsidRPr="00AE4DB5" w:rsidRDefault="00AE4DB5" w:rsidP="00AE4DB5">
      <w:pPr>
        <w:pStyle w:val="SingleTxtG"/>
      </w:pPr>
      <w:r w:rsidRPr="00AE4DB5">
        <w:rPr>
          <w:lang w:val="fr-FR"/>
        </w:rPr>
        <w:t>10.</w:t>
      </w:r>
      <w:r w:rsidRPr="00AE4DB5">
        <w:rPr>
          <w:lang w:val="fr-FR"/>
        </w:rPr>
        <w:tab/>
        <w:t>Règlement ONU n</w:t>
      </w:r>
      <w:r w:rsidRPr="00AE4DB5">
        <w:rPr>
          <w:vertAlign w:val="superscript"/>
          <w:lang w:val="fr-FR"/>
        </w:rPr>
        <w:t>o</w:t>
      </w:r>
      <w:r>
        <w:rPr>
          <w:lang w:val="fr-FR"/>
        </w:rPr>
        <w:t> </w:t>
      </w:r>
      <w:r w:rsidRPr="00AE4DB5">
        <w:rPr>
          <w:lang w:val="fr-FR"/>
        </w:rPr>
        <w:t>73 (Dispositifs de protection latérale).</w:t>
      </w:r>
    </w:p>
    <w:p w:rsidR="00AE4DB5" w:rsidRPr="00AE4DB5" w:rsidRDefault="00AE4DB5" w:rsidP="00AE4DB5">
      <w:pPr>
        <w:pStyle w:val="SingleTxtG"/>
      </w:pPr>
      <w:r w:rsidRPr="00AE4DB5">
        <w:rPr>
          <w:lang w:val="fr-FR"/>
        </w:rPr>
        <w:t>11.</w:t>
      </w:r>
      <w:r w:rsidRPr="00AE4DB5">
        <w:rPr>
          <w:lang w:val="fr-FR"/>
        </w:rPr>
        <w:tab/>
        <w:t>Règlement ONU n</w:t>
      </w:r>
      <w:r w:rsidRPr="00AE4DB5">
        <w:rPr>
          <w:vertAlign w:val="superscript"/>
          <w:lang w:val="fr-FR"/>
        </w:rPr>
        <w:t>o</w:t>
      </w:r>
      <w:r>
        <w:rPr>
          <w:lang w:val="fr-FR"/>
        </w:rPr>
        <w:t> </w:t>
      </w:r>
      <w:r w:rsidRPr="00AE4DB5">
        <w:rPr>
          <w:lang w:val="fr-FR"/>
        </w:rPr>
        <w:t>93 (Dispositifs contre l</w:t>
      </w:r>
      <w:r>
        <w:rPr>
          <w:lang w:val="fr-FR"/>
        </w:rPr>
        <w:t>’</w:t>
      </w:r>
      <w:r w:rsidRPr="00AE4DB5">
        <w:rPr>
          <w:lang w:val="fr-FR"/>
        </w:rPr>
        <w:t>encastrement à l</w:t>
      </w:r>
      <w:r>
        <w:rPr>
          <w:lang w:val="fr-FR"/>
        </w:rPr>
        <w:t>’</w:t>
      </w:r>
      <w:r w:rsidRPr="00AE4DB5">
        <w:rPr>
          <w:lang w:val="fr-FR"/>
        </w:rPr>
        <w:t>avant).</w:t>
      </w:r>
    </w:p>
    <w:p w:rsidR="00AE4DB5" w:rsidRPr="00AE4DB5" w:rsidRDefault="00AE4DB5" w:rsidP="00AE4DB5">
      <w:pPr>
        <w:pStyle w:val="SingleTxtG"/>
      </w:pPr>
      <w:r w:rsidRPr="00AE4DB5">
        <w:rPr>
          <w:lang w:val="fr-FR"/>
        </w:rPr>
        <w:t>12.</w:t>
      </w:r>
      <w:r w:rsidRPr="00AE4DB5">
        <w:rPr>
          <w:lang w:val="fr-FR"/>
        </w:rPr>
        <w:tab/>
        <w:t>Règlement ONU n</w:t>
      </w:r>
      <w:r w:rsidRPr="00AE4DB5">
        <w:rPr>
          <w:vertAlign w:val="superscript"/>
          <w:lang w:val="fr-FR"/>
        </w:rPr>
        <w:t>o</w:t>
      </w:r>
      <w:r>
        <w:rPr>
          <w:lang w:val="fr-FR"/>
        </w:rPr>
        <w:t> </w:t>
      </w:r>
      <w:r w:rsidRPr="00AE4DB5">
        <w:rPr>
          <w:lang w:val="fr-FR"/>
        </w:rPr>
        <w:t>116 (Dispositifs antivol et systèmes d</w:t>
      </w:r>
      <w:r>
        <w:rPr>
          <w:lang w:val="fr-FR"/>
        </w:rPr>
        <w:t>’</w:t>
      </w:r>
      <w:r w:rsidRPr="00AE4DB5">
        <w:rPr>
          <w:lang w:val="fr-FR"/>
        </w:rPr>
        <w:t>alarme).</w:t>
      </w:r>
    </w:p>
    <w:p w:rsidR="00AE4DB5" w:rsidRPr="00AE4DB5" w:rsidRDefault="00AE4DB5" w:rsidP="00AE4DB5">
      <w:pPr>
        <w:pStyle w:val="SingleTxtG"/>
        <w:ind w:left="1701" w:hanging="567"/>
      </w:pPr>
      <w:r w:rsidRPr="00AE4DB5">
        <w:rPr>
          <w:lang w:val="fr-FR"/>
        </w:rPr>
        <w:t>13.</w:t>
      </w:r>
      <w:r w:rsidRPr="00AE4DB5">
        <w:rPr>
          <w:lang w:val="fr-FR"/>
        </w:rPr>
        <w:tab/>
        <w:t>Règlement ONU n</w:t>
      </w:r>
      <w:r w:rsidRPr="00AE4DB5">
        <w:rPr>
          <w:vertAlign w:val="superscript"/>
          <w:lang w:val="fr-FR"/>
        </w:rPr>
        <w:t>o</w:t>
      </w:r>
      <w:r>
        <w:rPr>
          <w:lang w:val="fr-FR"/>
        </w:rPr>
        <w:t> </w:t>
      </w:r>
      <w:r w:rsidRPr="00AE4DB5">
        <w:rPr>
          <w:lang w:val="fr-FR"/>
        </w:rPr>
        <w:t>121 (Identification des commandes manuelles, des témoins et des indicateurs).</w:t>
      </w:r>
    </w:p>
    <w:p w:rsidR="00AE4DB5" w:rsidRPr="00AE4DB5" w:rsidRDefault="00AE4DB5" w:rsidP="00AE4DB5">
      <w:pPr>
        <w:pStyle w:val="SingleTxtG"/>
      </w:pPr>
      <w:r w:rsidRPr="00AE4DB5">
        <w:rPr>
          <w:lang w:val="fr-FR"/>
        </w:rPr>
        <w:t>14.</w:t>
      </w:r>
      <w:r w:rsidRPr="00AE4DB5">
        <w:rPr>
          <w:lang w:val="fr-FR"/>
        </w:rPr>
        <w:tab/>
        <w:t>Règlement ONU n</w:t>
      </w:r>
      <w:r w:rsidRPr="00AE4DB5">
        <w:rPr>
          <w:vertAlign w:val="superscript"/>
          <w:lang w:val="fr-FR"/>
        </w:rPr>
        <w:t>o</w:t>
      </w:r>
      <w:r>
        <w:rPr>
          <w:lang w:val="fr-FR"/>
        </w:rPr>
        <w:t> </w:t>
      </w:r>
      <w:r w:rsidRPr="00AE4DB5">
        <w:rPr>
          <w:lang w:val="fr-FR"/>
        </w:rPr>
        <w:t>144 (Systèmes automatique d</w:t>
      </w:r>
      <w:r>
        <w:rPr>
          <w:lang w:val="fr-FR"/>
        </w:rPr>
        <w:t>’</w:t>
      </w:r>
      <w:r w:rsidRPr="00AE4DB5">
        <w:rPr>
          <w:lang w:val="fr-FR"/>
        </w:rPr>
        <w:t>appel d</w:t>
      </w:r>
      <w:r>
        <w:rPr>
          <w:lang w:val="fr-FR"/>
        </w:rPr>
        <w:t>’</w:t>
      </w:r>
      <w:r w:rsidRPr="00AE4DB5">
        <w:rPr>
          <w:lang w:val="fr-FR"/>
        </w:rPr>
        <w:t>urgence).</w:t>
      </w:r>
    </w:p>
    <w:p w:rsidR="00AE4DB5" w:rsidRPr="00AE4DB5" w:rsidRDefault="00AE4DB5" w:rsidP="00AE4DB5">
      <w:pPr>
        <w:pStyle w:val="SingleTxtG"/>
        <w:ind w:left="1701" w:hanging="567"/>
      </w:pPr>
      <w:r w:rsidRPr="00AE4DB5">
        <w:rPr>
          <w:lang w:val="fr-FR"/>
        </w:rPr>
        <w:t>15.</w:t>
      </w:r>
      <w:r w:rsidRPr="00AE4DB5">
        <w:rPr>
          <w:lang w:val="fr-FR"/>
        </w:rPr>
        <w:tab/>
        <w:t>Règlement ONU n</w:t>
      </w:r>
      <w:r w:rsidRPr="00AE4DB5">
        <w:rPr>
          <w:vertAlign w:val="superscript"/>
          <w:lang w:val="fr-FR"/>
        </w:rPr>
        <w:t>o</w:t>
      </w:r>
      <w:r w:rsidRPr="00AE4DB5">
        <w:rPr>
          <w:lang w:val="fr-FR"/>
        </w:rPr>
        <w:t xml:space="preserve"> 0 (Homologation de type </w:t>
      </w:r>
      <w:r>
        <w:rPr>
          <w:lang w:val="fr-FR"/>
        </w:rPr>
        <w:t>internationale de l’ensemble du </w:t>
      </w:r>
      <w:r w:rsidRPr="00AE4DB5">
        <w:rPr>
          <w:lang w:val="fr-FR"/>
        </w:rPr>
        <w:t>véhicule).</w:t>
      </w:r>
    </w:p>
    <w:p w:rsidR="00AE4DB5" w:rsidRPr="00AE4DB5" w:rsidRDefault="00AE4DB5" w:rsidP="00AE4DB5">
      <w:pPr>
        <w:pStyle w:val="SingleTxtG"/>
      </w:pPr>
      <w:r w:rsidRPr="00AE4DB5">
        <w:rPr>
          <w:lang w:val="fr-FR"/>
        </w:rPr>
        <w:t>16.</w:t>
      </w:r>
      <w:r w:rsidRPr="00AE4DB5">
        <w:rPr>
          <w:lang w:val="fr-FR"/>
        </w:rPr>
        <w:tab/>
        <w:t>Résolution d</w:t>
      </w:r>
      <w:r>
        <w:rPr>
          <w:lang w:val="fr-FR"/>
        </w:rPr>
        <w:t>’</w:t>
      </w:r>
      <w:r w:rsidRPr="00AE4DB5">
        <w:rPr>
          <w:lang w:val="fr-FR"/>
        </w:rPr>
        <w:t>ensemble sur la construction des véhicules (R.E.3).</w:t>
      </w:r>
    </w:p>
    <w:p w:rsidR="00AE4DB5" w:rsidRPr="00AE4DB5" w:rsidRDefault="00AE4DB5" w:rsidP="00AE4DB5">
      <w:pPr>
        <w:pStyle w:val="SingleTxtG"/>
      </w:pPr>
      <w:r w:rsidRPr="00AE4DB5">
        <w:rPr>
          <w:lang w:val="fr-FR"/>
        </w:rPr>
        <w:t>17.</w:t>
      </w:r>
      <w:r w:rsidRPr="00AE4DB5">
        <w:rPr>
          <w:lang w:val="fr-FR"/>
        </w:rPr>
        <w:tab/>
        <w:t>Enregistreurs de données de route.</w:t>
      </w:r>
    </w:p>
    <w:p w:rsidR="00AE4DB5" w:rsidRPr="00AE4DB5" w:rsidRDefault="00AE4DB5" w:rsidP="00AE4DB5">
      <w:pPr>
        <w:pStyle w:val="SingleTxtG"/>
      </w:pPr>
      <w:r w:rsidRPr="00AE4DB5">
        <w:rPr>
          <w:lang w:val="fr-FR"/>
        </w:rPr>
        <w:t>18.</w:t>
      </w:r>
      <w:r w:rsidRPr="00AE4DB5">
        <w:rPr>
          <w:lang w:val="fr-FR"/>
        </w:rPr>
        <w:tab/>
        <w:t>Échange de vues sur l</w:t>
      </w:r>
      <w:r>
        <w:rPr>
          <w:lang w:val="fr-FR"/>
        </w:rPr>
        <w:t>’</w:t>
      </w:r>
      <w:r w:rsidRPr="00AE4DB5">
        <w:rPr>
          <w:lang w:val="fr-FR"/>
        </w:rPr>
        <w:t>automatisation des véhicules.</w:t>
      </w:r>
    </w:p>
    <w:p w:rsidR="00AE4DB5" w:rsidRPr="00AE4DB5" w:rsidRDefault="00AE4DB5" w:rsidP="00AE4DB5">
      <w:pPr>
        <w:pStyle w:val="SingleTxtG"/>
      </w:pPr>
      <w:r w:rsidRPr="00AE4DB5">
        <w:rPr>
          <w:lang w:val="fr-FR"/>
        </w:rPr>
        <w:t>19.</w:t>
      </w:r>
      <w:r w:rsidRPr="00AE4DB5">
        <w:rPr>
          <w:lang w:val="fr-FR"/>
        </w:rPr>
        <w:tab/>
        <w:t>Questions diverses.</w:t>
      </w:r>
    </w:p>
    <w:p w:rsidR="00AE4DB5" w:rsidRPr="00AE4DB5" w:rsidRDefault="00AE4DB5" w:rsidP="008B1988">
      <w:pPr>
        <w:pStyle w:val="H1G"/>
      </w:pPr>
      <w:r w:rsidRPr="00AE4DB5">
        <w:rPr>
          <w:lang w:val="fr-FR"/>
        </w:rPr>
        <w:tab/>
      </w:r>
      <w:r>
        <w:rPr>
          <w:lang w:val="fr-FR"/>
        </w:rPr>
        <w:tab/>
      </w:r>
      <w:r w:rsidRPr="00AE4DB5">
        <w:rPr>
          <w:lang w:val="fr-FR"/>
        </w:rPr>
        <w:t>Annotations</w:t>
      </w:r>
    </w:p>
    <w:p w:rsidR="00AE4DB5" w:rsidRDefault="00AE4DB5" w:rsidP="00AE4DB5">
      <w:pPr>
        <w:pStyle w:val="SingleTxtG"/>
        <w:ind w:firstLine="567"/>
        <w:rPr>
          <w:lang w:val="fr-FR"/>
        </w:rPr>
      </w:pPr>
      <w:r w:rsidRPr="00AE4DB5">
        <w:rPr>
          <w:lang w:val="fr-FR"/>
        </w:rPr>
        <w:t>L</w:t>
      </w:r>
      <w:r>
        <w:rPr>
          <w:lang w:val="fr-FR"/>
        </w:rPr>
        <w:t>’</w:t>
      </w:r>
      <w:r w:rsidRPr="00AE4DB5">
        <w:rPr>
          <w:lang w:val="fr-FR"/>
        </w:rPr>
        <w:t>ordre du jour provisoire annoté sera publié avant la session du Groupe de travail (ECE/TRANS/WP.29/GRSG/2019/1/Add.1).</w:t>
      </w:r>
    </w:p>
    <w:p w:rsidR="00AE4DB5" w:rsidRPr="00AE4DB5" w:rsidRDefault="00AE4DB5" w:rsidP="00AE4DB5">
      <w:pPr>
        <w:pStyle w:val="SingleTxtG"/>
        <w:spacing w:before="240" w:after="0"/>
        <w:jc w:val="center"/>
        <w:rPr>
          <w:u w:val="single"/>
        </w:rPr>
      </w:pPr>
      <w:r>
        <w:rPr>
          <w:u w:val="single"/>
        </w:rPr>
        <w:tab/>
      </w:r>
      <w:r>
        <w:rPr>
          <w:u w:val="single"/>
        </w:rPr>
        <w:tab/>
      </w:r>
      <w:r>
        <w:rPr>
          <w:u w:val="single"/>
        </w:rPr>
        <w:tab/>
      </w:r>
    </w:p>
    <w:sectPr w:rsidR="00AE4DB5" w:rsidRPr="00AE4DB5" w:rsidSect="00AE4DB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96B" w:rsidRDefault="006D496B" w:rsidP="00F95C08">
      <w:pPr>
        <w:spacing w:line="240" w:lineRule="auto"/>
      </w:pPr>
    </w:p>
  </w:endnote>
  <w:endnote w:type="continuationSeparator" w:id="0">
    <w:p w:rsidR="006D496B" w:rsidRPr="00AC3823" w:rsidRDefault="006D496B" w:rsidP="00AC3823">
      <w:pPr>
        <w:pStyle w:val="Footer"/>
      </w:pPr>
    </w:p>
  </w:endnote>
  <w:endnote w:type="continuationNotice" w:id="1">
    <w:p w:rsidR="006D496B" w:rsidRDefault="006D49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DB5" w:rsidRPr="00AE4DB5" w:rsidRDefault="00AE4DB5" w:rsidP="00AE4DB5">
    <w:pPr>
      <w:pStyle w:val="Footer"/>
      <w:tabs>
        <w:tab w:val="right" w:pos="9638"/>
      </w:tabs>
    </w:pPr>
    <w:r w:rsidRPr="00AE4DB5">
      <w:rPr>
        <w:b/>
        <w:sz w:val="18"/>
      </w:rPr>
      <w:fldChar w:fldCharType="begin"/>
    </w:r>
    <w:r w:rsidRPr="00AE4DB5">
      <w:rPr>
        <w:b/>
        <w:sz w:val="18"/>
      </w:rPr>
      <w:instrText xml:space="preserve"> PAGE  \* MERGEFORMAT </w:instrText>
    </w:r>
    <w:r w:rsidRPr="00AE4DB5">
      <w:rPr>
        <w:b/>
        <w:sz w:val="18"/>
      </w:rPr>
      <w:fldChar w:fldCharType="separate"/>
    </w:r>
    <w:r w:rsidR="00495A37">
      <w:rPr>
        <w:b/>
        <w:noProof/>
        <w:sz w:val="18"/>
      </w:rPr>
      <w:t>2</w:t>
    </w:r>
    <w:r w:rsidRPr="00AE4DB5">
      <w:rPr>
        <w:b/>
        <w:sz w:val="18"/>
      </w:rPr>
      <w:fldChar w:fldCharType="end"/>
    </w:r>
    <w:r>
      <w:rPr>
        <w:b/>
        <w:sz w:val="18"/>
      </w:rPr>
      <w:tab/>
    </w:r>
    <w:r>
      <w:t>GE.19-00010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DB5" w:rsidRPr="00AE4DB5" w:rsidRDefault="00AE4DB5" w:rsidP="00AE4DB5">
    <w:pPr>
      <w:pStyle w:val="Footer"/>
      <w:tabs>
        <w:tab w:val="right" w:pos="9638"/>
      </w:tabs>
      <w:rPr>
        <w:b/>
        <w:sz w:val="18"/>
      </w:rPr>
    </w:pPr>
    <w:r>
      <w:t>GE.19-00010</w:t>
    </w:r>
    <w:r>
      <w:tab/>
    </w:r>
    <w:r w:rsidRPr="00AE4DB5">
      <w:rPr>
        <w:b/>
        <w:sz w:val="18"/>
      </w:rPr>
      <w:fldChar w:fldCharType="begin"/>
    </w:r>
    <w:r w:rsidRPr="00AE4DB5">
      <w:rPr>
        <w:b/>
        <w:sz w:val="18"/>
      </w:rPr>
      <w:instrText xml:space="preserve"> PAGE  \* MERGEFORMAT </w:instrText>
    </w:r>
    <w:r w:rsidRPr="00AE4DB5">
      <w:rPr>
        <w:b/>
        <w:sz w:val="18"/>
      </w:rPr>
      <w:fldChar w:fldCharType="separate"/>
    </w:r>
    <w:r>
      <w:rPr>
        <w:b/>
        <w:noProof/>
        <w:sz w:val="18"/>
      </w:rPr>
      <w:t>3</w:t>
    </w:r>
    <w:r w:rsidRPr="00AE4D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E4DB5" w:rsidRDefault="00AE4DB5" w:rsidP="00AE4DB5">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19-00010  (F)</w:t>
    </w:r>
    <w:r w:rsidR="008B1988">
      <w:rPr>
        <w:sz w:val="20"/>
      </w:rPr>
      <w:t xml:space="preserve">    110219    110219</w:t>
    </w:r>
    <w:r>
      <w:rPr>
        <w:sz w:val="20"/>
      </w:rPr>
      <w:br/>
    </w:r>
    <w:r w:rsidRPr="00AE4DB5">
      <w:rPr>
        <w:rFonts w:ascii="C39T30Lfz" w:hAnsi="C39T30Lfz"/>
        <w:sz w:val="56"/>
      </w:rPr>
      <w:t></w:t>
    </w:r>
    <w:r w:rsidRPr="00AE4DB5">
      <w:rPr>
        <w:rFonts w:ascii="C39T30Lfz" w:hAnsi="C39T30Lfz"/>
        <w:sz w:val="56"/>
      </w:rPr>
      <w:t></w:t>
    </w:r>
    <w:r w:rsidRPr="00AE4DB5">
      <w:rPr>
        <w:rFonts w:ascii="C39T30Lfz" w:hAnsi="C39T30Lfz"/>
        <w:sz w:val="56"/>
      </w:rPr>
      <w:t></w:t>
    </w:r>
    <w:r w:rsidRPr="00AE4DB5">
      <w:rPr>
        <w:rFonts w:ascii="C39T30Lfz" w:hAnsi="C39T30Lfz"/>
        <w:sz w:val="56"/>
      </w:rPr>
      <w:t></w:t>
    </w:r>
    <w:r w:rsidRPr="00AE4DB5">
      <w:rPr>
        <w:rFonts w:ascii="C39T30Lfz" w:hAnsi="C39T30Lfz"/>
        <w:sz w:val="56"/>
      </w:rPr>
      <w:t></w:t>
    </w:r>
    <w:r w:rsidRPr="00AE4DB5">
      <w:rPr>
        <w:rFonts w:ascii="C39T30Lfz" w:hAnsi="C39T30Lfz"/>
        <w:sz w:val="56"/>
      </w:rPr>
      <w:t></w:t>
    </w:r>
    <w:r w:rsidRPr="00AE4DB5">
      <w:rPr>
        <w:rFonts w:ascii="C39T30Lfz" w:hAnsi="C39T30Lfz"/>
        <w:sz w:val="56"/>
      </w:rPr>
      <w:t></w:t>
    </w:r>
    <w:r w:rsidRPr="00AE4DB5">
      <w:rPr>
        <w:rFonts w:ascii="C39T30Lfz" w:hAnsi="C39T30Lfz"/>
        <w:sz w:val="56"/>
      </w:rPr>
      <w:t></w:t>
    </w:r>
    <w:r w:rsidRPr="00AE4DB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96B" w:rsidRPr="00AC3823" w:rsidRDefault="006D496B" w:rsidP="00AC3823">
      <w:pPr>
        <w:pStyle w:val="Footer"/>
        <w:tabs>
          <w:tab w:val="right" w:pos="2155"/>
        </w:tabs>
        <w:spacing w:after="80" w:line="240" w:lineRule="atLeast"/>
        <w:ind w:left="680"/>
        <w:rPr>
          <w:u w:val="single"/>
        </w:rPr>
      </w:pPr>
      <w:r>
        <w:rPr>
          <w:u w:val="single"/>
        </w:rPr>
        <w:tab/>
      </w:r>
    </w:p>
  </w:footnote>
  <w:footnote w:type="continuationSeparator" w:id="0">
    <w:p w:rsidR="006D496B" w:rsidRPr="00AC3823" w:rsidRDefault="006D496B" w:rsidP="00AC3823">
      <w:pPr>
        <w:pStyle w:val="Footer"/>
        <w:tabs>
          <w:tab w:val="right" w:pos="2155"/>
        </w:tabs>
        <w:spacing w:after="80" w:line="240" w:lineRule="atLeast"/>
        <w:ind w:left="680"/>
        <w:rPr>
          <w:u w:val="single"/>
        </w:rPr>
      </w:pPr>
      <w:r>
        <w:rPr>
          <w:u w:val="single"/>
        </w:rPr>
        <w:tab/>
      </w:r>
    </w:p>
  </w:footnote>
  <w:footnote w:type="continuationNotice" w:id="1">
    <w:p w:rsidR="006D496B" w:rsidRPr="00AC3823" w:rsidRDefault="006D496B">
      <w:pPr>
        <w:spacing w:line="240" w:lineRule="auto"/>
        <w:rPr>
          <w:sz w:val="2"/>
          <w:szCs w:val="2"/>
        </w:rPr>
      </w:pPr>
    </w:p>
  </w:footnote>
  <w:footnote w:id="2">
    <w:p w:rsidR="00AE4DB5" w:rsidRPr="00B83364" w:rsidRDefault="00AE4DB5" w:rsidP="00AE4DB5">
      <w:pPr>
        <w:pStyle w:val="FootnoteText"/>
      </w:pPr>
      <w:r w:rsidRPr="00B83364">
        <w:rPr>
          <w:lang w:val="fr-FR"/>
        </w:rPr>
        <w:tab/>
        <w:t>*</w:t>
      </w:r>
      <w:r w:rsidRPr="00B83364">
        <w:rPr>
          <w:lang w:val="fr-FR"/>
        </w:rPr>
        <w:tab/>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B83364">
          <w:rPr>
            <w:rStyle w:val="Hyperlink"/>
            <w:color w:val="auto"/>
            <w:lang w:val="fr-FR"/>
          </w:rPr>
          <w:t>www.unece.org/trans/main/wp29/wp29wgs/wp29grsg/grsgage.html</w:t>
        </w:r>
      </w:hyperlink>
      <w:r w:rsidRPr="00B83364">
        <w:rPr>
          <w:lang w:val="fr-FR"/>
        </w:rPr>
        <w:t>). À titre exceptionnel, ils peuvent également être obtenus par courrier électronique (grsg@unece.org). Durant la session, les documents officiels peuvent être obtenus auprès de la Section de la distribution des documents de l’ONUG (bureau C.337 au 3</w:t>
      </w:r>
      <w:r w:rsidRPr="00B83364">
        <w:rPr>
          <w:vertAlign w:val="superscript"/>
          <w:lang w:val="fr-FR"/>
        </w:rPr>
        <w:t>e</w:t>
      </w:r>
      <w:r w:rsidRPr="00B83364">
        <w:rPr>
          <w:lang w:val="fr-FR"/>
        </w:rPr>
        <w:t> étage du Palais des Nations). Les versions traduites de ces documents sont disponibles en accès public sur le Système de diffusion électronique des documents (SEDOC), à l’adresse</w:t>
      </w:r>
      <w:r w:rsidR="00B83364" w:rsidRPr="00B83364">
        <w:rPr>
          <w:lang w:val="fr-FR"/>
        </w:rPr>
        <w:t xml:space="preserve"> </w:t>
      </w:r>
      <w:hyperlink r:id="rId2" w:history="1">
        <w:r w:rsidR="00B83364" w:rsidRPr="00B83364">
          <w:rPr>
            <w:rStyle w:val="Hyperlink"/>
            <w:color w:val="auto"/>
            <w:lang w:val="fr-FR"/>
          </w:rPr>
          <w:t>http://</w:t>
        </w:r>
        <w:r w:rsidRPr="00B83364">
          <w:rPr>
            <w:rStyle w:val="Hyperlink"/>
            <w:color w:val="auto"/>
            <w:lang w:val="fr-FR"/>
          </w:rPr>
          <w:t>documents.un.org/</w:t>
        </w:r>
      </w:hyperlink>
      <w:r w:rsidRPr="00B83364">
        <w:rPr>
          <w:lang w:val="fr-FR"/>
        </w:rPr>
        <w:t>.</w:t>
      </w:r>
    </w:p>
  </w:footnote>
  <w:footnote w:id="3">
    <w:p w:rsidR="00AE4DB5" w:rsidRPr="00B83364" w:rsidRDefault="00AE4DB5" w:rsidP="00AE4DB5">
      <w:pPr>
        <w:pStyle w:val="FootnoteText"/>
      </w:pPr>
      <w:r w:rsidRPr="00B83364">
        <w:rPr>
          <w:lang w:val="fr-FR"/>
        </w:rPr>
        <w:tab/>
      </w:r>
      <w:r w:rsidRPr="00B83364">
        <w:rPr>
          <w:vertAlign w:val="superscript"/>
          <w:lang w:val="fr-FR"/>
        </w:rPr>
        <w:t>**</w:t>
      </w:r>
      <w:r w:rsidRPr="00B83364">
        <w:rPr>
          <w:lang w:val="fr-FR"/>
        </w:rPr>
        <w:t xml:space="preserve"> </w:t>
      </w:r>
      <w:r w:rsidRPr="00B83364">
        <w:rPr>
          <w:lang w:val="fr-FR"/>
        </w:rPr>
        <w:tab/>
        <w:t>Les représentants sont priés de remplir le formulaire d’inscription disponible sur le site Web de la CEE (</w:t>
      </w:r>
      <w:hyperlink r:id="rId3" w:history="1">
        <w:r w:rsidRPr="00B83364">
          <w:rPr>
            <w:rStyle w:val="Hyperlink"/>
            <w:color w:val="auto"/>
            <w:lang w:val="fr-FR"/>
          </w:rPr>
          <w:t>https://uncdb.unece.org/app/ext/meeting-registration?id=0qoPGK</w:t>
        </w:r>
      </w:hyperlink>
      <w:r w:rsidRPr="00B83364">
        <w:rPr>
          <w:lang w:val="fr-FR"/>
        </w:rPr>
        <w:t xml:space="preserve">). À leur arrivée au Palais des Nations, ils doivent retirer un badge à la Section de la sécurité́ et de la sûreté, située au Portail de Pregny (14, avenue de la Paix). En cas de difficulté, ils sont invités à contacter le secrétariat par téléphone (poste 74323). Un plan du Palais des Nations et d’autres renseignements utiles sont disponibles à l’adresse </w:t>
      </w:r>
      <w:hyperlink r:id="rId4" w:history="1">
        <w:r w:rsidRPr="00B83364">
          <w:rPr>
            <w:rStyle w:val="Hyperlink"/>
            <w:color w:val="auto"/>
            <w:lang w:val="fr-FR"/>
          </w:rPr>
          <w:t>www.unece.org/meetings/practical.html</w:t>
        </w:r>
      </w:hyperlink>
      <w:r w:rsidRPr="00B8336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DB5" w:rsidRPr="00AE4DB5" w:rsidRDefault="00D90539">
    <w:pPr>
      <w:pStyle w:val="Header"/>
    </w:pPr>
    <w:r>
      <w:fldChar w:fldCharType="begin"/>
    </w:r>
    <w:r>
      <w:instrText xml:space="preserve"> TITLE  \* MERGEFORMAT </w:instrText>
    </w:r>
    <w:r>
      <w:fldChar w:fldCharType="separate"/>
    </w:r>
    <w:r w:rsidR="00B83364">
      <w:t>ECE/TRANS/WP.29/GRSG/2019/1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DB5" w:rsidRPr="00AE4DB5" w:rsidRDefault="00D90539" w:rsidP="00AE4DB5">
    <w:pPr>
      <w:pStyle w:val="Header"/>
      <w:jc w:val="right"/>
    </w:pPr>
    <w:r>
      <w:fldChar w:fldCharType="begin"/>
    </w:r>
    <w:r>
      <w:instrText xml:space="preserve"> TITLE  \* MERGEFORMAT </w:instrText>
    </w:r>
    <w:r>
      <w:fldChar w:fldCharType="separate"/>
    </w:r>
    <w:r w:rsidR="00B83364">
      <w:t>ECE/TRANS/WP.29/GRSG/2019/1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6B"/>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95A37"/>
    <w:rsid w:val="004E2EED"/>
    <w:rsid w:val="004E468C"/>
    <w:rsid w:val="005505B7"/>
    <w:rsid w:val="00573BE5"/>
    <w:rsid w:val="00586ED3"/>
    <w:rsid w:val="00596AA9"/>
    <w:rsid w:val="006D496B"/>
    <w:rsid w:val="0071601D"/>
    <w:rsid w:val="007A62E6"/>
    <w:rsid w:val="007F20FA"/>
    <w:rsid w:val="0080684C"/>
    <w:rsid w:val="00871C75"/>
    <w:rsid w:val="008776DC"/>
    <w:rsid w:val="008B1988"/>
    <w:rsid w:val="009446C0"/>
    <w:rsid w:val="009705C8"/>
    <w:rsid w:val="009C1CF4"/>
    <w:rsid w:val="009F6B74"/>
    <w:rsid w:val="00A3029F"/>
    <w:rsid w:val="00A30353"/>
    <w:rsid w:val="00AC3823"/>
    <w:rsid w:val="00AE323C"/>
    <w:rsid w:val="00AE4DB5"/>
    <w:rsid w:val="00AF0CB5"/>
    <w:rsid w:val="00B00181"/>
    <w:rsid w:val="00B00B0D"/>
    <w:rsid w:val="00B45F2E"/>
    <w:rsid w:val="00B765F7"/>
    <w:rsid w:val="00B83364"/>
    <w:rsid w:val="00BA0CA9"/>
    <w:rsid w:val="00C02897"/>
    <w:rsid w:val="00C97039"/>
    <w:rsid w:val="00D3439C"/>
    <w:rsid w:val="00D90539"/>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BFC646-D792-41CE-8D46-0267CF32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0qoPGK" TargetMode="External"/><Relationship Id="rId2" Type="http://schemas.openxmlformats.org/officeDocument/2006/relationships/hyperlink" Target="http://documents.un.org/" TargetMode="External"/><Relationship Id="rId1" Type="http://schemas.openxmlformats.org/officeDocument/2006/relationships/hyperlink" Target="http://www.unece.org/trans/main/wp29/wp29wgs/wp29grsg/grsgage.html" TargetMode="External"/><Relationship Id="rId4" Type="http://schemas.openxmlformats.org/officeDocument/2006/relationships/hyperlink" Target="http://www.unece.org/meetings/pract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ECE/TRANS/WP.29/GRSG/2019/1</vt:lpstr>
      <vt:lpstr/>
    </vt:vector>
  </TitlesOfParts>
  <Company>DCM</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dc:title>
  <dc:subject/>
  <dc:creator>Edith BOURION</dc:creator>
  <cp:keywords/>
  <cp:lastModifiedBy>Benedicte Boudol</cp:lastModifiedBy>
  <cp:revision>2</cp:revision>
  <cp:lastPrinted>2019-02-11T11:04:00Z</cp:lastPrinted>
  <dcterms:created xsi:type="dcterms:W3CDTF">2019-02-11T13:00:00Z</dcterms:created>
  <dcterms:modified xsi:type="dcterms:W3CDTF">2019-02-11T13:00:00Z</dcterms:modified>
</cp:coreProperties>
</file>