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26C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26C5E" w:rsidP="00626C5E">
            <w:pPr>
              <w:jc w:val="right"/>
            </w:pPr>
            <w:r w:rsidRPr="00626C5E">
              <w:rPr>
                <w:sz w:val="40"/>
              </w:rPr>
              <w:t>ECE</w:t>
            </w:r>
            <w:r>
              <w:t>/TRANS/WP.29/GRSG/2019/34</w:t>
            </w:r>
          </w:p>
        </w:tc>
      </w:tr>
      <w:tr w:rsidR="002D5AAC" w:rsidRPr="00626C5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26C5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26C5E" w:rsidRDefault="00626C5E" w:rsidP="00626C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July 2019</w:t>
            </w:r>
          </w:p>
          <w:p w:rsidR="00626C5E" w:rsidRDefault="00626C5E" w:rsidP="00626C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26C5E" w:rsidRPr="008D53B6" w:rsidRDefault="00626C5E" w:rsidP="00626C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626C5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26C5E" w:rsidRPr="007B2A00" w:rsidRDefault="00626C5E" w:rsidP="00626C5E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7B2A00">
        <w:rPr>
          <w:sz w:val="28"/>
          <w:szCs w:val="28"/>
        </w:rPr>
        <w:t>Комитет по внутреннему транспорту</w:t>
      </w:r>
    </w:p>
    <w:p w:rsidR="00626C5E" w:rsidRPr="007B2A00" w:rsidRDefault="00626C5E" w:rsidP="00626C5E">
      <w:pPr>
        <w:pStyle w:val="SingleTxtG"/>
        <w:ind w:left="0"/>
        <w:jc w:val="left"/>
        <w:rPr>
          <w:b/>
          <w:sz w:val="24"/>
          <w:szCs w:val="24"/>
        </w:rPr>
      </w:pPr>
      <w:r w:rsidRPr="007B2A00">
        <w:rPr>
          <w:b/>
          <w:bCs/>
          <w:sz w:val="24"/>
          <w:szCs w:val="24"/>
        </w:rPr>
        <w:t>Всемирный форум для согласования правил</w:t>
      </w:r>
      <w:r w:rsidRPr="007B2A00">
        <w:rPr>
          <w:b/>
          <w:bCs/>
          <w:sz w:val="24"/>
          <w:szCs w:val="24"/>
        </w:rPr>
        <w:br/>
        <w:t>в области транспортных средств</w:t>
      </w:r>
    </w:p>
    <w:p w:rsidR="00626C5E" w:rsidRDefault="00626C5E" w:rsidP="00950ADC">
      <w:pPr>
        <w:spacing w:before="120" w:after="120"/>
        <w:rPr>
          <w:b/>
          <w:bCs/>
        </w:rPr>
      </w:pPr>
      <w:r w:rsidRPr="007B2A00">
        <w:rPr>
          <w:b/>
          <w:bCs/>
        </w:rPr>
        <w:t xml:space="preserve">Рабочая группа по общим предписаниям, </w:t>
      </w:r>
      <w:r w:rsidRPr="007B2A00">
        <w:rPr>
          <w:b/>
          <w:bCs/>
        </w:rPr>
        <w:br/>
        <w:t>касающимся безопасности</w:t>
      </w:r>
    </w:p>
    <w:p w:rsidR="00626C5E" w:rsidRPr="007B2A00" w:rsidRDefault="00626C5E" w:rsidP="00626C5E">
      <w:pPr>
        <w:pStyle w:val="SingleTxtG"/>
        <w:spacing w:after="0"/>
        <w:ind w:left="0"/>
        <w:jc w:val="left"/>
        <w:rPr>
          <w:b/>
        </w:rPr>
      </w:pPr>
      <w:r w:rsidRPr="007B2A00">
        <w:rPr>
          <w:b/>
        </w:rPr>
        <w:t>11</w:t>
      </w:r>
      <w:r>
        <w:rPr>
          <w:b/>
        </w:rPr>
        <w:t>7</w:t>
      </w:r>
      <w:r w:rsidRPr="007B2A00">
        <w:rPr>
          <w:b/>
        </w:rPr>
        <w:t xml:space="preserve">-я </w:t>
      </w:r>
      <w:r w:rsidRPr="007B2A00">
        <w:rPr>
          <w:b/>
          <w:bCs/>
        </w:rPr>
        <w:t>сессия</w:t>
      </w:r>
    </w:p>
    <w:p w:rsidR="00626C5E" w:rsidRPr="007B2A00" w:rsidRDefault="00626C5E" w:rsidP="00626C5E">
      <w:pPr>
        <w:pStyle w:val="SingleTxtG"/>
        <w:spacing w:after="0"/>
        <w:ind w:left="0"/>
        <w:jc w:val="left"/>
      </w:pPr>
      <w:r w:rsidRPr="007B2A00">
        <w:t xml:space="preserve">Женева, </w:t>
      </w:r>
      <w:r>
        <w:t>8</w:t>
      </w:r>
      <w:r>
        <w:rPr>
          <w:lang w:val="en-US"/>
        </w:rPr>
        <w:t>–</w:t>
      </w:r>
      <w:r>
        <w:t>1</w:t>
      </w:r>
      <w:r w:rsidRPr="007B2A00">
        <w:t xml:space="preserve">1 </w:t>
      </w:r>
      <w:r>
        <w:t>октября</w:t>
      </w:r>
      <w:r w:rsidRPr="007B2A00">
        <w:t xml:space="preserve"> 2019 года</w:t>
      </w:r>
    </w:p>
    <w:p w:rsidR="00626C5E" w:rsidRPr="007B2A00" w:rsidRDefault="00626C5E" w:rsidP="00626C5E">
      <w:pPr>
        <w:pStyle w:val="SingleTxtG"/>
        <w:spacing w:after="0"/>
        <w:ind w:left="0"/>
        <w:jc w:val="left"/>
      </w:pPr>
      <w:r w:rsidRPr="007B2A00">
        <w:t>Пункт 3 предварительной повестки дня</w:t>
      </w:r>
    </w:p>
    <w:p w:rsidR="00E12C5F" w:rsidRDefault="00626C5E" w:rsidP="00626C5E">
      <w:r w:rsidRPr="007B2A00">
        <w:rPr>
          <w:b/>
        </w:rPr>
        <w:t xml:space="preserve">Правила № 26 ООН (наружные выступы </w:t>
      </w:r>
      <w:r w:rsidRPr="007B2A00">
        <w:rPr>
          <w:b/>
        </w:rPr>
        <w:br/>
      </w:r>
      <w:r>
        <w:rPr>
          <w:b/>
        </w:rPr>
        <w:t>пассажирских</w:t>
      </w:r>
      <w:r w:rsidRPr="007B2A00">
        <w:rPr>
          <w:b/>
        </w:rPr>
        <w:t xml:space="preserve"> автомобилей)</w:t>
      </w:r>
    </w:p>
    <w:p w:rsidR="00626C5E" w:rsidRPr="007B2A00" w:rsidRDefault="00626C5E" w:rsidP="00626C5E">
      <w:pPr>
        <w:pStyle w:val="HChG"/>
        <w:tabs>
          <w:tab w:val="left" w:pos="8505"/>
        </w:tabs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Предложение</w:t>
      </w:r>
      <w:r w:rsidRPr="007B2A00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7B2A00">
        <w:rPr>
          <w:sz w:val="26"/>
          <w:szCs w:val="26"/>
        </w:rPr>
        <w:t xml:space="preserve"> </w:t>
      </w:r>
      <w:r>
        <w:rPr>
          <w:sz w:val="26"/>
          <w:szCs w:val="26"/>
        </w:rPr>
        <w:t>поправкам</w:t>
      </w:r>
      <w:r w:rsidRPr="007B2A00">
        <w:rPr>
          <w:sz w:val="26"/>
          <w:szCs w:val="26"/>
        </w:rPr>
        <w:t xml:space="preserve"> </w:t>
      </w:r>
      <w:r>
        <w:rPr>
          <w:sz w:val="26"/>
          <w:szCs w:val="26"/>
        </w:rPr>
        <w:t>серии</w:t>
      </w:r>
      <w:r w:rsidRPr="007B2A00">
        <w:rPr>
          <w:sz w:val="26"/>
          <w:szCs w:val="26"/>
        </w:rPr>
        <w:t xml:space="preserve"> 04 </w:t>
      </w:r>
      <w:r>
        <w:rPr>
          <w:sz w:val="26"/>
          <w:szCs w:val="26"/>
        </w:rPr>
        <w:t>к</w:t>
      </w:r>
      <w:r w:rsidRPr="007B2A00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Правилам</w:t>
      </w:r>
      <w:r w:rsidRPr="007B2A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26 ООН </w:t>
      </w:r>
      <w:r w:rsidRPr="007B2A00">
        <w:rPr>
          <w:szCs w:val="28"/>
        </w:rPr>
        <w:t>(</w:t>
      </w:r>
      <w:r w:rsidRPr="007B2A00">
        <w:t>наружные выступы пассажирских автомобилей</w:t>
      </w:r>
      <w:r w:rsidRPr="007B2A00">
        <w:rPr>
          <w:szCs w:val="28"/>
        </w:rPr>
        <w:t>)</w:t>
      </w:r>
    </w:p>
    <w:p w:rsidR="00626C5E" w:rsidRPr="009154E2" w:rsidRDefault="00626C5E" w:rsidP="00626C5E">
      <w:pPr>
        <w:pStyle w:val="H1G"/>
      </w:pPr>
      <w:r>
        <w:tab/>
      </w:r>
      <w:r>
        <w:tab/>
      </w:r>
      <w:r w:rsidRPr="009154E2">
        <w:t>Представлено экспертом от Франции</w:t>
      </w:r>
      <w:r w:rsidRPr="00626C5E">
        <w:rPr>
          <w:b w:val="0"/>
          <w:sz w:val="20"/>
        </w:rPr>
        <w:footnoteReference w:customMarkFollows="1" w:id="1"/>
        <w:t>*</w:t>
      </w:r>
    </w:p>
    <w:p w:rsidR="00626C5E" w:rsidRPr="00180934" w:rsidRDefault="00626C5E" w:rsidP="00626C5E">
      <w:pPr>
        <w:pStyle w:val="SingleTxtG"/>
      </w:pPr>
      <w:r>
        <w:tab/>
      </w:r>
      <w:r>
        <w:tab/>
      </w:r>
      <w:r w:rsidRPr="00180934">
        <w:t>Воспроизведенный ниже текст был подготовлен экспертом от Франции в порядке уточнения содержащихся в Правилах № 26 ООН требований, касающихся стеклоочистителей. В его основу положен документ</w:t>
      </w:r>
      <w:r>
        <w:t xml:space="preserve"> ECE</w:t>
      </w:r>
      <w:r w:rsidRPr="00180934">
        <w:t>/</w:t>
      </w:r>
      <w:r>
        <w:t>TRANS</w:t>
      </w:r>
      <w:r w:rsidRPr="00180934">
        <w:t>/</w:t>
      </w:r>
      <w:r>
        <w:t>WP</w:t>
      </w:r>
      <w:r w:rsidRPr="00180934">
        <w:t>.29/</w:t>
      </w:r>
      <w:r>
        <w:t>GRSG</w:t>
      </w:r>
      <w:r w:rsidRPr="00180934">
        <w:t>/</w:t>
      </w:r>
      <w:r w:rsidRPr="00626C5E">
        <w:t xml:space="preserve"> </w:t>
      </w:r>
      <w:r w:rsidRPr="00180934">
        <w:t>2019/11</w:t>
      </w:r>
      <w:r>
        <w:t xml:space="preserve">, представленный на 116-й сессии </w:t>
      </w:r>
      <w:r w:rsidRPr="00180934">
        <w:t>Рабочей группы по общим предписаниям, касающимся безопасности (</w:t>
      </w:r>
      <w:r w:rsidRPr="00317E6C">
        <w:t>GRSG</w:t>
      </w:r>
      <w:r w:rsidRPr="00180934">
        <w:t>) (см. доклад</w:t>
      </w:r>
      <w:r w:rsidRPr="00317E6C">
        <w:t> ECE</w:t>
      </w:r>
      <w:r w:rsidRPr="00180934">
        <w:t>/</w:t>
      </w:r>
      <w:r w:rsidRPr="00317E6C">
        <w:t>TRANS</w:t>
      </w:r>
      <w:r w:rsidRPr="00180934">
        <w:t>/</w:t>
      </w:r>
      <w:r w:rsidRPr="00317E6C">
        <w:t>WP</w:t>
      </w:r>
      <w:r w:rsidRPr="00180934">
        <w:t>.29/</w:t>
      </w:r>
      <w:r w:rsidRPr="00317E6C">
        <w:t>GRSG</w:t>
      </w:r>
      <w:r w:rsidRPr="00180934">
        <w:t>/9</w:t>
      </w:r>
      <w:r>
        <w:t>5</w:t>
      </w:r>
      <w:r>
        <w:t>, пункт </w:t>
      </w:r>
      <w:r w:rsidRPr="00180934">
        <w:t>1</w:t>
      </w:r>
      <w:r>
        <w:t>4</w:t>
      </w:r>
      <w:r w:rsidRPr="00180934">
        <w:t>). Изменения к действующему тексту Правил № 26 ООН выделены жирным шрифтом в случае новых положений и зачеркиванием в случае исключенных элементов.</w:t>
      </w:r>
    </w:p>
    <w:p w:rsidR="00626C5E" w:rsidRPr="009154E2" w:rsidRDefault="00626C5E" w:rsidP="00626C5E">
      <w:pPr>
        <w:tabs>
          <w:tab w:val="left" w:pos="8505"/>
        </w:tabs>
        <w:ind w:left="1134" w:right="1134" w:firstLine="567"/>
        <w:jc w:val="both"/>
      </w:pPr>
      <w:r w:rsidRPr="009154E2">
        <w:br w:type="page"/>
      </w:r>
    </w:p>
    <w:p w:rsidR="00626C5E" w:rsidRPr="00180934" w:rsidRDefault="00626C5E" w:rsidP="00626C5E">
      <w:pPr>
        <w:pStyle w:val="HChG"/>
      </w:pPr>
      <w:r w:rsidRPr="009154E2">
        <w:lastRenderedPageBreak/>
        <w:tab/>
      </w:r>
      <w:r>
        <w:t>I</w:t>
      </w:r>
      <w:r w:rsidRPr="00180934">
        <w:t>.</w:t>
      </w:r>
      <w:r w:rsidRPr="00180934">
        <w:tab/>
        <w:t xml:space="preserve">Предложение </w:t>
      </w:r>
    </w:p>
    <w:p w:rsidR="00626C5E" w:rsidRPr="00180934" w:rsidRDefault="00626C5E" w:rsidP="00626C5E">
      <w:pPr>
        <w:pStyle w:val="SingleTxtG"/>
      </w:pPr>
      <w:r w:rsidRPr="00180934">
        <w:rPr>
          <w:i/>
        </w:rPr>
        <w:t>Пункты 6.4–6.4.2</w:t>
      </w:r>
      <w:r w:rsidRPr="00180934">
        <w:t xml:space="preserve"> изменить следующим образом:</w:t>
      </w:r>
    </w:p>
    <w:p w:rsidR="00626C5E" w:rsidRPr="00180934" w:rsidRDefault="00626C5E" w:rsidP="00626C5E">
      <w:pPr>
        <w:pStyle w:val="SingleTxtG"/>
        <w:tabs>
          <w:tab w:val="left" w:pos="2268"/>
        </w:tabs>
      </w:pPr>
      <w:r w:rsidRPr="00180934">
        <w:t>«6.4</w:t>
      </w:r>
      <w:r w:rsidRPr="00180934">
        <w:tab/>
        <w:t>Стеклоочистители</w:t>
      </w:r>
    </w:p>
    <w:p w:rsidR="00626C5E" w:rsidRPr="00180934" w:rsidRDefault="00626C5E" w:rsidP="00626C5E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180934">
        <w:t>6.4.1</w:t>
      </w:r>
      <w:r w:rsidRPr="00180934">
        <w:tab/>
        <w:t xml:space="preserve">Крепление щеток стеклоочистителя должно быть таким, чтобы ось щеткодержателя </w:t>
      </w:r>
      <w:r w:rsidRPr="00180934">
        <w:rPr>
          <w:b/>
          <w:bCs/>
        </w:rPr>
        <w:t>(обозначенная цифрой 1 на рис. 0)</w:t>
      </w:r>
      <w:r w:rsidRPr="00180934">
        <w:t xml:space="preserve"> прикрывалась защитным колпачком </w:t>
      </w:r>
      <w:r w:rsidRPr="00180934">
        <w:rPr>
          <w:b/>
        </w:rPr>
        <w:t>(</w:t>
      </w:r>
      <w:r w:rsidRPr="00180934">
        <w:rPr>
          <w:b/>
          <w:bCs/>
        </w:rPr>
        <w:t>цифра 1.1 на рис. 0</w:t>
      </w:r>
      <w:r w:rsidRPr="00180934">
        <w:rPr>
          <w:b/>
        </w:rPr>
        <w:t>)</w:t>
      </w:r>
      <w:r w:rsidRPr="00180934">
        <w:t>, имеющим радиус кривизны, отвечающий требованиям пункта 5.4 выше, и минимальную поверхность не менее 150 мм</w:t>
      </w:r>
      <w:r w:rsidRPr="00180934">
        <w:rPr>
          <w:vertAlign w:val="superscript"/>
        </w:rPr>
        <w:t>2</w:t>
      </w:r>
      <w:r w:rsidRPr="00180934">
        <w:t xml:space="preserve">. </w:t>
      </w:r>
      <w:r w:rsidRPr="00180934">
        <w:rPr>
          <w:b/>
        </w:rPr>
        <w:t>Элементы держателя (направляющая</w:t>
      </w:r>
      <w:r>
        <w:rPr>
          <w:b/>
        </w:rPr>
        <w:t xml:space="preserve"> и</w:t>
      </w:r>
      <w:r w:rsidRPr="00180934">
        <w:rPr>
          <w:b/>
        </w:rPr>
        <w:t xml:space="preserve"> основной рычаг, </w:t>
      </w:r>
      <w:r w:rsidRPr="00180934">
        <w:rPr>
          <w:b/>
          <w:bCs/>
        </w:rPr>
        <w:t>т.</w:t>
      </w:r>
      <w:r>
        <w:rPr>
          <w:b/>
          <w:bCs/>
        </w:rPr>
        <w:t> </w:t>
      </w:r>
      <w:r w:rsidRPr="00180934">
        <w:rPr>
          <w:b/>
          <w:bCs/>
        </w:rPr>
        <w:t>е.</w:t>
      </w:r>
      <w:r w:rsidRPr="00180934">
        <w:rPr>
          <w:b/>
        </w:rPr>
        <w:t xml:space="preserve"> </w:t>
      </w:r>
      <w:r w:rsidRPr="00180934">
        <w:rPr>
          <w:b/>
          <w:bCs/>
        </w:rPr>
        <w:t xml:space="preserve">цифры </w:t>
      </w:r>
      <w:r w:rsidRPr="00180934">
        <w:rPr>
          <w:b/>
        </w:rPr>
        <w:t xml:space="preserve">2, 2.1 </w:t>
      </w:r>
      <w:r w:rsidRPr="00180934">
        <w:rPr>
          <w:b/>
          <w:bCs/>
        </w:rPr>
        <w:t>на рис. 0</w:t>
      </w:r>
      <w:r w:rsidRPr="00180934">
        <w:rPr>
          <w:b/>
        </w:rPr>
        <w:t>) рассчитаны на радиус кривизны, отвечающий требованиям пункта</w:t>
      </w:r>
      <w:r>
        <w:rPr>
          <w:b/>
        </w:rPr>
        <w:t> </w:t>
      </w:r>
      <w:r w:rsidRPr="00180934">
        <w:rPr>
          <w:b/>
        </w:rPr>
        <w:t xml:space="preserve">5.4 выше. </w:t>
      </w:r>
      <w:r w:rsidRPr="00180934">
        <w:t>В случае закругленных покрытий их минимальная выступающая площадь</w:t>
      </w:r>
      <w:r>
        <w:t xml:space="preserve">, </w:t>
      </w:r>
      <w:r w:rsidRPr="00180934">
        <w:t>замеренная на расстоянии не более 6,5 мм от наиболее выступающей точки</w:t>
      </w:r>
      <w:r>
        <w:t>,</w:t>
      </w:r>
      <w:r w:rsidRPr="00180934">
        <w:t xml:space="preserve"> должна составлять 150 мм</w:t>
      </w:r>
      <w:r w:rsidRPr="00180934">
        <w:rPr>
          <w:vertAlign w:val="superscript"/>
        </w:rPr>
        <w:t>2</w:t>
      </w:r>
      <w:r w:rsidRPr="00180934">
        <w:t>. Эти требования должны соблюдаться также в отношении стеклоочистителей задних окон и фар.</w:t>
      </w:r>
    </w:p>
    <w:p w:rsidR="00626C5E" w:rsidRPr="00180934" w:rsidRDefault="00626C5E" w:rsidP="00626C5E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bookmarkStart w:id="0" w:name="A0_S6_4_2_"/>
      <w:r w:rsidRPr="00180934">
        <w:t>6.4.2</w:t>
      </w:r>
      <w:bookmarkEnd w:id="0"/>
      <w:r w:rsidRPr="00180934">
        <w:tab/>
        <w:t xml:space="preserve">Положения пункта 5.4 не применяются к щеткам </w:t>
      </w:r>
      <w:r w:rsidRPr="00180934">
        <w:rPr>
          <w:b/>
          <w:bCs/>
        </w:rPr>
        <w:t>(цифра 4 на рис.</w:t>
      </w:r>
      <w:r w:rsidRPr="00317E6C">
        <w:rPr>
          <w:b/>
          <w:bCs/>
        </w:rPr>
        <w:t> </w:t>
      </w:r>
      <w:r w:rsidRPr="00180934">
        <w:rPr>
          <w:b/>
          <w:bCs/>
        </w:rPr>
        <w:t>0),</w:t>
      </w:r>
      <w:r w:rsidRPr="00180934">
        <w:t xml:space="preserve"> </w:t>
      </w:r>
      <w:r w:rsidRPr="00180934">
        <w:rPr>
          <w:strike/>
        </w:rPr>
        <w:t>или</w:t>
      </w:r>
      <w:r>
        <w:rPr>
          <w:strike/>
        </w:rPr>
        <w:t> </w:t>
      </w:r>
      <w:r w:rsidRPr="00180934">
        <w:rPr>
          <w:strike/>
        </w:rPr>
        <w:t>любым</w:t>
      </w:r>
      <w:r w:rsidRPr="00180934">
        <w:t xml:space="preserve"> опорным деталям </w:t>
      </w:r>
      <w:r w:rsidRPr="00180934">
        <w:rPr>
          <w:b/>
        </w:rPr>
        <w:t>(цифр</w:t>
      </w:r>
      <w:r>
        <w:rPr>
          <w:b/>
        </w:rPr>
        <w:t>а</w:t>
      </w:r>
      <w:r w:rsidRPr="00180934">
        <w:rPr>
          <w:b/>
        </w:rPr>
        <w:t xml:space="preserve"> 3 </w:t>
      </w:r>
      <w:r w:rsidRPr="00180934">
        <w:rPr>
          <w:b/>
          <w:bCs/>
        </w:rPr>
        <w:t>на рис. 0</w:t>
      </w:r>
      <w:r w:rsidRPr="00180934">
        <w:rPr>
          <w:b/>
        </w:rPr>
        <w:t xml:space="preserve">), </w:t>
      </w:r>
      <w:r>
        <w:rPr>
          <w:b/>
        </w:rPr>
        <w:t>если</w:t>
      </w:r>
      <w:r w:rsidRPr="00180934">
        <w:rPr>
          <w:b/>
        </w:rPr>
        <w:t xml:space="preserve"> </w:t>
      </w:r>
      <w:r>
        <w:rPr>
          <w:b/>
        </w:rPr>
        <w:t>они</w:t>
      </w:r>
      <w:r w:rsidRPr="00180934">
        <w:rPr>
          <w:b/>
        </w:rPr>
        <w:t xml:space="preserve"> </w:t>
      </w:r>
      <w:r>
        <w:rPr>
          <w:b/>
        </w:rPr>
        <w:t>имеются</w:t>
      </w:r>
      <w:r w:rsidRPr="00180934">
        <w:rPr>
          <w:b/>
        </w:rPr>
        <w:t xml:space="preserve">, </w:t>
      </w:r>
      <w:r>
        <w:rPr>
          <w:b/>
        </w:rPr>
        <w:t>ко</w:t>
      </w:r>
      <w:r w:rsidRPr="00180934">
        <w:rPr>
          <w:b/>
        </w:rPr>
        <w:t xml:space="preserve"> </w:t>
      </w:r>
      <w:r>
        <w:rPr>
          <w:b/>
        </w:rPr>
        <w:t>второму</w:t>
      </w:r>
      <w:r w:rsidRPr="00180934">
        <w:rPr>
          <w:b/>
        </w:rPr>
        <w:t xml:space="preserve"> </w:t>
      </w:r>
      <w:r>
        <w:rPr>
          <w:b/>
        </w:rPr>
        <w:t xml:space="preserve">рычагу держателя </w:t>
      </w:r>
      <w:r w:rsidRPr="00A556E8">
        <w:rPr>
          <w:b/>
          <w:bCs/>
        </w:rPr>
        <w:t>(</w:t>
      </w:r>
      <w:r>
        <w:rPr>
          <w:b/>
          <w:bCs/>
        </w:rPr>
        <w:t>цифра</w:t>
      </w:r>
      <w:r w:rsidRPr="00A556E8">
        <w:rPr>
          <w:b/>
          <w:bCs/>
        </w:rPr>
        <w:t xml:space="preserve"> 2.2 </w:t>
      </w:r>
      <w:r>
        <w:rPr>
          <w:b/>
          <w:bCs/>
        </w:rPr>
        <w:t>на</w:t>
      </w:r>
      <w:r w:rsidRPr="00A556E8">
        <w:rPr>
          <w:b/>
          <w:bCs/>
        </w:rPr>
        <w:t xml:space="preserve"> </w:t>
      </w:r>
      <w:r>
        <w:rPr>
          <w:b/>
          <w:bCs/>
        </w:rPr>
        <w:t>рис</w:t>
      </w:r>
      <w:r w:rsidRPr="00A556E8">
        <w:rPr>
          <w:b/>
          <w:bCs/>
        </w:rPr>
        <w:t xml:space="preserve">. 0), </w:t>
      </w:r>
      <w:r>
        <w:rPr>
          <w:b/>
          <w:bCs/>
        </w:rPr>
        <w:t>если</w:t>
      </w:r>
      <w:r w:rsidRPr="00A556E8">
        <w:rPr>
          <w:b/>
          <w:bCs/>
        </w:rPr>
        <w:t xml:space="preserve"> </w:t>
      </w:r>
      <w:r>
        <w:rPr>
          <w:b/>
          <w:bCs/>
        </w:rPr>
        <w:t>он</w:t>
      </w:r>
      <w:r w:rsidRPr="00A556E8">
        <w:rPr>
          <w:b/>
          <w:bCs/>
        </w:rPr>
        <w:t xml:space="preserve"> </w:t>
      </w:r>
      <w:r>
        <w:rPr>
          <w:b/>
          <w:bCs/>
        </w:rPr>
        <w:t>имеется</w:t>
      </w:r>
      <w:r w:rsidRPr="00A556E8">
        <w:rPr>
          <w:b/>
          <w:bCs/>
        </w:rPr>
        <w:t>,</w:t>
      </w:r>
      <w:r w:rsidRPr="00A556E8">
        <w:rPr>
          <w:b/>
        </w:rPr>
        <w:t xml:space="preserve"> функциональному шарниру между направляющей держателя и рычагом держателя (</w:t>
      </w:r>
      <w:r>
        <w:rPr>
          <w:b/>
        </w:rPr>
        <w:t>цифра</w:t>
      </w:r>
      <w:r w:rsidRPr="00A556E8">
        <w:rPr>
          <w:b/>
        </w:rPr>
        <w:t xml:space="preserve"> 5 </w:t>
      </w:r>
      <w:r>
        <w:rPr>
          <w:b/>
        </w:rPr>
        <w:t>на</w:t>
      </w:r>
      <w:r w:rsidRPr="00A556E8">
        <w:rPr>
          <w:b/>
        </w:rPr>
        <w:t xml:space="preserve"> </w:t>
      </w:r>
      <w:r>
        <w:rPr>
          <w:b/>
        </w:rPr>
        <w:t>рис</w:t>
      </w:r>
      <w:r w:rsidRPr="00A556E8">
        <w:rPr>
          <w:b/>
        </w:rPr>
        <w:t xml:space="preserve">. 0), </w:t>
      </w:r>
      <w:r>
        <w:rPr>
          <w:b/>
        </w:rPr>
        <w:t>если</w:t>
      </w:r>
      <w:r w:rsidRPr="00A556E8">
        <w:rPr>
          <w:b/>
        </w:rPr>
        <w:t xml:space="preserve"> </w:t>
      </w:r>
      <w:r>
        <w:rPr>
          <w:b/>
        </w:rPr>
        <w:t>он</w:t>
      </w:r>
      <w:r w:rsidRPr="00A556E8">
        <w:rPr>
          <w:b/>
        </w:rPr>
        <w:t xml:space="preserve"> </w:t>
      </w:r>
      <w:r>
        <w:rPr>
          <w:b/>
        </w:rPr>
        <w:t>имеется</w:t>
      </w:r>
      <w:r w:rsidRPr="00A556E8">
        <w:rPr>
          <w:b/>
        </w:rPr>
        <w:t xml:space="preserve">, </w:t>
      </w:r>
      <w:r>
        <w:rPr>
          <w:b/>
        </w:rPr>
        <w:t>или</w:t>
      </w:r>
      <w:r w:rsidRPr="00A556E8">
        <w:rPr>
          <w:b/>
        </w:rPr>
        <w:t xml:space="preserve"> </w:t>
      </w:r>
      <w:r>
        <w:rPr>
          <w:b/>
        </w:rPr>
        <w:t>к</w:t>
      </w:r>
      <w:r w:rsidRPr="00A556E8">
        <w:rPr>
          <w:b/>
        </w:rPr>
        <w:t xml:space="preserve"> </w:t>
      </w:r>
      <w:bookmarkStart w:id="1" w:name="OLE_LINK9"/>
      <w:bookmarkStart w:id="2" w:name="OLE_LINK10"/>
      <w:r>
        <w:rPr>
          <w:b/>
        </w:rPr>
        <w:t xml:space="preserve">соединению между основным и вторым рычагом держателя </w:t>
      </w:r>
      <w:bookmarkEnd w:id="1"/>
      <w:bookmarkEnd w:id="2"/>
      <w:r w:rsidR="00950ADC">
        <w:rPr>
          <w:b/>
        </w:rPr>
        <w:t>(цифра </w:t>
      </w:r>
      <w:r>
        <w:rPr>
          <w:b/>
        </w:rPr>
        <w:t xml:space="preserve">6 на рис. </w:t>
      </w:r>
      <w:r w:rsidRPr="00A556E8">
        <w:rPr>
          <w:b/>
        </w:rPr>
        <w:t>0)</w:t>
      </w:r>
      <w:r>
        <w:rPr>
          <w:b/>
        </w:rPr>
        <w:t>, если оно имеется</w:t>
      </w:r>
      <w:r w:rsidRPr="00A556E8">
        <w:t xml:space="preserve">. </w:t>
      </w:r>
      <w:r>
        <w:t>Вместе с тем</w:t>
      </w:r>
      <w:r w:rsidRPr="00180934">
        <w:t xml:space="preserve"> эти элементы не должны иметь острых углов и остроконечных или режущих частей.</w:t>
      </w:r>
    </w:p>
    <w:p w:rsidR="00626C5E" w:rsidRPr="001D4C7F" w:rsidRDefault="00626C5E" w:rsidP="00950ADC">
      <w:pPr>
        <w:pStyle w:val="H23G"/>
        <w:jc w:val="center"/>
      </w:pPr>
      <w:r w:rsidRPr="001D4C7F">
        <w:rPr>
          <w:bCs/>
        </w:rPr>
        <w:t>Рис.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1F2C25C" wp14:editId="19171AA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66690" cy="3507105"/>
            <wp:effectExtent l="0" t="0" r="0" b="0"/>
            <wp:wrapTopAndBottom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50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C7F">
        <w:t xml:space="preserve"> 0 </w:t>
      </w:r>
      <w:r w:rsidR="00950ADC">
        <w:t xml:space="preserve">– </w:t>
      </w:r>
      <w:r>
        <w:t>Примерное распределение элементов</w:t>
      </w:r>
    </w:p>
    <w:p w:rsidR="00626C5E" w:rsidRPr="00626C5E" w:rsidRDefault="00626C5E" w:rsidP="00626C5E">
      <w:pPr>
        <w:pStyle w:val="SingleTxtG"/>
        <w:spacing w:after="0"/>
        <w:rPr>
          <w:b/>
        </w:rPr>
      </w:pPr>
      <w:r w:rsidRPr="00626C5E">
        <w:rPr>
          <w:b/>
        </w:rPr>
        <w:t>1 – ось щеткодержателя</w:t>
      </w:r>
    </w:p>
    <w:p w:rsidR="00626C5E" w:rsidRPr="00626C5E" w:rsidRDefault="00626C5E" w:rsidP="00626C5E">
      <w:pPr>
        <w:pStyle w:val="SingleTxtG"/>
        <w:spacing w:after="0"/>
        <w:rPr>
          <w:b/>
        </w:rPr>
      </w:pPr>
      <w:r w:rsidRPr="00626C5E">
        <w:rPr>
          <w:b/>
        </w:rPr>
        <w:t>1.1 – защитный колпачок</w:t>
      </w:r>
    </w:p>
    <w:p w:rsidR="00626C5E" w:rsidRPr="00626C5E" w:rsidRDefault="00626C5E" w:rsidP="00626C5E">
      <w:pPr>
        <w:pStyle w:val="SingleTxtG"/>
        <w:spacing w:after="0"/>
        <w:rPr>
          <w:b/>
        </w:rPr>
      </w:pPr>
      <w:r w:rsidRPr="00626C5E">
        <w:rPr>
          <w:b/>
        </w:rPr>
        <w:t>2 – направляющая держателя</w:t>
      </w:r>
    </w:p>
    <w:p w:rsidR="00626C5E" w:rsidRPr="00626C5E" w:rsidRDefault="00626C5E" w:rsidP="00626C5E">
      <w:pPr>
        <w:pStyle w:val="SingleTxtG"/>
        <w:spacing w:after="0"/>
        <w:rPr>
          <w:b/>
        </w:rPr>
      </w:pPr>
      <w:r w:rsidRPr="00626C5E">
        <w:rPr>
          <w:b/>
        </w:rPr>
        <w:t>2.1 – основной рычаг держателя</w:t>
      </w:r>
    </w:p>
    <w:p w:rsidR="00626C5E" w:rsidRPr="00626C5E" w:rsidRDefault="00626C5E" w:rsidP="00626C5E">
      <w:pPr>
        <w:pStyle w:val="SingleTxtG"/>
        <w:spacing w:after="0"/>
        <w:rPr>
          <w:b/>
        </w:rPr>
      </w:pPr>
      <w:r w:rsidRPr="00626C5E">
        <w:rPr>
          <w:b/>
        </w:rPr>
        <w:t>2.2 – второй рычаг держателя</w:t>
      </w:r>
    </w:p>
    <w:p w:rsidR="00626C5E" w:rsidRPr="00626C5E" w:rsidRDefault="00626C5E" w:rsidP="00626C5E">
      <w:pPr>
        <w:pStyle w:val="SingleTxtG"/>
        <w:spacing w:after="0"/>
        <w:rPr>
          <w:b/>
        </w:rPr>
      </w:pPr>
      <w:r w:rsidRPr="00626C5E">
        <w:rPr>
          <w:b/>
        </w:rPr>
        <w:t>3 – опорные детали</w:t>
      </w:r>
    </w:p>
    <w:p w:rsidR="00626C5E" w:rsidRPr="00626C5E" w:rsidRDefault="00626C5E" w:rsidP="00626C5E">
      <w:pPr>
        <w:pStyle w:val="SingleTxtG"/>
        <w:spacing w:after="0"/>
        <w:rPr>
          <w:b/>
        </w:rPr>
      </w:pPr>
      <w:r w:rsidRPr="00626C5E">
        <w:rPr>
          <w:b/>
        </w:rPr>
        <w:t>4 – щетки стеклоочистителя</w:t>
      </w:r>
    </w:p>
    <w:p w:rsidR="00626C5E" w:rsidRPr="00626C5E" w:rsidRDefault="00626C5E" w:rsidP="00626C5E">
      <w:pPr>
        <w:pStyle w:val="SingleTxtG"/>
        <w:spacing w:after="0"/>
        <w:rPr>
          <w:b/>
        </w:rPr>
      </w:pPr>
      <w:r w:rsidRPr="00626C5E">
        <w:rPr>
          <w:b/>
        </w:rPr>
        <w:t>5 – функциональн</w:t>
      </w:r>
      <w:r w:rsidR="00950ADC">
        <w:rPr>
          <w:b/>
        </w:rPr>
        <w:t xml:space="preserve">ый </w:t>
      </w:r>
      <w:r w:rsidRPr="00626C5E">
        <w:rPr>
          <w:b/>
        </w:rPr>
        <w:t>шарнир</w:t>
      </w:r>
    </w:p>
    <w:p w:rsidR="00626C5E" w:rsidRPr="00626C5E" w:rsidRDefault="00626C5E" w:rsidP="00626C5E">
      <w:pPr>
        <w:pStyle w:val="SingleTxtG"/>
        <w:spacing w:after="0"/>
        <w:rPr>
          <w:b/>
        </w:rPr>
      </w:pPr>
      <w:r w:rsidRPr="00626C5E">
        <w:rPr>
          <w:b/>
        </w:rPr>
        <w:t>6 – соединение между основным и вторым рычагом держателя</w:t>
      </w:r>
      <w:r w:rsidRPr="00626C5E">
        <w:t>»</w:t>
      </w:r>
    </w:p>
    <w:p w:rsidR="00626C5E" w:rsidRPr="007B35DB" w:rsidRDefault="00626C5E" w:rsidP="00626C5E">
      <w:pPr>
        <w:keepNext/>
        <w:tabs>
          <w:tab w:val="left" w:pos="2268"/>
        </w:tabs>
        <w:spacing w:after="120" w:line="240" w:lineRule="auto"/>
        <w:ind w:left="2268" w:right="1134" w:hanging="1134"/>
        <w:jc w:val="both"/>
      </w:pPr>
      <w:r>
        <w:rPr>
          <w:i/>
        </w:rPr>
        <w:lastRenderedPageBreak/>
        <w:t xml:space="preserve">Включить новые пункты </w:t>
      </w:r>
      <w:r w:rsidRPr="007B35DB">
        <w:rPr>
          <w:i/>
        </w:rPr>
        <w:t>12.8</w:t>
      </w:r>
      <w:r w:rsidR="00950ADC">
        <w:rPr>
          <w:i/>
        </w:rPr>
        <w:t>–</w:t>
      </w:r>
      <w:r w:rsidRPr="007B35DB">
        <w:rPr>
          <w:i/>
        </w:rPr>
        <w:t>12.10</w:t>
      </w:r>
      <w:r>
        <w:rPr>
          <w:i/>
        </w:rPr>
        <w:t xml:space="preserve"> </w:t>
      </w:r>
      <w:r>
        <w:rPr>
          <w:iCs/>
        </w:rPr>
        <w:t>следующего содержания</w:t>
      </w:r>
      <w:r w:rsidRPr="007B35DB">
        <w:t>:</w:t>
      </w:r>
    </w:p>
    <w:p w:rsidR="00626C5E" w:rsidRPr="00626C5E" w:rsidRDefault="00626C5E" w:rsidP="00626C5E">
      <w:pPr>
        <w:pStyle w:val="SingleTxtG"/>
        <w:ind w:left="2268" w:hanging="1134"/>
        <w:rPr>
          <w:b/>
          <w:bCs/>
          <w:color w:val="000000"/>
        </w:rPr>
      </w:pPr>
      <w:r w:rsidRPr="00950ADC">
        <w:rPr>
          <w:bCs/>
          <w:color w:val="000000"/>
        </w:rPr>
        <w:t>«</w:t>
      </w:r>
      <w:r w:rsidRPr="00626C5E">
        <w:rPr>
          <w:b/>
          <w:bCs/>
          <w:color w:val="000000"/>
        </w:rPr>
        <w:t>12.8</w:t>
      </w:r>
      <w:r w:rsidRPr="00626C5E">
        <w:rPr>
          <w:b/>
          <w:bCs/>
          <w:color w:val="000000"/>
        </w:rPr>
        <w:tab/>
      </w:r>
      <w:r w:rsidRPr="00626C5E">
        <w:rPr>
          <w:b/>
          <w:bCs/>
          <w:color w:val="000000"/>
        </w:rPr>
        <w:tab/>
      </w:r>
      <w:r w:rsidRPr="00626C5E">
        <w:rPr>
          <w:b/>
        </w:rPr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официального утверждения на основании настоящих Правил с внесенными поправками серии 04</w:t>
      </w:r>
      <w:r w:rsidRPr="00626C5E">
        <w:rPr>
          <w:b/>
          <w:bCs/>
        </w:rPr>
        <w:t>.</w:t>
      </w:r>
      <w:r w:rsidRPr="00626C5E">
        <w:rPr>
          <w:b/>
          <w:bCs/>
          <w:color w:val="000000"/>
        </w:rPr>
        <w:t xml:space="preserve"> </w:t>
      </w:r>
    </w:p>
    <w:p w:rsidR="00626C5E" w:rsidRDefault="00626C5E" w:rsidP="00626C5E">
      <w:pPr>
        <w:pStyle w:val="SingleTxtG"/>
        <w:ind w:left="2268" w:hanging="1134"/>
        <w:rPr>
          <w:b/>
          <w:bCs/>
          <w:color w:val="000000"/>
        </w:rPr>
      </w:pPr>
      <w:bookmarkStart w:id="3" w:name="A0_S12_5_"/>
      <w:bookmarkEnd w:id="3"/>
      <w:r w:rsidRPr="007B35DB">
        <w:rPr>
          <w:b/>
          <w:bCs/>
          <w:color w:val="000000"/>
        </w:rPr>
        <w:t>12.9</w:t>
      </w:r>
      <w:r w:rsidRPr="007B35DB">
        <w:rPr>
          <w:b/>
          <w:bCs/>
          <w:color w:val="000000"/>
        </w:rPr>
        <w:tab/>
      </w:r>
      <w:r w:rsidRPr="007B35DB">
        <w:rPr>
          <w:b/>
          <w:bCs/>
        </w:rPr>
        <w:t>По истечении 24 месяцев после даты вступления в силу поправок серии 0</w:t>
      </w:r>
      <w:r>
        <w:rPr>
          <w:b/>
          <w:bCs/>
        </w:rPr>
        <w:t>4</w:t>
      </w:r>
      <w:r w:rsidRPr="007B35DB">
        <w:rPr>
          <w:b/>
          <w:bCs/>
        </w:rPr>
        <w:t xml:space="preserve"> Договаривающиеся стороны, применяющие настоящие Правила, предоставляют официальные утверждения только в том случае, если тип транспортного средства, подлежащий официальному утверждению, соответствует требованиям настоящих Правил с внесенными в них поправками серии 0</w:t>
      </w:r>
      <w:r>
        <w:rPr>
          <w:b/>
          <w:bCs/>
        </w:rPr>
        <w:t>4.</w:t>
      </w:r>
      <w:r w:rsidRPr="007B35DB">
        <w:rPr>
          <w:b/>
          <w:bCs/>
          <w:color w:val="000000"/>
        </w:rPr>
        <w:t xml:space="preserve"> </w:t>
      </w:r>
    </w:p>
    <w:p w:rsidR="00626C5E" w:rsidRDefault="00626C5E" w:rsidP="00626C5E">
      <w:pPr>
        <w:pStyle w:val="SingleTxtG"/>
        <w:ind w:left="2268" w:hanging="1134"/>
        <w:rPr>
          <w:b/>
          <w:bCs/>
          <w:color w:val="000000"/>
        </w:rPr>
      </w:pPr>
      <w:bookmarkStart w:id="4" w:name="A0_S12_6_"/>
      <w:bookmarkEnd w:id="4"/>
      <w:r w:rsidRPr="007B35DB">
        <w:rPr>
          <w:b/>
          <w:bCs/>
          <w:color w:val="000000"/>
        </w:rPr>
        <w:t>12.10</w:t>
      </w:r>
      <w:r w:rsidRPr="007B35DB">
        <w:rPr>
          <w:b/>
          <w:bCs/>
          <w:color w:val="000000"/>
        </w:rPr>
        <w:tab/>
      </w:r>
      <w:r w:rsidRPr="007B35DB">
        <w:rPr>
          <w:b/>
          <w:bCs/>
        </w:rPr>
        <w:t xml:space="preserve">По истечении </w:t>
      </w:r>
      <w:r>
        <w:rPr>
          <w:b/>
          <w:bCs/>
        </w:rPr>
        <w:t>36</w:t>
      </w:r>
      <w:r w:rsidRPr="007B35DB">
        <w:rPr>
          <w:b/>
          <w:bCs/>
        </w:rPr>
        <w:t xml:space="preserve"> месяцев после вступления в силу поправок серии 0</w:t>
      </w:r>
      <w:r>
        <w:rPr>
          <w:b/>
          <w:bCs/>
        </w:rPr>
        <w:t>4</w:t>
      </w:r>
      <w:r w:rsidRPr="007B35DB">
        <w:rPr>
          <w:b/>
          <w:bCs/>
        </w:rPr>
        <w:t xml:space="preserve"> к настоящим Правилам Договаривающиеся стороны, применяющие настоящие Правила, могут отказывать в признании первоначальной национальной регистрации (первоначального ввода в эксплуатацию) транспортного средства, котор</w:t>
      </w:r>
      <w:r>
        <w:rPr>
          <w:b/>
          <w:bCs/>
        </w:rPr>
        <w:t>о</w:t>
      </w:r>
      <w:r w:rsidRPr="007B35DB">
        <w:rPr>
          <w:b/>
          <w:bCs/>
        </w:rPr>
        <w:t>е не удовлетворя</w:t>
      </w:r>
      <w:r>
        <w:rPr>
          <w:b/>
          <w:bCs/>
        </w:rPr>
        <w:t>е</w:t>
      </w:r>
      <w:r w:rsidRPr="007B35DB">
        <w:rPr>
          <w:b/>
          <w:bCs/>
        </w:rPr>
        <w:t>т требованиям поправок серии 0</w:t>
      </w:r>
      <w:r>
        <w:rPr>
          <w:b/>
          <w:bCs/>
        </w:rPr>
        <w:t>4</w:t>
      </w:r>
      <w:r w:rsidRPr="007B35DB">
        <w:rPr>
          <w:b/>
          <w:bCs/>
        </w:rPr>
        <w:t xml:space="preserve"> к настоящим Правилам.</w:t>
      </w:r>
      <w:r w:rsidRPr="00626C5E">
        <w:rPr>
          <w:bCs/>
          <w:color w:val="000000"/>
        </w:rPr>
        <w:t>»</w:t>
      </w:r>
      <w:r>
        <w:rPr>
          <w:bCs/>
          <w:color w:val="000000"/>
        </w:rPr>
        <w:t>.</w:t>
      </w:r>
    </w:p>
    <w:p w:rsidR="00626C5E" w:rsidRPr="006F6664" w:rsidRDefault="00626C5E" w:rsidP="00626C5E">
      <w:pPr>
        <w:pStyle w:val="HChG"/>
      </w:pPr>
      <w:r w:rsidRPr="009154E2">
        <w:tab/>
      </w:r>
      <w:r>
        <w:t>II.</w:t>
      </w:r>
      <w:r>
        <w:tab/>
        <w:t>Обоснование</w:t>
      </w:r>
    </w:p>
    <w:p w:rsidR="00626C5E" w:rsidRPr="008019F0" w:rsidRDefault="00626C5E" w:rsidP="00626C5E">
      <w:pPr>
        <w:pStyle w:val="SingleTxtG"/>
      </w:pPr>
      <w:r w:rsidRPr="008019F0">
        <w:t>1.</w:t>
      </w:r>
      <w:r w:rsidRPr="008019F0">
        <w:tab/>
      </w:r>
      <w:r w:rsidRPr="00DD0869">
        <w:t xml:space="preserve">Несмотря на то, что данные о ДТП не позволяют произвести оценку этих слишком конкретных аспектов элементов стеклоочистителей, необходимо, по-видимому, напомнить о первоначальных целях настоящих Правил, </w:t>
      </w:r>
      <w:r>
        <w:t>охарактеризованных</w:t>
      </w:r>
      <w:r w:rsidRPr="00DD0869">
        <w:t xml:space="preserve"> в пунктах, в которых излагаются следующие требования, касающиеся стеклоочистителей:</w:t>
      </w:r>
    </w:p>
    <w:p w:rsidR="00626C5E" w:rsidRPr="009154E2" w:rsidRDefault="00626C5E" w:rsidP="00626C5E">
      <w:pPr>
        <w:pStyle w:val="SingleTxtG"/>
        <w:rPr>
          <w:i/>
        </w:rPr>
      </w:pPr>
      <w:r>
        <w:rPr>
          <w:i/>
        </w:rPr>
        <w:t>«</w:t>
      </w:r>
      <w:r w:rsidRPr="009154E2">
        <w:rPr>
          <w:i/>
          <w:iCs/>
        </w:rPr>
        <w:t>Цель настоящих Правил заключается в уменьшении опасности или тяжести телесных повреждений, наносимых в результате прямого или скользящего удара о транспортное средство в случае столкновения с ним</w:t>
      </w:r>
      <w:r>
        <w:rPr>
          <w:i/>
        </w:rPr>
        <w:t xml:space="preserve"> </w:t>
      </w:r>
      <w:r w:rsidRPr="009154E2">
        <w:rPr>
          <w:i/>
        </w:rPr>
        <w:t>[…]. (</w:t>
      </w:r>
      <w:r>
        <w:rPr>
          <w:i/>
        </w:rPr>
        <w:t>пункт</w:t>
      </w:r>
      <w:r w:rsidRPr="009154E2">
        <w:rPr>
          <w:i/>
        </w:rPr>
        <w:t xml:space="preserve"> 1.2.)</w:t>
      </w:r>
    </w:p>
    <w:p w:rsidR="00626C5E" w:rsidRPr="009154E2" w:rsidRDefault="00626C5E" w:rsidP="00626C5E">
      <w:pPr>
        <w:pStyle w:val="SingleTxtG"/>
        <w:rPr>
          <w:i/>
        </w:rPr>
      </w:pPr>
      <w:r w:rsidRPr="009154E2">
        <w:rPr>
          <w:i/>
          <w:iCs/>
        </w:rPr>
        <w:t xml:space="preserve">Наружная поверхность транспортного средства не должна иметь выступающих наружу остроконечных или режущих </w:t>
      </w:r>
      <w:proofErr w:type="gramStart"/>
      <w:r w:rsidRPr="009154E2">
        <w:rPr>
          <w:i/>
          <w:iCs/>
        </w:rPr>
        <w:t>частей</w:t>
      </w:r>
      <w:proofErr w:type="gramEnd"/>
      <w:r w:rsidRPr="009154E2">
        <w:rPr>
          <w:i/>
          <w:iCs/>
        </w:rPr>
        <w:t xml:space="preserve"> или выступов, которые по своей форме, размерам, направлению или жесткост</w:t>
      </w:r>
      <w:bookmarkStart w:id="5" w:name="_GoBack"/>
      <w:bookmarkEnd w:id="5"/>
      <w:r w:rsidRPr="009154E2">
        <w:rPr>
          <w:i/>
          <w:iCs/>
        </w:rPr>
        <w:t>и могут увеличить опасность или тяжесть телесных повреждений, наносимых в результате прямого или скользящего удара о транспортное средство в случае столкновения с ним</w:t>
      </w:r>
      <w:r>
        <w:rPr>
          <w:i/>
          <w:iCs/>
        </w:rPr>
        <w:t xml:space="preserve"> </w:t>
      </w:r>
      <w:r w:rsidRPr="009154E2">
        <w:rPr>
          <w:i/>
        </w:rPr>
        <w:t>[…]. (</w:t>
      </w:r>
      <w:r>
        <w:rPr>
          <w:i/>
        </w:rPr>
        <w:t>пункт</w:t>
      </w:r>
      <w:r w:rsidRPr="009154E2">
        <w:rPr>
          <w:i/>
        </w:rPr>
        <w:t xml:space="preserve"> 5.2.)</w:t>
      </w:r>
    </w:p>
    <w:p w:rsidR="00626C5E" w:rsidRPr="00626C5E" w:rsidRDefault="00626C5E" w:rsidP="00626C5E">
      <w:pPr>
        <w:pStyle w:val="SingleTxtG"/>
        <w:rPr>
          <w:i/>
        </w:rPr>
      </w:pPr>
      <w:r w:rsidRPr="009154E2">
        <w:rPr>
          <w:i/>
          <w:iCs/>
        </w:rPr>
        <w:t>Ни одна выступающая часть наружной поверхности не должна иметь радиус кривизны менее 2,5 мм</w:t>
      </w:r>
      <w:r>
        <w:t xml:space="preserve"> </w:t>
      </w:r>
      <w:r w:rsidRPr="009154E2">
        <w:rPr>
          <w:i/>
        </w:rPr>
        <w:t xml:space="preserve">[…] </w:t>
      </w:r>
      <w:r>
        <w:rPr>
          <w:i/>
        </w:rPr>
        <w:t>(пункт</w:t>
      </w:r>
      <w:r w:rsidRPr="00626C5E">
        <w:rPr>
          <w:i/>
        </w:rPr>
        <w:t xml:space="preserve"> </w:t>
      </w:r>
      <w:r>
        <w:rPr>
          <w:i/>
        </w:rPr>
        <w:t>5.4.)</w:t>
      </w:r>
      <w:r w:rsidRPr="00626C5E">
        <w:rPr>
          <w:i/>
        </w:rPr>
        <w:t>»</w:t>
      </w:r>
      <w:r w:rsidR="00950ADC">
        <w:rPr>
          <w:i/>
        </w:rPr>
        <w:t>.</w:t>
      </w:r>
    </w:p>
    <w:p w:rsidR="00626C5E" w:rsidRDefault="00626C5E" w:rsidP="00626C5E">
      <w:pPr>
        <w:pStyle w:val="SingleTxtG"/>
      </w:pPr>
      <w:r>
        <w:tab/>
      </w:r>
      <w:r w:rsidRPr="00DD0869">
        <w:t>2.</w:t>
      </w:r>
      <w:r w:rsidRPr="00DD0869">
        <w:tab/>
      </w:r>
      <w:r>
        <w:t>Таким</w:t>
      </w:r>
      <w:r w:rsidRPr="00DD0869">
        <w:t xml:space="preserve"> </w:t>
      </w:r>
      <w:r>
        <w:t>образом</w:t>
      </w:r>
      <w:r w:rsidRPr="00DD0869">
        <w:t xml:space="preserve">, </w:t>
      </w:r>
      <w:r>
        <w:t>в</w:t>
      </w:r>
      <w:r w:rsidRPr="00DD0869">
        <w:t xml:space="preserve"> </w:t>
      </w:r>
      <w:r>
        <w:t>проекте</w:t>
      </w:r>
      <w:r w:rsidRPr="00DD0869">
        <w:t xml:space="preserve"> </w:t>
      </w:r>
      <w:r>
        <w:t>предложения</w:t>
      </w:r>
      <w:r w:rsidRPr="00DD0869">
        <w:t xml:space="preserve"> </w:t>
      </w:r>
      <w:r>
        <w:t>уточняются</w:t>
      </w:r>
      <w:r w:rsidRPr="00DD0869">
        <w:t xml:space="preserve"> </w:t>
      </w:r>
      <w:r>
        <w:t>способы</w:t>
      </w:r>
      <w:r w:rsidRPr="00DD0869">
        <w:t xml:space="preserve"> </w:t>
      </w:r>
      <w:r>
        <w:t>обращения</w:t>
      </w:r>
      <w:r w:rsidRPr="00DD0869">
        <w:t xml:space="preserve"> </w:t>
      </w:r>
      <w:r>
        <w:t>с</w:t>
      </w:r>
      <w:r w:rsidRPr="00DD0869">
        <w:t xml:space="preserve"> </w:t>
      </w:r>
      <w:r>
        <w:t>элементами</w:t>
      </w:r>
      <w:r w:rsidRPr="00DD0869">
        <w:t xml:space="preserve">, </w:t>
      </w:r>
      <w:r>
        <w:t>которые</w:t>
      </w:r>
      <w:r w:rsidRPr="00DD0869">
        <w:t xml:space="preserve">, </w:t>
      </w:r>
      <w:r>
        <w:t>возможно, не затронуты установленными предписаниями, а также требования, применяемые к конкретному элементу стеклоочистителя. Представляется, что наилучшим средством обеспечения последовательного применения сформулированных требований служит общий рисунок с изображением соответствующих элементов.</w:t>
      </w:r>
    </w:p>
    <w:p w:rsidR="00626C5E" w:rsidRDefault="00626C5E" w:rsidP="00626C5E">
      <w:pPr>
        <w:pStyle w:val="SingleTxtG"/>
      </w:pPr>
      <w:r w:rsidRPr="008019F0">
        <w:t>3.</w:t>
      </w:r>
      <w:r w:rsidRPr="008019F0">
        <w:tab/>
        <w:t>Геометрические требования применяются только в отношении контактных элементов («сферический» протокол).</w:t>
      </w:r>
    </w:p>
    <w:p w:rsidR="00626C5E" w:rsidRPr="00626C5E" w:rsidRDefault="00626C5E" w:rsidP="00626C5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26C5E" w:rsidRPr="00626C5E" w:rsidSect="00626C5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D4" w:rsidRPr="00A312BC" w:rsidRDefault="007A60D4" w:rsidP="00A312BC"/>
  </w:endnote>
  <w:endnote w:type="continuationSeparator" w:id="0">
    <w:p w:rsidR="007A60D4" w:rsidRPr="00A312BC" w:rsidRDefault="007A60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5E" w:rsidRPr="00626C5E" w:rsidRDefault="00626C5E">
    <w:pPr>
      <w:pStyle w:val="a8"/>
    </w:pPr>
    <w:r w:rsidRPr="00626C5E">
      <w:rPr>
        <w:b/>
        <w:sz w:val="18"/>
      </w:rPr>
      <w:fldChar w:fldCharType="begin"/>
    </w:r>
    <w:r w:rsidRPr="00626C5E">
      <w:rPr>
        <w:b/>
        <w:sz w:val="18"/>
      </w:rPr>
      <w:instrText xml:space="preserve"> PAGE  \* MERGEFORMAT </w:instrText>
    </w:r>
    <w:r w:rsidRPr="00626C5E">
      <w:rPr>
        <w:b/>
        <w:sz w:val="18"/>
      </w:rPr>
      <w:fldChar w:fldCharType="separate"/>
    </w:r>
    <w:r w:rsidR="00D73D1D">
      <w:rPr>
        <w:b/>
        <w:noProof/>
        <w:sz w:val="18"/>
      </w:rPr>
      <w:t>2</w:t>
    </w:r>
    <w:r w:rsidRPr="00626C5E">
      <w:rPr>
        <w:b/>
        <w:sz w:val="18"/>
      </w:rPr>
      <w:fldChar w:fldCharType="end"/>
    </w:r>
    <w:r>
      <w:rPr>
        <w:b/>
        <w:sz w:val="18"/>
      </w:rPr>
      <w:tab/>
    </w:r>
    <w:r>
      <w:t>GE.19-12366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5E" w:rsidRPr="00626C5E" w:rsidRDefault="00626C5E" w:rsidP="00626C5E">
    <w:pPr>
      <w:pStyle w:val="a8"/>
      <w:tabs>
        <w:tab w:val="clear" w:pos="9639"/>
        <w:tab w:val="right" w:pos="9638"/>
      </w:tabs>
      <w:rPr>
        <w:b/>
        <w:sz w:val="18"/>
      </w:rPr>
    </w:pPr>
    <w:r>
      <w:t>GE.19-12366</w:t>
    </w:r>
    <w:r>
      <w:tab/>
    </w:r>
    <w:r w:rsidRPr="00626C5E">
      <w:rPr>
        <w:b/>
        <w:sz w:val="18"/>
      </w:rPr>
      <w:fldChar w:fldCharType="begin"/>
    </w:r>
    <w:r w:rsidRPr="00626C5E">
      <w:rPr>
        <w:b/>
        <w:sz w:val="18"/>
      </w:rPr>
      <w:instrText xml:space="preserve"> PAGE  \* MERGEFORMAT </w:instrText>
    </w:r>
    <w:r w:rsidRPr="00626C5E">
      <w:rPr>
        <w:b/>
        <w:sz w:val="18"/>
      </w:rPr>
      <w:fldChar w:fldCharType="separate"/>
    </w:r>
    <w:r w:rsidR="00D73D1D">
      <w:rPr>
        <w:b/>
        <w:noProof/>
        <w:sz w:val="18"/>
      </w:rPr>
      <w:t>3</w:t>
    </w:r>
    <w:r w:rsidRPr="00626C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26C5E" w:rsidRDefault="00626C5E" w:rsidP="00626C5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12366  (</w:t>
    </w:r>
    <w:proofErr w:type="gramEnd"/>
    <w:r>
      <w:t>R)</w:t>
    </w:r>
    <w:r w:rsidR="00EE5C37">
      <w:t xml:space="preserve">  230719  290719</w:t>
    </w:r>
    <w:r>
      <w:br/>
    </w:r>
    <w:r w:rsidRPr="00626C5E">
      <w:rPr>
        <w:rFonts w:ascii="C39T30Lfz" w:hAnsi="C39T30Lfz"/>
        <w:kern w:val="14"/>
        <w:sz w:val="56"/>
      </w:rPr>
      <w:t></w:t>
    </w:r>
    <w:r w:rsidRPr="00626C5E">
      <w:rPr>
        <w:rFonts w:ascii="C39T30Lfz" w:hAnsi="C39T30Lfz"/>
        <w:kern w:val="14"/>
        <w:sz w:val="56"/>
      </w:rPr>
      <w:t></w:t>
    </w:r>
    <w:r w:rsidRPr="00626C5E">
      <w:rPr>
        <w:rFonts w:ascii="C39T30Lfz" w:hAnsi="C39T30Lfz"/>
        <w:kern w:val="14"/>
        <w:sz w:val="56"/>
      </w:rPr>
      <w:t></w:t>
    </w:r>
    <w:r w:rsidRPr="00626C5E">
      <w:rPr>
        <w:rFonts w:ascii="C39T30Lfz" w:hAnsi="C39T30Lfz"/>
        <w:kern w:val="14"/>
        <w:sz w:val="56"/>
      </w:rPr>
      <w:t></w:t>
    </w:r>
    <w:r w:rsidRPr="00626C5E">
      <w:rPr>
        <w:rFonts w:ascii="C39T30Lfz" w:hAnsi="C39T30Lfz"/>
        <w:kern w:val="14"/>
        <w:sz w:val="56"/>
      </w:rPr>
      <w:t></w:t>
    </w:r>
    <w:r w:rsidRPr="00626C5E">
      <w:rPr>
        <w:rFonts w:ascii="C39T30Lfz" w:hAnsi="C39T30Lfz"/>
        <w:kern w:val="14"/>
        <w:sz w:val="56"/>
      </w:rPr>
      <w:t></w:t>
    </w:r>
    <w:r w:rsidRPr="00626C5E">
      <w:rPr>
        <w:rFonts w:ascii="C39T30Lfz" w:hAnsi="C39T30Lfz"/>
        <w:kern w:val="14"/>
        <w:sz w:val="56"/>
      </w:rPr>
      <w:t></w:t>
    </w:r>
    <w:r w:rsidRPr="00626C5E">
      <w:rPr>
        <w:rFonts w:ascii="C39T30Lfz" w:hAnsi="C39T30Lfz"/>
        <w:kern w:val="14"/>
        <w:sz w:val="56"/>
      </w:rPr>
      <w:t></w:t>
    </w:r>
    <w:r w:rsidRPr="00626C5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D4" w:rsidRPr="001075E9" w:rsidRDefault="007A60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60D4" w:rsidRDefault="007A60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26C5E" w:rsidRPr="007B2A00" w:rsidRDefault="00626C5E" w:rsidP="00626C5E">
      <w:pPr>
        <w:pStyle w:val="ad"/>
        <w:rPr>
          <w:rFonts w:eastAsia="Calibri"/>
        </w:rPr>
      </w:pPr>
      <w:r>
        <w:tab/>
      </w:r>
      <w:r w:rsidRPr="00626C5E">
        <w:rPr>
          <w:rStyle w:val="aa"/>
          <w:sz w:val="20"/>
          <w:vertAlign w:val="baseline"/>
        </w:rPr>
        <w:t>*</w:t>
      </w:r>
      <w:r>
        <w:tab/>
      </w:r>
      <w:r w:rsidRPr="007B2A00">
        <w:t>В соответствии с программой работы Комитета по внутреннему транспорту на 2018–2019 годы (</w:t>
      </w:r>
      <w:r w:rsidRPr="005630D1">
        <w:rPr>
          <w:lang w:val="en-US"/>
        </w:rPr>
        <w:t>ECE</w:t>
      </w:r>
      <w:r w:rsidRPr="007B2A00">
        <w:t>/</w:t>
      </w:r>
      <w:r w:rsidRPr="005630D1">
        <w:rPr>
          <w:lang w:val="en-US"/>
        </w:rPr>
        <w:t>TRANS</w:t>
      </w:r>
      <w:r w:rsidRPr="007B2A00">
        <w:t xml:space="preserve">/274, пункт 123, и </w:t>
      </w:r>
      <w:r w:rsidRPr="00B15178">
        <w:rPr>
          <w:lang w:val="en-US"/>
        </w:rPr>
        <w:t>ECE</w:t>
      </w:r>
      <w:r w:rsidRPr="007B2A00">
        <w:t>/</w:t>
      </w:r>
      <w:r w:rsidRPr="00B15178">
        <w:rPr>
          <w:lang w:val="en-US"/>
        </w:rPr>
        <w:t>TRANS</w:t>
      </w:r>
      <w:r w:rsidRPr="007B2A00">
        <w:t>/2018/21/</w:t>
      </w:r>
      <w:r w:rsidRPr="00B15178">
        <w:rPr>
          <w:lang w:val="en-US"/>
        </w:rPr>
        <w:t>Add</w:t>
      </w:r>
      <w:r w:rsidRPr="007B2A00">
        <w:t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 w:rsidRPr="007B2A00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5E" w:rsidRPr="00626C5E" w:rsidRDefault="00626C5E">
    <w:pPr>
      <w:pStyle w:val="a5"/>
    </w:pPr>
    <w:fldSimple w:instr=" TITLE  \* MERGEFORMAT ">
      <w:r w:rsidR="00D73D1D">
        <w:t>ECE/TRANS/WP.29/GRSG/2019/34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5E" w:rsidRPr="00626C5E" w:rsidRDefault="00626C5E" w:rsidP="00626C5E">
    <w:pPr>
      <w:pStyle w:val="a5"/>
      <w:jc w:val="right"/>
    </w:pPr>
    <w:fldSimple w:instr=" TITLE  \* MERGEFORMAT ">
      <w:r w:rsidR="00D73D1D">
        <w:t>ECE/TRANS/WP.29/GRSG/2019/34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D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E7AA0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6C5E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60D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0ADC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6BBC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3D1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5C37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7F69B7"/>
  <w15:docId w15:val="{1EC68F8E-DA9B-4449-AAEB-BBBD22A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locked/>
    <w:rsid w:val="00626C5E"/>
    <w:rPr>
      <w:lang w:val="ru-RU" w:eastAsia="en-US"/>
    </w:rPr>
  </w:style>
  <w:style w:type="character" w:customStyle="1" w:styleId="90">
    <w:name w:val="Заголовок 9 Знак"/>
    <w:link w:val="9"/>
    <w:uiPriority w:val="99"/>
    <w:rsid w:val="00626C5E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HChGChar">
    <w:name w:val="_ H _Ch_G Char"/>
    <w:link w:val="HChG"/>
    <w:uiPriority w:val="99"/>
    <w:locked/>
    <w:rsid w:val="00626C5E"/>
    <w:rPr>
      <w:b/>
      <w:sz w:val="28"/>
      <w:lang w:val="ru-RU" w:eastAsia="ru-RU"/>
    </w:rPr>
  </w:style>
  <w:style w:type="character" w:customStyle="1" w:styleId="af3">
    <w:name w:val="Основной текст Знак"/>
    <w:link w:val="af4"/>
    <w:uiPriority w:val="99"/>
    <w:locked/>
    <w:rsid w:val="00626C5E"/>
    <w:rPr>
      <w:lang w:val="en-GB" w:eastAsia="en-US"/>
    </w:rPr>
  </w:style>
  <w:style w:type="paragraph" w:styleId="af4">
    <w:name w:val="Body Text"/>
    <w:basedOn w:val="a"/>
    <w:next w:val="a"/>
    <w:link w:val="af3"/>
    <w:uiPriority w:val="99"/>
    <w:rsid w:val="00626C5E"/>
    <w:rPr>
      <w:rFonts w:eastAsia="Times New Roman" w:cs="Times New Roman"/>
      <w:szCs w:val="20"/>
      <w:lang w:val="en-GB"/>
    </w:rPr>
  </w:style>
  <w:style w:type="character" w:customStyle="1" w:styleId="11">
    <w:name w:val="Основной текст Знак1"/>
    <w:basedOn w:val="a0"/>
    <w:semiHidden/>
    <w:rsid w:val="00626C5E"/>
    <w:rPr>
      <w:rFonts w:eastAsiaTheme="minorHAnsi" w:cstheme="minorBidi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685</Words>
  <Characters>4599</Characters>
  <Application>Microsoft Office Word</Application>
  <DocSecurity>0</DocSecurity>
  <Lines>418</Lines>
  <Paragraphs>176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ECE/TRANS/WP.29/GRSG/2019/34</vt:lpstr>
      <vt:lpstr>A/</vt:lpstr>
      <vt:lpstr>A/</vt:lpstr>
    </vt:vector>
  </TitlesOfParts>
  <Company>DCM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ECE/TRANS/WP.29/GRSG/2019/34</dc:title>
  <dc:subject/>
  <dc:creator>Marina KOROTKOVA</dc:creator>
  <cp:keywords/>
  <cp:lastModifiedBy>Marina Korotkova</cp:lastModifiedBy>
  <cp:revision>3</cp:revision>
  <cp:lastPrinted>2019-07-29T11:02:00Z</cp:lastPrinted>
  <dcterms:created xsi:type="dcterms:W3CDTF">2019-07-29T11:02:00Z</dcterms:created>
  <dcterms:modified xsi:type="dcterms:W3CDTF">2019-07-29T11:03:00Z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