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227FF8">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227FF8" w:rsidP="00227FF8">
            <w:pPr>
              <w:jc w:val="right"/>
            </w:pPr>
            <w:r w:rsidRPr="00227FF8">
              <w:rPr>
                <w:sz w:val="40"/>
              </w:rPr>
              <w:t>ECE</w:t>
            </w:r>
            <w:r>
              <w:t>/TRANS/WP.29/GRSG/2019/23</w:t>
            </w:r>
          </w:p>
        </w:tc>
      </w:tr>
      <w:tr w:rsidR="002D5AAC" w:rsidRPr="006A7E69"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val="en-US"/>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rsidR="002D5AAC" w:rsidRDefault="00227FF8" w:rsidP="00387CD4">
            <w:pPr>
              <w:spacing w:before="240"/>
              <w:rPr>
                <w:lang w:val="en-US"/>
              </w:rPr>
            </w:pPr>
            <w:r>
              <w:rPr>
                <w:lang w:val="en-US"/>
              </w:rPr>
              <w:t>Distr.: General</w:t>
            </w:r>
          </w:p>
          <w:p w:rsidR="00227FF8" w:rsidRDefault="00227FF8" w:rsidP="00227FF8">
            <w:pPr>
              <w:spacing w:line="240" w:lineRule="exact"/>
              <w:rPr>
                <w:lang w:val="en-US"/>
              </w:rPr>
            </w:pPr>
            <w:r>
              <w:rPr>
                <w:lang w:val="en-US"/>
              </w:rPr>
              <w:t>18 July 2019</w:t>
            </w:r>
          </w:p>
          <w:p w:rsidR="00227FF8" w:rsidRDefault="00227FF8" w:rsidP="00227FF8">
            <w:pPr>
              <w:spacing w:line="240" w:lineRule="exact"/>
              <w:rPr>
                <w:lang w:val="en-US"/>
              </w:rPr>
            </w:pPr>
            <w:r>
              <w:rPr>
                <w:lang w:val="en-US"/>
              </w:rPr>
              <w:t>Russian</w:t>
            </w:r>
          </w:p>
          <w:p w:rsidR="00227FF8" w:rsidRPr="008D53B6" w:rsidRDefault="00227FF8" w:rsidP="00227FF8">
            <w:pPr>
              <w:spacing w:line="240" w:lineRule="exact"/>
              <w:rPr>
                <w:lang w:val="en-US"/>
              </w:rPr>
            </w:pPr>
            <w:r>
              <w:rPr>
                <w:lang w:val="en-US"/>
              </w:rPr>
              <w:t>Original: English</w:t>
            </w:r>
          </w:p>
        </w:tc>
      </w:tr>
    </w:tbl>
    <w:p w:rsidR="00227FF8" w:rsidRPr="008447A4" w:rsidRDefault="008A37C8" w:rsidP="00255343">
      <w:pPr>
        <w:spacing w:before="120"/>
        <w:rPr>
          <w:b/>
          <w:sz w:val="28"/>
          <w:szCs w:val="28"/>
        </w:rPr>
      </w:pPr>
      <w:r w:rsidRPr="008447A4">
        <w:rPr>
          <w:b/>
          <w:sz w:val="28"/>
          <w:szCs w:val="28"/>
        </w:rPr>
        <w:t>Европейская экономическая комиссия</w:t>
      </w:r>
    </w:p>
    <w:p w:rsidR="00227FF8" w:rsidRPr="008447A4" w:rsidRDefault="00227FF8" w:rsidP="00227FF8">
      <w:pPr>
        <w:pStyle w:val="SingleTxtGR"/>
        <w:suppressAutoHyphens/>
        <w:spacing w:before="120"/>
        <w:ind w:left="0"/>
        <w:jc w:val="left"/>
        <w:rPr>
          <w:spacing w:val="0"/>
          <w:w w:val="100"/>
          <w:kern w:val="0"/>
          <w:sz w:val="28"/>
          <w:szCs w:val="28"/>
        </w:rPr>
      </w:pPr>
      <w:r w:rsidRPr="008447A4">
        <w:rPr>
          <w:spacing w:val="0"/>
          <w:w w:val="100"/>
          <w:kern w:val="0"/>
          <w:sz w:val="28"/>
          <w:szCs w:val="28"/>
        </w:rPr>
        <w:t>Комитет по внутреннему транспорту</w:t>
      </w:r>
    </w:p>
    <w:p w:rsidR="00227FF8" w:rsidRPr="008447A4" w:rsidRDefault="00227FF8" w:rsidP="00227FF8">
      <w:pPr>
        <w:pStyle w:val="SingleTxtGR"/>
        <w:suppressAutoHyphens/>
        <w:ind w:left="0"/>
        <w:jc w:val="left"/>
        <w:rPr>
          <w:b/>
          <w:bCs/>
          <w:spacing w:val="0"/>
          <w:w w:val="100"/>
          <w:kern w:val="0"/>
          <w:sz w:val="24"/>
          <w:szCs w:val="24"/>
        </w:rPr>
      </w:pPr>
      <w:r w:rsidRPr="008447A4">
        <w:rPr>
          <w:b/>
          <w:bCs/>
          <w:spacing w:val="0"/>
          <w:w w:val="100"/>
          <w:kern w:val="0"/>
          <w:sz w:val="24"/>
          <w:szCs w:val="24"/>
        </w:rPr>
        <w:t xml:space="preserve">Всемирный форум для согласования правил </w:t>
      </w:r>
      <w:r w:rsidRPr="008447A4">
        <w:rPr>
          <w:b/>
          <w:bCs/>
          <w:spacing w:val="0"/>
          <w:w w:val="100"/>
          <w:kern w:val="0"/>
          <w:sz w:val="24"/>
          <w:szCs w:val="24"/>
        </w:rPr>
        <w:br/>
        <w:t>в области транспортных средств</w:t>
      </w:r>
    </w:p>
    <w:p w:rsidR="00227FF8" w:rsidRPr="008447A4" w:rsidRDefault="00227FF8" w:rsidP="00227FF8">
      <w:pPr>
        <w:pStyle w:val="SingleTxtGR"/>
        <w:suppressAutoHyphens/>
        <w:spacing w:after="0"/>
        <w:ind w:left="0"/>
        <w:jc w:val="left"/>
        <w:rPr>
          <w:b/>
          <w:bCs/>
          <w:spacing w:val="0"/>
          <w:w w:val="100"/>
          <w:kern w:val="0"/>
        </w:rPr>
      </w:pPr>
      <w:bookmarkStart w:id="1" w:name="OLE_LINK1"/>
      <w:bookmarkStart w:id="2" w:name="OLE_LINK2"/>
      <w:r w:rsidRPr="008447A4">
        <w:rPr>
          <w:b/>
          <w:bCs/>
          <w:spacing w:val="0"/>
          <w:w w:val="100"/>
          <w:kern w:val="0"/>
        </w:rPr>
        <w:t xml:space="preserve">Рабочая группа по общим предписаниям, </w:t>
      </w:r>
      <w:r w:rsidRPr="008447A4">
        <w:rPr>
          <w:b/>
          <w:bCs/>
          <w:spacing w:val="0"/>
          <w:w w:val="100"/>
          <w:kern w:val="0"/>
        </w:rPr>
        <w:br/>
        <w:t>касающимся безопасности</w:t>
      </w:r>
    </w:p>
    <w:bookmarkEnd w:id="1"/>
    <w:bookmarkEnd w:id="2"/>
    <w:p w:rsidR="00227FF8" w:rsidRPr="008447A4" w:rsidRDefault="00227FF8" w:rsidP="00227FF8">
      <w:pPr>
        <w:pStyle w:val="SingleTxtGR"/>
        <w:suppressAutoHyphens/>
        <w:spacing w:before="120" w:after="0"/>
        <w:ind w:left="0"/>
        <w:jc w:val="left"/>
        <w:rPr>
          <w:b/>
          <w:spacing w:val="0"/>
          <w:w w:val="100"/>
          <w:kern w:val="0"/>
        </w:rPr>
      </w:pPr>
      <w:r w:rsidRPr="008447A4">
        <w:rPr>
          <w:b/>
          <w:spacing w:val="0"/>
          <w:w w:val="100"/>
          <w:kern w:val="0"/>
        </w:rPr>
        <w:t>117-я сессия</w:t>
      </w:r>
    </w:p>
    <w:p w:rsidR="00227FF8" w:rsidRPr="008447A4" w:rsidRDefault="00227FF8" w:rsidP="00227FF8">
      <w:pPr>
        <w:pStyle w:val="SingleTxtGR"/>
        <w:suppressAutoHyphens/>
        <w:spacing w:after="0"/>
        <w:ind w:left="0"/>
        <w:jc w:val="left"/>
        <w:rPr>
          <w:spacing w:val="0"/>
          <w:w w:val="100"/>
          <w:kern w:val="0"/>
        </w:rPr>
      </w:pPr>
      <w:r w:rsidRPr="008447A4">
        <w:rPr>
          <w:spacing w:val="0"/>
          <w:w w:val="100"/>
          <w:kern w:val="0"/>
        </w:rPr>
        <w:t>Женева, 8–11 октября 2019 года</w:t>
      </w:r>
    </w:p>
    <w:p w:rsidR="00227FF8" w:rsidRPr="008447A4" w:rsidRDefault="00227FF8" w:rsidP="00227FF8">
      <w:pPr>
        <w:pStyle w:val="SingleTxtGR"/>
        <w:suppressAutoHyphens/>
        <w:spacing w:after="0"/>
        <w:ind w:left="0"/>
        <w:jc w:val="left"/>
        <w:rPr>
          <w:spacing w:val="0"/>
          <w:w w:val="100"/>
          <w:kern w:val="0"/>
        </w:rPr>
      </w:pPr>
      <w:r w:rsidRPr="008447A4">
        <w:rPr>
          <w:spacing w:val="0"/>
          <w:w w:val="100"/>
          <w:kern w:val="0"/>
        </w:rPr>
        <w:t xml:space="preserve">Пункт </w:t>
      </w:r>
      <w:r w:rsidRPr="008447A4">
        <w:rPr>
          <w:spacing w:val="0"/>
          <w:w w:val="100"/>
        </w:rPr>
        <w:t>16</w:t>
      </w:r>
      <w:r w:rsidRPr="008447A4">
        <w:rPr>
          <w:spacing w:val="0"/>
          <w:w w:val="100"/>
          <w:kern w:val="0"/>
        </w:rPr>
        <w:t xml:space="preserve"> предварительной повестки дня</w:t>
      </w:r>
    </w:p>
    <w:p w:rsidR="00227FF8" w:rsidRPr="008447A4" w:rsidRDefault="00227FF8" w:rsidP="00227FF8">
      <w:pPr>
        <w:pStyle w:val="SingleTxtGR"/>
        <w:suppressAutoHyphens/>
        <w:spacing w:after="0"/>
        <w:ind w:left="0"/>
        <w:jc w:val="left"/>
        <w:rPr>
          <w:b/>
          <w:spacing w:val="0"/>
          <w:w w:val="100"/>
          <w:kern w:val="0"/>
        </w:rPr>
      </w:pPr>
      <w:r w:rsidRPr="008447A4">
        <w:rPr>
          <w:b/>
          <w:spacing w:val="0"/>
          <w:w w:val="100"/>
          <w:kern w:val="0"/>
        </w:rPr>
        <w:t>Правила № 144 ООН (с</w:t>
      </w:r>
      <w:r w:rsidRPr="008447A4">
        <w:rPr>
          <w:b/>
          <w:bCs/>
          <w:spacing w:val="0"/>
          <w:w w:val="100"/>
          <w:kern w:val="0"/>
        </w:rPr>
        <w:t>истемы вызова экстренных служб</w:t>
      </w:r>
      <w:r w:rsidRPr="008447A4">
        <w:rPr>
          <w:b/>
          <w:spacing w:val="0"/>
          <w:w w:val="100"/>
          <w:kern w:val="0"/>
        </w:rPr>
        <w:t>)</w:t>
      </w:r>
    </w:p>
    <w:p w:rsidR="00227FF8" w:rsidRPr="008447A4" w:rsidRDefault="00227FF8" w:rsidP="00000B95">
      <w:pPr>
        <w:pStyle w:val="HChGR"/>
        <w:rPr>
          <w:spacing w:val="0"/>
          <w:w w:val="100"/>
        </w:rPr>
      </w:pPr>
      <w:r w:rsidRPr="008447A4">
        <w:rPr>
          <w:spacing w:val="0"/>
          <w:w w:val="100"/>
        </w:rPr>
        <w:tab/>
      </w:r>
      <w:r w:rsidRPr="008447A4">
        <w:rPr>
          <w:spacing w:val="0"/>
          <w:w w:val="100"/>
        </w:rPr>
        <w:tab/>
        <w:t xml:space="preserve">Предложение по поправкам серии 01 </w:t>
      </w:r>
      <w:r w:rsidR="00000B95" w:rsidRPr="008447A4">
        <w:rPr>
          <w:spacing w:val="0"/>
          <w:w w:val="100"/>
        </w:rPr>
        <w:t>к </w:t>
      </w:r>
      <w:r w:rsidRPr="008447A4">
        <w:rPr>
          <w:spacing w:val="0"/>
          <w:w w:val="100"/>
        </w:rPr>
        <w:t>Правилам </w:t>
      </w:r>
      <w:r w:rsidR="00000B95" w:rsidRPr="008447A4">
        <w:rPr>
          <w:spacing w:val="0"/>
          <w:w w:val="100"/>
        </w:rPr>
        <w:t>№ </w:t>
      </w:r>
      <w:r w:rsidRPr="008447A4">
        <w:rPr>
          <w:spacing w:val="0"/>
          <w:w w:val="100"/>
        </w:rPr>
        <w:t>144 ООН (системы вызова экстренных служб)</w:t>
      </w:r>
    </w:p>
    <w:p w:rsidR="00227FF8" w:rsidRPr="008447A4" w:rsidRDefault="00227FF8" w:rsidP="00000B95">
      <w:pPr>
        <w:pStyle w:val="H1GR"/>
        <w:rPr>
          <w:spacing w:val="0"/>
          <w:w w:val="100"/>
        </w:rPr>
      </w:pPr>
      <w:r w:rsidRPr="008447A4">
        <w:rPr>
          <w:spacing w:val="0"/>
          <w:w w:val="100"/>
        </w:rPr>
        <w:tab/>
      </w:r>
      <w:r w:rsidRPr="008447A4">
        <w:rPr>
          <w:spacing w:val="0"/>
          <w:w w:val="100"/>
        </w:rPr>
        <w:tab/>
        <w:t>Представлено экспертом от Российской Федерации</w:t>
      </w:r>
      <w:r w:rsidRPr="008447A4">
        <w:rPr>
          <w:b w:val="0"/>
          <w:spacing w:val="0"/>
          <w:w w:val="100"/>
          <w:sz w:val="20"/>
        </w:rPr>
        <w:footnoteReference w:customMarkFollows="1" w:id="1"/>
        <w:t>*</w:t>
      </w:r>
    </w:p>
    <w:p w:rsidR="00227FF8" w:rsidRPr="008447A4" w:rsidRDefault="00227FF8" w:rsidP="00000B95">
      <w:pPr>
        <w:pStyle w:val="SingleTxtG"/>
      </w:pPr>
      <w:r w:rsidRPr="008447A4">
        <w:tab/>
      </w:r>
      <w:r w:rsidR="00000B95" w:rsidRPr="008447A4">
        <w:tab/>
      </w:r>
      <w:r w:rsidRPr="008447A4">
        <w:t>Воспроизведенный ниже был текст подготовлен экспертом от Российской Федерации и включает предложение по поправкам к Правилам № 144 ООН, предусматривающее изменение области применения (на основе неофициального документа GRSG-116-15, подготовленного экспертом от Российской Федерации), а также предложение, касающееся переходных положений (на основе неофициального документа GRSG-116-10, подготовленного экспертами от Международной организаци</w:t>
      </w:r>
      <w:r w:rsidR="00C33E4C">
        <w:t>и</w:t>
      </w:r>
      <w:r w:rsidRPr="008447A4">
        <w:t xml:space="preserve"> автомобильной промышленности (МОПАП)). Вышеупомянутые документы были распространены в ходе 116</w:t>
      </w:r>
      <w:r w:rsidR="00C33E4C">
        <w:t>-</w:t>
      </w:r>
      <w:r w:rsidRPr="008447A4">
        <w:t>й сессии Рабочей группы по общим предписаниям, касающимся безопасности (</w:t>
      </w:r>
      <w:r w:rsidRPr="008447A4">
        <w:rPr>
          <w:lang w:val="en-GB"/>
        </w:rPr>
        <w:t>GRSG</w:t>
      </w:r>
      <w:r w:rsidRPr="008447A4">
        <w:t xml:space="preserve">) (см. доклад </w:t>
      </w:r>
      <w:r w:rsidRPr="008447A4">
        <w:rPr>
          <w:lang w:val="en-GB"/>
        </w:rPr>
        <w:t>ECE</w:t>
      </w:r>
      <w:r w:rsidRPr="008447A4">
        <w:t>/</w:t>
      </w:r>
      <w:r w:rsidRPr="008447A4">
        <w:rPr>
          <w:lang w:val="en-GB"/>
        </w:rPr>
        <w:t>TRANS</w:t>
      </w:r>
      <w:r w:rsidRPr="008447A4">
        <w:t>/</w:t>
      </w:r>
      <w:r w:rsidRPr="008447A4">
        <w:rPr>
          <w:lang w:val="en-GB"/>
        </w:rPr>
        <w:t>WP</w:t>
      </w:r>
      <w:r w:rsidRPr="008447A4">
        <w:t>.29/</w:t>
      </w:r>
      <w:r w:rsidR="00000B95" w:rsidRPr="008447A4">
        <w:br/>
      </w:r>
      <w:r w:rsidRPr="008447A4">
        <w:rPr>
          <w:lang w:val="en-GB"/>
        </w:rPr>
        <w:t>GRSG</w:t>
      </w:r>
      <w:r w:rsidRPr="008447A4">
        <w:t>/95, пункт 52). Изменения к нынешнему тексту Правил</w:t>
      </w:r>
      <w:r w:rsidRPr="008447A4">
        <w:rPr>
          <w:lang w:val="en-US"/>
        </w:rPr>
        <w:t> </w:t>
      </w:r>
      <w:r w:rsidRPr="008447A4">
        <w:t>№</w:t>
      </w:r>
      <w:r w:rsidRPr="008447A4">
        <w:rPr>
          <w:lang w:val="en-US"/>
        </w:rPr>
        <w:t> </w:t>
      </w:r>
      <w:r w:rsidRPr="008447A4">
        <w:t>144 ООН выделены жирным шрифтом в случае новых положений и зачеркиванием в случае исключенных элементов.</w:t>
      </w:r>
    </w:p>
    <w:p w:rsidR="00227FF8" w:rsidRPr="008447A4" w:rsidRDefault="00227FF8" w:rsidP="00000B95">
      <w:pPr>
        <w:pStyle w:val="HChG"/>
      </w:pPr>
      <w:r w:rsidRPr="008447A4">
        <w:br w:type="page"/>
      </w:r>
      <w:r w:rsidRPr="008447A4">
        <w:lastRenderedPageBreak/>
        <w:tab/>
        <w:t>I.</w:t>
      </w:r>
      <w:r w:rsidRPr="008447A4">
        <w:tab/>
        <w:t>Предложение</w:t>
      </w:r>
    </w:p>
    <w:p w:rsidR="00227FF8" w:rsidRPr="008447A4" w:rsidRDefault="00227FF8" w:rsidP="008447A4">
      <w:pPr>
        <w:pStyle w:val="SingleTxtG"/>
        <w:spacing w:line="236" w:lineRule="atLeast"/>
        <w:rPr>
          <w:noProof/>
          <w:webHidden/>
        </w:rPr>
      </w:pPr>
      <w:r w:rsidRPr="008447A4">
        <w:rPr>
          <w:i/>
        </w:rPr>
        <w:t xml:space="preserve">Пункт 1.1 </w:t>
      </w:r>
      <w:r w:rsidRPr="008447A4">
        <w:t>изменить следующим образом</w:t>
      </w:r>
      <w:r w:rsidRPr="008447A4">
        <w:rPr>
          <w:i/>
        </w:rPr>
        <w:t>:</w:t>
      </w:r>
    </w:p>
    <w:p w:rsidR="00227FF8" w:rsidRPr="008447A4" w:rsidRDefault="00000B95" w:rsidP="008447A4">
      <w:pPr>
        <w:pStyle w:val="SingleTxtGR"/>
        <w:tabs>
          <w:tab w:val="clear" w:pos="1701"/>
        </w:tabs>
        <w:suppressAutoHyphens/>
        <w:spacing w:line="236" w:lineRule="atLeast"/>
        <w:ind w:left="2268" w:hanging="1134"/>
        <w:rPr>
          <w:spacing w:val="0"/>
          <w:w w:val="100"/>
        </w:rPr>
      </w:pPr>
      <w:r w:rsidRPr="008447A4">
        <w:rPr>
          <w:spacing w:val="0"/>
          <w:w w:val="100"/>
        </w:rPr>
        <w:t>«</w:t>
      </w:r>
      <w:r w:rsidR="00227FF8" w:rsidRPr="008447A4">
        <w:rPr>
          <w:spacing w:val="0"/>
          <w:w w:val="100"/>
        </w:rPr>
        <w:t>1.1</w:t>
      </w:r>
      <w:r w:rsidR="00227FF8" w:rsidRPr="008447A4">
        <w:rPr>
          <w:spacing w:val="0"/>
          <w:w w:val="100"/>
        </w:rPr>
        <w:tab/>
        <w:t xml:space="preserve">Настоящие Правила </w:t>
      </w:r>
      <w:r w:rsidR="00227FF8" w:rsidRPr="008447A4">
        <w:rPr>
          <w:b/>
          <w:bCs/>
          <w:spacing w:val="0"/>
          <w:w w:val="100"/>
        </w:rPr>
        <w:t>ООН</w:t>
      </w:r>
      <w:r w:rsidR="00227FF8" w:rsidRPr="008447A4">
        <w:rPr>
          <w:spacing w:val="0"/>
          <w:w w:val="100"/>
        </w:rPr>
        <w:t xml:space="preserve"> применяются к:</w:t>
      </w:r>
    </w:p>
    <w:p w:rsidR="00227FF8" w:rsidRPr="008447A4" w:rsidRDefault="00C33E4C" w:rsidP="00C33E4C">
      <w:pPr>
        <w:pStyle w:val="SingleTxtG"/>
      </w:pPr>
      <w:r>
        <w:tab/>
      </w:r>
      <w:r>
        <w:tab/>
      </w:r>
      <w:r>
        <w:tab/>
      </w:r>
      <w:r w:rsidR="00227FF8" w:rsidRPr="008447A4">
        <w:t>…</w:t>
      </w:r>
    </w:p>
    <w:p w:rsidR="00000B95" w:rsidRPr="008447A4" w:rsidRDefault="00227FF8" w:rsidP="008447A4">
      <w:pPr>
        <w:pStyle w:val="SingleTxtGR"/>
        <w:tabs>
          <w:tab w:val="clear" w:pos="1701"/>
          <w:tab w:val="clear" w:pos="2835"/>
          <w:tab w:val="clear" w:pos="3402"/>
          <w:tab w:val="clear" w:pos="3969"/>
        </w:tabs>
        <w:suppressAutoHyphens/>
        <w:spacing w:line="236" w:lineRule="atLeast"/>
        <w:ind w:left="2268" w:hanging="1701"/>
        <w:rPr>
          <w:spacing w:val="0"/>
          <w:w w:val="100"/>
        </w:rPr>
      </w:pPr>
      <w:r w:rsidRPr="008447A4">
        <w:rPr>
          <w:b/>
          <w:bCs/>
          <w:spacing w:val="0"/>
          <w:w w:val="100"/>
        </w:rPr>
        <w:tab/>
      </w:r>
      <w:r w:rsidRPr="008447A4">
        <w:rPr>
          <w:spacing w:val="0"/>
          <w:w w:val="100"/>
        </w:rPr>
        <w:tab/>
      </w:r>
      <w:r w:rsidRPr="008447A4">
        <w:rPr>
          <w:spacing w:val="0"/>
          <w:w w:val="100"/>
          <w:lang w:val="en-GB"/>
        </w:rPr>
        <w:t>b</w:t>
      </w:r>
      <w:r w:rsidR="00000B95" w:rsidRPr="008447A4">
        <w:rPr>
          <w:spacing w:val="0"/>
          <w:w w:val="100"/>
        </w:rPr>
        <w:t>)</w:t>
      </w:r>
      <w:r w:rsidR="00000B95" w:rsidRPr="008447A4">
        <w:rPr>
          <w:spacing w:val="0"/>
          <w:w w:val="100"/>
        </w:rPr>
        <w:tab/>
        <w:t>часть Ib:</w:t>
      </w:r>
    </w:p>
    <w:p w:rsidR="00227FF8" w:rsidRPr="008447A4" w:rsidRDefault="00000B95" w:rsidP="008447A4">
      <w:pPr>
        <w:pStyle w:val="SingleTxtGR"/>
        <w:tabs>
          <w:tab w:val="clear" w:pos="1701"/>
          <w:tab w:val="clear" w:pos="2835"/>
          <w:tab w:val="clear" w:pos="3402"/>
          <w:tab w:val="clear" w:pos="3969"/>
        </w:tabs>
        <w:suppressAutoHyphens/>
        <w:spacing w:line="236" w:lineRule="atLeast"/>
        <w:ind w:left="2268" w:hanging="1701"/>
        <w:rPr>
          <w:spacing w:val="0"/>
          <w:w w:val="100"/>
        </w:rPr>
      </w:pPr>
      <w:r w:rsidRPr="008447A4">
        <w:rPr>
          <w:spacing w:val="0"/>
          <w:w w:val="100"/>
        </w:rPr>
        <w:tab/>
        <w:t>–</w:t>
      </w:r>
      <w:r w:rsidRPr="008447A4">
        <w:rPr>
          <w:spacing w:val="0"/>
          <w:w w:val="100"/>
        </w:rPr>
        <w:tab/>
      </w:r>
      <w:r w:rsidR="00227FF8" w:rsidRPr="008447A4">
        <w:rPr>
          <w:spacing w:val="0"/>
          <w:w w:val="100"/>
        </w:rPr>
        <w:t xml:space="preserve">официальному утверждению УВЭС, которые предназначены для установки на транспортных средствах категорий </w:t>
      </w:r>
      <w:r w:rsidR="00227FF8" w:rsidRPr="008447A4">
        <w:rPr>
          <w:spacing w:val="0"/>
          <w:w w:val="100"/>
          <w:lang w:val="en-GB"/>
        </w:rPr>
        <w:t>M</w:t>
      </w:r>
      <w:r w:rsidR="00227FF8" w:rsidRPr="008447A4">
        <w:rPr>
          <w:spacing w:val="0"/>
          <w:w w:val="100"/>
          <w:vertAlign w:val="subscript"/>
        </w:rPr>
        <w:t>1</w:t>
      </w:r>
      <w:r w:rsidR="00227FF8" w:rsidRPr="008447A4">
        <w:rPr>
          <w:spacing w:val="0"/>
          <w:w w:val="100"/>
        </w:rPr>
        <w:t xml:space="preserve"> и </w:t>
      </w:r>
      <w:r w:rsidR="00227FF8" w:rsidRPr="008447A4">
        <w:rPr>
          <w:spacing w:val="0"/>
          <w:w w:val="100"/>
          <w:lang w:val="en-GB"/>
        </w:rPr>
        <w:t>N</w:t>
      </w:r>
      <w:r w:rsidR="00227FF8" w:rsidRPr="008447A4">
        <w:rPr>
          <w:spacing w:val="0"/>
          <w:w w:val="100"/>
          <w:vertAlign w:val="subscript"/>
        </w:rPr>
        <w:t>1</w:t>
      </w:r>
      <w:r w:rsidRPr="008447A4">
        <w:rPr>
          <w:spacing w:val="0"/>
          <w:w w:val="100"/>
          <w:sz w:val="18"/>
          <w:szCs w:val="18"/>
          <w:vertAlign w:val="superscript"/>
        </w:rPr>
        <w:t>1</w:t>
      </w:r>
      <w:r w:rsidR="00227FF8" w:rsidRPr="008447A4">
        <w:rPr>
          <w:spacing w:val="0"/>
          <w:w w:val="100"/>
        </w:rPr>
        <w:t>;</w:t>
      </w:r>
    </w:p>
    <w:p w:rsidR="00227FF8" w:rsidRPr="008447A4" w:rsidRDefault="00227FF8" w:rsidP="008447A4">
      <w:pPr>
        <w:pStyle w:val="SingleTxtGR"/>
        <w:tabs>
          <w:tab w:val="clear" w:pos="1701"/>
          <w:tab w:val="clear" w:pos="2835"/>
          <w:tab w:val="clear" w:pos="3402"/>
          <w:tab w:val="clear" w:pos="3969"/>
        </w:tabs>
        <w:suppressAutoHyphens/>
        <w:spacing w:line="236" w:lineRule="atLeast"/>
        <w:ind w:left="2268" w:hanging="1701"/>
        <w:rPr>
          <w:b/>
          <w:spacing w:val="0"/>
          <w:w w:val="100"/>
        </w:rPr>
      </w:pPr>
      <w:r w:rsidRPr="008447A4">
        <w:rPr>
          <w:spacing w:val="0"/>
          <w:w w:val="100"/>
        </w:rPr>
        <w:tab/>
      </w:r>
      <w:r w:rsidR="00000B95" w:rsidRPr="008447A4">
        <w:rPr>
          <w:b/>
          <w:spacing w:val="0"/>
          <w:w w:val="100"/>
        </w:rPr>
        <w:tab/>
        <w:t>–</w:t>
      </w:r>
      <w:r w:rsidR="00000B95" w:rsidRPr="008447A4">
        <w:rPr>
          <w:b/>
          <w:spacing w:val="0"/>
          <w:w w:val="100"/>
        </w:rPr>
        <w:tab/>
      </w:r>
      <w:r w:rsidRPr="008447A4">
        <w:rPr>
          <w:b/>
          <w:spacing w:val="0"/>
          <w:w w:val="100"/>
        </w:rPr>
        <w:t>по просьбе заявителя, к официальному утверждению УВЭС, которые предназначены для установки на транспортных средствах других категорий.</w:t>
      </w:r>
      <w:r w:rsidR="00000B95" w:rsidRPr="008447A4">
        <w:rPr>
          <w:spacing w:val="0"/>
          <w:w w:val="100"/>
        </w:rPr>
        <w:t>»</w:t>
      </w:r>
    </w:p>
    <w:p w:rsidR="00227FF8" w:rsidRPr="008447A4" w:rsidRDefault="00227FF8" w:rsidP="008447A4">
      <w:pPr>
        <w:pStyle w:val="SingleTxtG"/>
        <w:spacing w:line="236" w:lineRule="atLeast"/>
        <w:rPr>
          <w:noProof/>
          <w:webHidden/>
        </w:rPr>
      </w:pPr>
      <w:r w:rsidRPr="008447A4">
        <w:rPr>
          <w:i/>
        </w:rPr>
        <w:t xml:space="preserve">Пункт 1.3 </w:t>
      </w:r>
      <w:r w:rsidRPr="008447A4">
        <w:t>изменить следующим образом:</w:t>
      </w:r>
      <w:r w:rsidRPr="008447A4">
        <w:rPr>
          <w:noProof/>
        </w:rPr>
        <w:t xml:space="preserve">  </w:t>
      </w:r>
    </w:p>
    <w:p w:rsidR="00227FF8" w:rsidRPr="008447A4" w:rsidRDefault="00000B95" w:rsidP="008447A4">
      <w:pPr>
        <w:pStyle w:val="SingleTxtGR"/>
        <w:tabs>
          <w:tab w:val="clear" w:pos="1701"/>
        </w:tabs>
        <w:suppressAutoHyphens/>
        <w:spacing w:line="236" w:lineRule="atLeast"/>
        <w:ind w:left="2268" w:hanging="1134"/>
        <w:rPr>
          <w:spacing w:val="0"/>
          <w:w w:val="100"/>
        </w:rPr>
      </w:pPr>
      <w:r w:rsidRPr="008447A4">
        <w:rPr>
          <w:spacing w:val="0"/>
          <w:w w:val="100"/>
        </w:rPr>
        <w:t>«</w:t>
      </w:r>
      <w:r w:rsidR="00227FF8" w:rsidRPr="008447A4">
        <w:rPr>
          <w:spacing w:val="0"/>
          <w:w w:val="100"/>
        </w:rPr>
        <w:t>1.3</w:t>
      </w:r>
      <w:r w:rsidR="00227FF8" w:rsidRPr="008447A4">
        <w:rPr>
          <w:spacing w:val="0"/>
          <w:w w:val="100"/>
        </w:rPr>
        <w:tab/>
        <w:t>Транспортные средства,</w:t>
      </w:r>
    </w:p>
    <w:p w:rsidR="00227FF8" w:rsidRPr="008447A4" w:rsidRDefault="00227FF8" w:rsidP="008447A4">
      <w:pPr>
        <w:pStyle w:val="SingleTxtGR"/>
        <w:tabs>
          <w:tab w:val="clear" w:pos="1701"/>
        </w:tabs>
        <w:suppressAutoHyphens/>
        <w:spacing w:line="236" w:lineRule="atLeast"/>
        <w:ind w:left="2835" w:hanging="1701"/>
        <w:rPr>
          <w:spacing w:val="0"/>
          <w:w w:val="100"/>
        </w:rPr>
      </w:pPr>
      <w:r w:rsidRPr="008447A4">
        <w:rPr>
          <w:spacing w:val="0"/>
          <w:w w:val="100"/>
        </w:rPr>
        <w:tab/>
      </w:r>
      <w:r w:rsidRPr="008447A4">
        <w:rPr>
          <w:spacing w:val="0"/>
          <w:w w:val="100"/>
          <w:lang w:val="en-GB"/>
        </w:rPr>
        <w:t>a</w:t>
      </w:r>
      <w:r w:rsidRPr="008447A4">
        <w:rPr>
          <w:spacing w:val="0"/>
          <w:w w:val="100"/>
        </w:rPr>
        <w:t>)</w:t>
      </w:r>
      <w:r w:rsidRPr="008447A4">
        <w:rPr>
          <w:spacing w:val="0"/>
          <w:w w:val="100"/>
        </w:rPr>
        <w:tab/>
        <w:t>не относящиеся к области применения ни Правил № 94 ООН, ни Правил № 95 ООН и не оснащенные механизмом автоматического приведения в действие СВЭС;</w:t>
      </w:r>
    </w:p>
    <w:p w:rsidR="00227FF8" w:rsidRPr="008447A4" w:rsidRDefault="00227FF8" w:rsidP="008447A4">
      <w:pPr>
        <w:pStyle w:val="SingleTxtGR"/>
        <w:tabs>
          <w:tab w:val="clear" w:pos="1701"/>
        </w:tabs>
        <w:suppressAutoHyphens/>
        <w:spacing w:line="236" w:lineRule="atLeast"/>
        <w:ind w:left="2835" w:hanging="1701"/>
        <w:rPr>
          <w:strike/>
          <w:spacing w:val="0"/>
          <w:w w:val="100"/>
        </w:rPr>
      </w:pPr>
      <w:r w:rsidRPr="008447A4">
        <w:rPr>
          <w:spacing w:val="0"/>
          <w:w w:val="100"/>
        </w:rPr>
        <w:tab/>
      </w:r>
      <w:r w:rsidRPr="008447A4">
        <w:rPr>
          <w:strike/>
          <w:spacing w:val="0"/>
          <w:w w:val="100"/>
          <w:lang w:val="en-GB"/>
        </w:rPr>
        <w:t>b</w:t>
      </w:r>
      <w:r w:rsidRPr="008447A4">
        <w:rPr>
          <w:strike/>
          <w:spacing w:val="0"/>
          <w:w w:val="100"/>
        </w:rPr>
        <w:t>)</w:t>
      </w:r>
      <w:r w:rsidRPr="008447A4">
        <w:rPr>
          <w:strike/>
          <w:spacing w:val="0"/>
          <w:w w:val="100"/>
        </w:rPr>
        <w:tab/>
        <w:t xml:space="preserve">категории </w:t>
      </w:r>
      <w:r w:rsidRPr="008447A4">
        <w:rPr>
          <w:strike/>
          <w:spacing w:val="0"/>
          <w:w w:val="100"/>
          <w:lang w:val="en-GB"/>
        </w:rPr>
        <w:t>M</w:t>
      </w:r>
      <w:r w:rsidRPr="008447A4">
        <w:rPr>
          <w:strike/>
          <w:spacing w:val="0"/>
          <w:w w:val="100"/>
          <w:vertAlign w:val="subscript"/>
        </w:rPr>
        <w:t>1</w:t>
      </w:r>
      <w:r w:rsidRPr="008447A4">
        <w:rPr>
          <w:strike/>
          <w:spacing w:val="0"/>
          <w:w w:val="100"/>
        </w:rPr>
        <w:t>, относящиеся к области применения Правил № 94 ООН и не оборудованные фронтальной подушкой безопасности;</w:t>
      </w:r>
    </w:p>
    <w:p w:rsidR="00227FF8" w:rsidRPr="008447A4" w:rsidRDefault="00227FF8" w:rsidP="008447A4">
      <w:pPr>
        <w:pStyle w:val="SingleTxtGR"/>
        <w:tabs>
          <w:tab w:val="clear" w:pos="1701"/>
        </w:tabs>
        <w:suppressAutoHyphens/>
        <w:spacing w:line="236" w:lineRule="atLeast"/>
        <w:ind w:left="2835" w:hanging="1701"/>
        <w:rPr>
          <w:strike/>
          <w:spacing w:val="0"/>
          <w:w w:val="100"/>
        </w:rPr>
      </w:pPr>
      <w:r w:rsidRPr="008447A4">
        <w:rPr>
          <w:spacing w:val="0"/>
          <w:w w:val="100"/>
        </w:rPr>
        <w:tab/>
      </w:r>
      <w:r w:rsidRPr="008447A4">
        <w:rPr>
          <w:strike/>
          <w:spacing w:val="0"/>
          <w:w w:val="100"/>
          <w:lang w:val="en-GB"/>
        </w:rPr>
        <w:t>c</w:t>
      </w:r>
      <w:r w:rsidRPr="008447A4">
        <w:rPr>
          <w:strike/>
          <w:spacing w:val="0"/>
          <w:w w:val="100"/>
        </w:rPr>
        <w:t>)</w:t>
      </w:r>
      <w:r w:rsidRPr="008447A4">
        <w:rPr>
          <w:strike/>
          <w:spacing w:val="0"/>
          <w:w w:val="100"/>
        </w:rPr>
        <w:tab/>
        <w:t xml:space="preserve">категории </w:t>
      </w:r>
      <w:r w:rsidRPr="008447A4">
        <w:rPr>
          <w:strike/>
          <w:spacing w:val="0"/>
          <w:w w:val="100"/>
          <w:lang w:val="en-GB"/>
        </w:rPr>
        <w:t>N</w:t>
      </w:r>
      <w:r w:rsidRPr="008447A4">
        <w:rPr>
          <w:strike/>
          <w:spacing w:val="0"/>
          <w:w w:val="100"/>
          <w:vertAlign w:val="subscript"/>
        </w:rPr>
        <w:t>1</w:t>
      </w:r>
      <w:r w:rsidRPr="008447A4">
        <w:rPr>
          <w:strike/>
          <w:spacing w:val="0"/>
          <w:w w:val="100"/>
        </w:rPr>
        <w:t xml:space="preserve">, относящиеся к области применения Правил № 95 ООН и не оборудованные боковой подушкой безопасности; </w:t>
      </w:r>
    </w:p>
    <w:p w:rsidR="00227FF8" w:rsidRPr="008447A4" w:rsidRDefault="00227FF8" w:rsidP="008447A4">
      <w:pPr>
        <w:pStyle w:val="SingleTxtGR"/>
        <w:tabs>
          <w:tab w:val="clear" w:pos="1701"/>
        </w:tabs>
        <w:suppressAutoHyphens/>
        <w:spacing w:line="236" w:lineRule="atLeast"/>
        <w:ind w:left="2835" w:hanging="1701"/>
        <w:rPr>
          <w:spacing w:val="0"/>
          <w:w w:val="100"/>
        </w:rPr>
      </w:pPr>
      <w:r w:rsidRPr="008447A4">
        <w:rPr>
          <w:spacing w:val="0"/>
          <w:w w:val="100"/>
        </w:rPr>
        <w:tab/>
      </w:r>
      <w:r w:rsidRPr="008447A4">
        <w:rPr>
          <w:strike/>
          <w:spacing w:val="0"/>
          <w:w w:val="100"/>
          <w:lang w:val="en-GB"/>
        </w:rPr>
        <w:t>d</w:t>
      </w:r>
      <w:r w:rsidRPr="008447A4">
        <w:rPr>
          <w:b/>
          <w:spacing w:val="0"/>
          <w:w w:val="100"/>
          <w:lang w:val="en-US"/>
        </w:rPr>
        <w:t>b</w:t>
      </w:r>
      <w:r w:rsidRPr="008447A4">
        <w:rPr>
          <w:spacing w:val="0"/>
          <w:w w:val="100"/>
        </w:rPr>
        <w:t>)</w:t>
      </w:r>
      <w:r w:rsidRPr="008447A4">
        <w:rPr>
          <w:spacing w:val="0"/>
          <w:w w:val="100"/>
        </w:rPr>
        <w:tab/>
        <w:t xml:space="preserve">категории </w:t>
      </w:r>
      <w:r w:rsidRPr="008447A4">
        <w:rPr>
          <w:spacing w:val="0"/>
          <w:w w:val="100"/>
          <w:lang w:val="en-GB"/>
        </w:rPr>
        <w:t>M</w:t>
      </w:r>
      <w:r w:rsidRPr="008447A4">
        <w:rPr>
          <w:spacing w:val="0"/>
          <w:w w:val="100"/>
          <w:vertAlign w:val="subscript"/>
        </w:rPr>
        <w:t>1</w:t>
      </w:r>
      <w:r w:rsidRPr="008447A4">
        <w:rPr>
          <w:spacing w:val="0"/>
          <w:w w:val="100"/>
        </w:rPr>
        <w:t>, общая допустимая масса которых превышает 3,5 т; и</w:t>
      </w:r>
    </w:p>
    <w:p w:rsidR="00227FF8" w:rsidRPr="008447A4" w:rsidRDefault="00227FF8" w:rsidP="008447A4">
      <w:pPr>
        <w:pStyle w:val="SingleTxtGR"/>
        <w:tabs>
          <w:tab w:val="clear" w:pos="1701"/>
        </w:tabs>
        <w:suppressAutoHyphens/>
        <w:spacing w:line="236" w:lineRule="atLeast"/>
        <w:ind w:left="2268" w:hanging="1134"/>
        <w:rPr>
          <w:spacing w:val="0"/>
          <w:w w:val="100"/>
          <w:vertAlign w:val="superscript"/>
        </w:rPr>
      </w:pPr>
      <w:r w:rsidRPr="008447A4">
        <w:rPr>
          <w:spacing w:val="0"/>
          <w:w w:val="100"/>
        </w:rPr>
        <w:tab/>
      </w:r>
      <w:r w:rsidRPr="008447A4">
        <w:rPr>
          <w:strike/>
          <w:spacing w:val="0"/>
          <w:w w:val="100"/>
          <w:lang w:val="en-GB"/>
        </w:rPr>
        <w:t>e</w:t>
      </w:r>
      <w:r w:rsidRPr="008447A4">
        <w:rPr>
          <w:b/>
          <w:spacing w:val="0"/>
          <w:w w:val="100"/>
        </w:rPr>
        <w:t>с</w:t>
      </w:r>
      <w:r w:rsidRPr="008447A4">
        <w:rPr>
          <w:spacing w:val="0"/>
          <w:w w:val="100"/>
        </w:rPr>
        <w:t>)</w:t>
      </w:r>
      <w:r w:rsidRPr="008447A4">
        <w:rPr>
          <w:spacing w:val="0"/>
          <w:w w:val="100"/>
        </w:rPr>
        <w:tab/>
        <w:t>бронированные транспортные средства</w:t>
      </w:r>
      <w:r w:rsidRPr="008447A4">
        <w:rPr>
          <w:spacing w:val="0"/>
          <w:w w:val="100"/>
          <w:vertAlign w:val="superscript"/>
        </w:rPr>
        <w:t>1</w:t>
      </w:r>
    </w:p>
    <w:p w:rsidR="00227FF8" w:rsidRPr="008447A4" w:rsidRDefault="00227FF8" w:rsidP="008447A4">
      <w:pPr>
        <w:pStyle w:val="SingleTxtGR"/>
        <w:tabs>
          <w:tab w:val="clear" w:pos="1701"/>
        </w:tabs>
        <w:suppressAutoHyphens/>
        <w:spacing w:line="236" w:lineRule="atLeast"/>
        <w:ind w:left="2268" w:hanging="1134"/>
        <w:rPr>
          <w:spacing w:val="0"/>
          <w:w w:val="100"/>
        </w:rPr>
      </w:pPr>
      <w:r w:rsidRPr="008447A4">
        <w:rPr>
          <w:spacing w:val="0"/>
          <w:w w:val="100"/>
        </w:rPr>
        <w:tab/>
        <w:t>исключаются из области применения настоящих Правил.</w:t>
      </w:r>
      <w:r w:rsidR="00000B95" w:rsidRPr="008447A4">
        <w:rPr>
          <w:spacing w:val="0"/>
          <w:w w:val="100"/>
        </w:rPr>
        <w:t>»</w:t>
      </w:r>
    </w:p>
    <w:p w:rsidR="00227FF8" w:rsidRPr="008447A4" w:rsidRDefault="00227FF8" w:rsidP="008447A4">
      <w:pPr>
        <w:pStyle w:val="SingleTxtG"/>
        <w:spacing w:line="236" w:lineRule="atLeast"/>
        <w:rPr>
          <w:i/>
        </w:rPr>
      </w:pPr>
      <w:r w:rsidRPr="008447A4">
        <w:rPr>
          <w:i/>
        </w:rPr>
        <w:t xml:space="preserve">Пункт 34.1 </w:t>
      </w:r>
      <w:r w:rsidRPr="008447A4">
        <w:t>изменить следующим образом:</w:t>
      </w:r>
    </w:p>
    <w:p w:rsidR="00227FF8" w:rsidRPr="008447A4" w:rsidRDefault="00000B95" w:rsidP="008447A4">
      <w:pPr>
        <w:pStyle w:val="SingleTxtGR"/>
        <w:tabs>
          <w:tab w:val="clear" w:pos="1701"/>
        </w:tabs>
        <w:suppressAutoHyphens/>
        <w:spacing w:line="236" w:lineRule="atLeast"/>
        <w:ind w:left="2268" w:hanging="1134"/>
        <w:rPr>
          <w:spacing w:val="0"/>
          <w:w w:val="100"/>
        </w:rPr>
      </w:pPr>
      <w:r w:rsidRPr="008447A4">
        <w:rPr>
          <w:spacing w:val="0"/>
          <w:w w:val="100"/>
        </w:rPr>
        <w:t>«</w:t>
      </w:r>
      <w:r w:rsidR="00227FF8" w:rsidRPr="008447A4">
        <w:rPr>
          <w:spacing w:val="0"/>
          <w:w w:val="100"/>
        </w:rPr>
        <w:t>34.1</w:t>
      </w:r>
      <w:r w:rsidR="00227FF8" w:rsidRPr="008447A4">
        <w:rPr>
          <w:spacing w:val="0"/>
          <w:w w:val="100"/>
        </w:rPr>
        <w:tab/>
        <w:t>Если тип транспортного средства, представленный на официальное утверждение в соответствии с пунктом 33 выше, отвечает требованиям пункта 35 настоящих Правил, то его считают официально утвержденным.</w:t>
      </w:r>
    </w:p>
    <w:p w:rsidR="00227FF8" w:rsidRPr="008447A4" w:rsidRDefault="00227FF8" w:rsidP="008447A4">
      <w:pPr>
        <w:pStyle w:val="SingleTxtGR"/>
        <w:tabs>
          <w:tab w:val="clear" w:pos="1701"/>
        </w:tabs>
        <w:suppressAutoHyphens/>
        <w:spacing w:line="236" w:lineRule="atLeast"/>
        <w:ind w:left="2268" w:hanging="1134"/>
        <w:rPr>
          <w:spacing w:val="0"/>
          <w:w w:val="100"/>
        </w:rPr>
      </w:pPr>
      <w:r w:rsidRPr="008447A4">
        <w:rPr>
          <w:spacing w:val="0"/>
          <w:w w:val="100"/>
        </w:rPr>
        <w:tab/>
        <w:t>Перед предоставлением официального утверждения соответствующему типу транспортного средства компетентный орган должен удостовериться, что все компоненты, перечисленные в пункте</w:t>
      </w:r>
      <w:r w:rsidRPr="008447A4">
        <w:rPr>
          <w:spacing w:val="0"/>
          <w:w w:val="100"/>
          <w:lang w:val="en-US"/>
        </w:rPr>
        <w:t> </w:t>
      </w:r>
      <w:r w:rsidRPr="008447A4">
        <w:rPr>
          <w:spacing w:val="0"/>
          <w:w w:val="100"/>
        </w:rPr>
        <w:t>35.10.1, были подвергнуты испытанию по приложению 9. Если подачу электропитания на СВЭС обеспечивает источник питания, кроме резервного источни</w:t>
      </w:r>
      <w:r w:rsidR="00C33E4C">
        <w:rPr>
          <w:spacing w:val="0"/>
          <w:w w:val="100"/>
        </w:rPr>
        <w:t>ка питания, указанного в пункте</w:t>
      </w:r>
      <w:r w:rsidRPr="008447A4">
        <w:rPr>
          <w:spacing w:val="0"/>
          <w:w w:val="100"/>
        </w:rPr>
        <w:t xml:space="preserve"> 35.10.2, </w:t>
      </w:r>
      <w:r w:rsidRPr="008447A4">
        <w:rPr>
          <w:b/>
          <w:spacing w:val="0"/>
          <w:w w:val="100"/>
        </w:rPr>
        <w:t xml:space="preserve">и этот источник питания предназначен для обеспечения требований в отношении источника питания, предусмотренных пунктом 35.9, </w:t>
      </w:r>
      <w:r w:rsidRPr="008447A4">
        <w:rPr>
          <w:spacing w:val="0"/>
          <w:w w:val="100"/>
        </w:rPr>
        <w:t xml:space="preserve">то этот источник питания </w:t>
      </w:r>
      <w:r w:rsidRPr="008447A4">
        <w:rPr>
          <w:b/>
          <w:strike/>
          <w:spacing w:val="0"/>
          <w:w w:val="100"/>
        </w:rPr>
        <w:t>также</w:t>
      </w:r>
      <w:r w:rsidRPr="008447A4">
        <w:rPr>
          <w:spacing w:val="0"/>
          <w:w w:val="100"/>
        </w:rPr>
        <w:t xml:space="preserve"> подвергают испытанию в соответствии с приложением 9 к настоящим Правилам.</w:t>
      </w:r>
      <w:r w:rsidR="00000B95" w:rsidRPr="008447A4">
        <w:rPr>
          <w:spacing w:val="0"/>
          <w:w w:val="100"/>
        </w:rPr>
        <w:t>»</w:t>
      </w:r>
    </w:p>
    <w:p w:rsidR="00227FF8" w:rsidRPr="008447A4" w:rsidRDefault="00227FF8" w:rsidP="008447A4">
      <w:pPr>
        <w:pStyle w:val="SingleTxtG"/>
        <w:spacing w:line="236" w:lineRule="atLeast"/>
      </w:pPr>
      <w:r w:rsidRPr="00C33E4C">
        <w:rPr>
          <w:i/>
        </w:rPr>
        <w:t>Включить новый пункт 41</w:t>
      </w:r>
      <w:r w:rsidRPr="008447A4">
        <w:t xml:space="preserve"> </w:t>
      </w:r>
      <w:r w:rsidRPr="008447A4">
        <w:rPr>
          <w:iCs/>
        </w:rPr>
        <w:t>следующего содержания</w:t>
      </w:r>
      <w:r w:rsidRPr="008447A4">
        <w:t>:</w:t>
      </w:r>
    </w:p>
    <w:p w:rsidR="00227FF8" w:rsidRPr="008447A4" w:rsidRDefault="008447A4" w:rsidP="008447A4">
      <w:pPr>
        <w:pStyle w:val="SingleTxtG"/>
        <w:spacing w:line="236" w:lineRule="atLeast"/>
        <w:rPr>
          <w:b/>
        </w:rPr>
      </w:pPr>
      <w:r w:rsidRPr="008447A4">
        <w:t>«</w:t>
      </w:r>
      <w:r w:rsidR="00227FF8" w:rsidRPr="008447A4">
        <w:rPr>
          <w:b/>
        </w:rPr>
        <w:t>41</w:t>
      </w:r>
      <w:r w:rsidR="00C33E4C">
        <w:rPr>
          <w:b/>
        </w:rPr>
        <w:t>.</w:t>
      </w:r>
      <w:r w:rsidR="00227FF8" w:rsidRPr="008447A4">
        <w:rPr>
          <w:b/>
        </w:rPr>
        <w:tab/>
      </w:r>
      <w:r w:rsidRPr="008447A4">
        <w:rPr>
          <w:b/>
        </w:rPr>
        <w:tab/>
      </w:r>
      <w:r w:rsidR="00227FF8" w:rsidRPr="008447A4">
        <w:rPr>
          <w:b/>
        </w:rPr>
        <w:t>Переходные положения</w:t>
      </w:r>
    </w:p>
    <w:p w:rsidR="00227FF8" w:rsidRPr="008447A4" w:rsidRDefault="00227FF8" w:rsidP="008447A4">
      <w:pPr>
        <w:pStyle w:val="SingleTxtG"/>
        <w:spacing w:line="236" w:lineRule="atLeast"/>
        <w:ind w:left="2268" w:hanging="1134"/>
        <w:rPr>
          <w:b/>
        </w:rPr>
      </w:pPr>
      <w:r w:rsidRPr="008447A4">
        <w:rPr>
          <w:b/>
        </w:rPr>
        <w:t>41.1</w:t>
      </w:r>
      <w:r w:rsidRPr="008447A4">
        <w:rPr>
          <w:b/>
        </w:rPr>
        <w:tab/>
      </w:r>
      <w:r w:rsidR="008447A4" w:rsidRPr="008447A4">
        <w:rPr>
          <w:b/>
        </w:rPr>
        <w:tab/>
      </w:r>
      <w:r w:rsidRPr="008447A4">
        <w:rPr>
          <w:b/>
        </w:rPr>
        <w:t>Начиная с официальной даты вступления в силу поправок серии 01 ни одна из Договаривающихся сторон, применяющих настоящие Правила, не отказывает в предоставлении или в признании официальных утверждений типа на основании настоящих Правил с внесенными в них поправками серии 01.</w:t>
      </w:r>
    </w:p>
    <w:p w:rsidR="00227FF8" w:rsidRPr="008447A4" w:rsidRDefault="00227FF8" w:rsidP="008447A4">
      <w:pPr>
        <w:pStyle w:val="SingleTxtG"/>
        <w:spacing w:line="236" w:lineRule="atLeast"/>
        <w:ind w:left="2268" w:hanging="1134"/>
        <w:rPr>
          <w:b/>
        </w:rPr>
      </w:pPr>
      <w:r w:rsidRPr="008447A4">
        <w:rPr>
          <w:b/>
        </w:rPr>
        <w:t>41.2</w:t>
      </w:r>
      <w:r w:rsidRPr="008447A4">
        <w:rPr>
          <w:b/>
        </w:rPr>
        <w:tab/>
      </w:r>
      <w:r w:rsidR="008447A4" w:rsidRPr="008447A4">
        <w:rPr>
          <w:b/>
        </w:rPr>
        <w:tab/>
      </w:r>
      <w:r w:rsidRPr="008447A4">
        <w:rPr>
          <w:b/>
        </w:rPr>
        <w:t xml:space="preserve">Начиная с 1 сентября 2022 года Договаривающиеся стороны, применяющие настоящие Правила, не обязаны признавать официальные утверждения типа, выданные на основании первоначального текста настоящих Правил, которые были предоставлены впервые после 1 сентября 2022 года. </w:t>
      </w:r>
    </w:p>
    <w:p w:rsidR="00227FF8" w:rsidRPr="008447A4" w:rsidRDefault="00227FF8" w:rsidP="008447A4">
      <w:pPr>
        <w:pStyle w:val="SingleTxtG"/>
        <w:ind w:left="2268" w:hanging="1134"/>
        <w:rPr>
          <w:b/>
          <w:lang w:eastAsia="ja-JP"/>
        </w:rPr>
      </w:pPr>
      <w:r w:rsidRPr="008447A4">
        <w:rPr>
          <w:b/>
          <w:iCs/>
          <w:lang w:eastAsia="ja-JP"/>
        </w:rPr>
        <w:lastRenderedPageBreak/>
        <w:t>41.3</w:t>
      </w:r>
      <w:r w:rsidRPr="008447A4">
        <w:rPr>
          <w:b/>
          <w:iCs/>
          <w:lang w:eastAsia="ja-JP"/>
        </w:rPr>
        <w:tab/>
      </w:r>
      <w:r w:rsidR="008447A4" w:rsidRPr="008447A4">
        <w:rPr>
          <w:b/>
          <w:iCs/>
          <w:lang w:eastAsia="ja-JP"/>
        </w:rPr>
        <w:tab/>
      </w:r>
      <w:r w:rsidRPr="008447A4">
        <w:rPr>
          <w:b/>
        </w:rPr>
        <w:t>Договаривающиеся стороны, применяющие настоящие Правила, продолжают признавать официальные утверждения типа, выданные на основании первоначального текста настоящих Правил, которые были предоставлены впервые до 1 сентября 2022 года.</w:t>
      </w:r>
    </w:p>
    <w:p w:rsidR="00227FF8" w:rsidRPr="008447A4" w:rsidRDefault="00227FF8" w:rsidP="008447A4">
      <w:pPr>
        <w:pStyle w:val="SingleTxtG"/>
        <w:ind w:left="2268" w:hanging="1134"/>
        <w:rPr>
          <w:b/>
        </w:rPr>
      </w:pPr>
      <w:r w:rsidRPr="008447A4">
        <w:rPr>
          <w:b/>
        </w:rPr>
        <w:t>41.4</w:t>
      </w:r>
      <w:r w:rsidRPr="008447A4">
        <w:rPr>
          <w:b/>
        </w:rPr>
        <w:tab/>
      </w:r>
      <w:r w:rsidR="008447A4" w:rsidRPr="008447A4">
        <w:rPr>
          <w:b/>
        </w:rPr>
        <w:tab/>
      </w:r>
      <w:r w:rsidRPr="008447A4">
        <w:rPr>
          <w:b/>
        </w:rPr>
        <w:t>Договаривающиеся стороны, применяющие настоящие Правила, не отказывают в предоставлении или распространении официальных утверждений типа на основании первоначального текста настоящих Правил.</w:t>
      </w:r>
      <w:r w:rsidR="008447A4" w:rsidRPr="008447A4">
        <w:t>»</w:t>
      </w:r>
    </w:p>
    <w:p w:rsidR="00227FF8" w:rsidRPr="008447A4" w:rsidRDefault="008447A4" w:rsidP="008447A4">
      <w:pPr>
        <w:pStyle w:val="HChG"/>
      </w:pPr>
      <w:r w:rsidRPr="006A7E69">
        <w:tab/>
      </w:r>
      <w:r w:rsidR="00227FF8" w:rsidRPr="008447A4">
        <w:rPr>
          <w:lang w:val="en-GB"/>
        </w:rPr>
        <w:t>II</w:t>
      </w:r>
      <w:r w:rsidR="00227FF8" w:rsidRPr="008447A4">
        <w:t>.</w:t>
      </w:r>
      <w:r w:rsidR="00227FF8" w:rsidRPr="008447A4">
        <w:tab/>
        <w:t>Обоснование</w:t>
      </w:r>
    </w:p>
    <w:p w:rsidR="00227FF8" w:rsidRPr="008447A4" w:rsidRDefault="008447A4" w:rsidP="008447A4">
      <w:pPr>
        <w:pStyle w:val="H1G"/>
      </w:pPr>
      <w:r w:rsidRPr="008447A4">
        <w:tab/>
      </w:r>
      <w:r w:rsidR="00227FF8" w:rsidRPr="008447A4">
        <w:t>А.</w:t>
      </w:r>
      <w:r w:rsidRPr="008447A4">
        <w:tab/>
      </w:r>
      <w:r w:rsidR="00227FF8" w:rsidRPr="008447A4">
        <w:t>Пункт 1.1</w:t>
      </w:r>
    </w:p>
    <w:p w:rsidR="00227FF8" w:rsidRPr="008447A4" w:rsidRDefault="00227FF8" w:rsidP="008447A4">
      <w:pPr>
        <w:pStyle w:val="SingleTxtG"/>
      </w:pPr>
      <w:r w:rsidRPr="008447A4">
        <w:t>1.</w:t>
      </w:r>
      <w:r w:rsidRPr="008447A4">
        <w:tab/>
        <w:t>Включение новых положений в пункт 1.1 области применения позволит Договаривающимся сторонам применять (по запросу подателя заявки) соответствующие требования и методы испытаний, предусмотренные в Правилах</w:t>
      </w:r>
      <w:r w:rsidR="008447A4">
        <w:t> № </w:t>
      </w:r>
      <w:r w:rsidRPr="008447A4">
        <w:t xml:space="preserve">144 ООН, для оценки соответствия УВЭС, предназначенных для установки на транспортных средствах, не относящихся к категориям </w:t>
      </w:r>
      <w:r w:rsidRPr="008447A4">
        <w:rPr>
          <w:lang w:val="en-GB"/>
        </w:rPr>
        <w:t>M</w:t>
      </w:r>
      <w:r w:rsidRPr="008447A4">
        <w:rPr>
          <w:vertAlign w:val="subscript"/>
        </w:rPr>
        <w:t>1</w:t>
      </w:r>
      <w:r w:rsidRPr="008447A4">
        <w:t xml:space="preserve"> и </w:t>
      </w:r>
      <w:r w:rsidRPr="008447A4">
        <w:rPr>
          <w:lang w:val="en-GB"/>
        </w:rPr>
        <w:t>N</w:t>
      </w:r>
      <w:r w:rsidRPr="008447A4">
        <w:rPr>
          <w:vertAlign w:val="subscript"/>
        </w:rPr>
        <w:t>1</w:t>
      </w:r>
      <w:r w:rsidRPr="008447A4">
        <w:t xml:space="preserve"> (например, в тех случаях, когда применяются национальные требования Договаривающихся сторон).</w:t>
      </w:r>
    </w:p>
    <w:p w:rsidR="00227FF8" w:rsidRPr="008447A4" w:rsidRDefault="008447A4" w:rsidP="008447A4">
      <w:pPr>
        <w:pStyle w:val="H1G"/>
      </w:pPr>
      <w:r>
        <w:tab/>
      </w:r>
      <w:r w:rsidR="00227FF8" w:rsidRPr="008447A4">
        <w:t>В.</w:t>
      </w:r>
      <w:r>
        <w:tab/>
      </w:r>
      <w:r w:rsidR="00227FF8" w:rsidRPr="008447A4">
        <w:t>Пункт 1.3</w:t>
      </w:r>
    </w:p>
    <w:p w:rsidR="00227FF8" w:rsidRPr="008447A4" w:rsidRDefault="00227FF8" w:rsidP="008447A4">
      <w:pPr>
        <w:pStyle w:val="SingleTxtG"/>
      </w:pPr>
      <w:r w:rsidRPr="008447A4">
        <w:t>2.</w:t>
      </w:r>
      <w:r w:rsidRPr="008447A4">
        <w:tab/>
        <w:t>В ходе совещаний неофициальной рабочей группы по СВЭС (работа которой началась в 2013 году) изначально было принято решение о введении надлежащих исключений в рамках области применения Правил №</w:t>
      </w:r>
      <w:r w:rsidR="00C33E4C">
        <w:t xml:space="preserve"> </w:t>
      </w:r>
      <w:r w:rsidRPr="008447A4">
        <w:t>144 ООН</w:t>
      </w:r>
      <w:r w:rsidR="008447A4">
        <w:t>, указанных</w:t>
      </w:r>
      <w:r w:rsidR="008447A4">
        <w:br/>
      </w:r>
      <w:r w:rsidRPr="008447A4">
        <w:t>в пункте</w:t>
      </w:r>
      <w:r w:rsidR="008447A4">
        <w:t>1.3 b)–</w:t>
      </w:r>
      <w:r w:rsidRPr="008447A4">
        <w:t>d). Соответствующие решения были приняты на начальном этапе подготовки требований к СВЭС на основе результатов ряда исследовательских испытаний. Пока не было получено значительного объема данных в отношении сертификационных испытаний транспортных средств в части оценки работоспособности СВЭС.</w:t>
      </w:r>
    </w:p>
    <w:p w:rsidR="00227FF8" w:rsidRPr="008447A4" w:rsidRDefault="00227FF8" w:rsidP="008447A4">
      <w:pPr>
        <w:pStyle w:val="SingleTxtG"/>
      </w:pPr>
      <w:r w:rsidRPr="008447A4">
        <w:t>3.</w:t>
      </w:r>
      <w:r w:rsidRPr="008447A4">
        <w:tab/>
        <w:t>Требования технического регламента Таможенного союза «О безопасности колесных транспортных средств» (ТР ТС 018/2011) предписывают, что все транспортные средства категории M</w:t>
      </w:r>
      <w:r w:rsidRPr="008447A4">
        <w:rPr>
          <w:vertAlign w:val="subscript"/>
        </w:rPr>
        <w:t>1</w:t>
      </w:r>
      <w:r w:rsidRPr="008447A4">
        <w:t xml:space="preserve"> (</w:t>
      </w:r>
      <w:r w:rsidR="008447A4">
        <w:t>входящие в область применения</w:t>
      </w:r>
      <w:r w:rsidR="008447A4">
        <w:br/>
      </w:r>
      <w:r w:rsidRPr="008447A4">
        <w:t>Правил № 94 ООН и Правил № 95 ООН) и категории N</w:t>
      </w:r>
      <w:r w:rsidRPr="008447A4">
        <w:rPr>
          <w:vertAlign w:val="subscript"/>
        </w:rPr>
        <w:t xml:space="preserve">1 </w:t>
      </w:r>
      <w:r w:rsidRPr="00C33E4C">
        <w:t>(</w:t>
      </w:r>
      <w:r w:rsidRPr="008447A4">
        <w:t>входящие в область применения Правил № 95 ООН) следует оснащать СВЭС, которая должна обеспечить передачу минимального набора данных (МНД) при срабатывании подушки (подушек) безопасности или по сигналу датчика (датчиков) других компонентов системы пассивной безопасности либо других систем транспортного средства, определяющих уровень замедления транспортного средства при проведении испытаний, предусмотренных Правилами № 94 ООН и Правилами № 95 ООН (в зависимости от того, какие из этих правил являются применимыми).</w:t>
      </w:r>
    </w:p>
    <w:p w:rsidR="00227FF8" w:rsidRPr="008447A4" w:rsidRDefault="00227FF8" w:rsidP="008447A4">
      <w:pPr>
        <w:pStyle w:val="SingleTxtG"/>
      </w:pPr>
      <w:r w:rsidRPr="008447A4">
        <w:t>4.</w:t>
      </w:r>
      <w:r w:rsidRPr="008447A4">
        <w:tab/>
        <w:t>К настоящему времени проведены сотни сертификационных испытаний транспортных средств, оборудованных СВЭС, на соответствие вышеуказанным требованиям ТР ТС 018/2011, и:</w:t>
      </w:r>
    </w:p>
    <w:p w:rsidR="00227FF8" w:rsidRPr="008447A4" w:rsidRDefault="008447A4" w:rsidP="008447A4">
      <w:pPr>
        <w:pStyle w:val="SingleTxtG"/>
      </w:pPr>
      <w:r>
        <w:tab/>
      </w:r>
      <w:r>
        <w:tab/>
      </w:r>
      <w:r w:rsidR="00227FF8" w:rsidRPr="008447A4">
        <w:t>а)</w:t>
      </w:r>
      <w:r w:rsidR="00227FF8" w:rsidRPr="008447A4">
        <w:tab/>
        <w:t>все транспортные средства</w:t>
      </w:r>
      <w:r>
        <w:t>, входящие в область применения</w:t>
      </w:r>
      <w:r>
        <w:br/>
      </w:r>
      <w:r w:rsidR="00227FF8" w:rsidRPr="008447A4">
        <w:t>Правил № 94 ООН и/или Правил № 95 ООН (в зависимости от того, какие из этих правил являются применимыми), были испытаны с целью оценки работоспособности системы (передача МНД и обеспечение двустороннего голосового соединения) для определения степени их соответствия указанным выше требованиям;</w:t>
      </w:r>
    </w:p>
    <w:p w:rsidR="00227FF8" w:rsidRPr="008447A4" w:rsidRDefault="008447A4" w:rsidP="008447A4">
      <w:pPr>
        <w:pStyle w:val="SingleTxtG"/>
      </w:pPr>
      <w:r w:rsidRPr="006A7E69">
        <w:tab/>
      </w:r>
      <w:r w:rsidRPr="006A7E69">
        <w:tab/>
      </w:r>
      <w:r w:rsidR="00227FF8" w:rsidRPr="008447A4">
        <w:rPr>
          <w:lang w:val="en-US"/>
        </w:rPr>
        <w:t>b</w:t>
      </w:r>
      <w:r w:rsidR="00227FF8" w:rsidRPr="008447A4">
        <w:t>)</w:t>
      </w:r>
      <w:r w:rsidR="00227FF8" w:rsidRPr="008447A4">
        <w:tab/>
        <w:t>некоторые из испытанных транспортных средств не были оснащены боковой подушкой безопасности и успешно прошли испытания в части оценки работоспособности системы при проведении испытаний, предусмотренных Правилами № 95 ООН;</w:t>
      </w:r>
    </w:p>
    <w:p w:rsidR="00227FF8" w:rsidRPr="008447A4" w:rsidRDefault="008447A4" w:rsidP="008447A4">
      <w:pPr>
        <w:pStyle w:val="SingleTxtG"/>
      </w:pPr>
      <w:r>
        <w:lastRenderedPageBreak/>
        <w:tab/>
      </w:r>
      <w:r>
        <w:tab/>
      </w:r>
      <w:r w:rsidR="00227FF8" w:rsidRPr="008447A4">
        <w:t>с)</w:t>
      </w:r>
      <w:r w:rsidR="00227FF8" w:rsidRPr="008447A4">
        <w:tab/>
        <w:t xml:space="preserve">некоторые транспортные средства, официально утвержденные по такому типу конструкции, были испытаны в рамках программы государственного надзора в части их оценки требованиям в отношении работоспособности системы. </w:t>
      </w:r>
    </w:p>
    <w:p w:rsidR="00227FF8" w:rsidRPr="008447A4" w:rsidRDefault="00227FF8" w:rsidP="008447A4">
      <w:pPr>
        <w:pStyle w:val="SingleTxtG"/>
      </w:pPr>
      <w:r w:rsidRPr="008447A4">
        <w:t>5.</w:t>
      </w:r>
      <w:r w:rsidRPr="008447A4">
        <w:tab/>
        <w:t xml:space="preserve">Основная идея оценки соответствия согласно Правилам № 144 ООН состоит в проверке работоспособности СВЭС (передача МНД, установление двустороннего голосового соединения), а не в оценке работоспособности систем (технологий) пассивной безопасности, для чего применяются другие Правила ООН. </w:t>
      </w:r>
    </w:p>
    <w:p w:rsidR="00227FF8" w:rsidRPr="008447A4" w:rsidRDefault="00227FF8" w:rsidP="008447A4">
      <w:pPr>
        <w:pStyle w:val="SingleTxtG"/>
      </w:pPr>
      <w:r w:rsidRPr="008447A4">
        <w:t>6.</w:t>
      </w:r>
      <w:r w:rsidRPr="008447A4">
        <w:tab/>
        <w:t xml:space="preserve">С учетом вышеизложенного предлагается исключить из области применения Правил № 144 ООН (пункт 1.3) подпункты b) и с). </w:t>
      </w:r>
    </w:p>
    <w:p w:rsidR="00227FF8" w:rsidRPr="008447A4" w:rsidRDefault="008447A4" w:rsidP="008447A4">
      <w:pPr>
        <w:pStyle w:val="H1G"/>
      </w:pPr>
      <w:r>
        <w:tab/>
      </w:r>
      <w:r w:rsidR="00227FF8" w:rsidRPr="008447A4">
        <w:t>С.</w:t>
      </w:r>
      <w:r w:rsidR="00227FF8" w:rsidRPr="008447A4">
        <w:tab/>
        <w:t>Пункт 34.1</w:t>
      </w:r>
    </w:p>
    <w:p w:rsidR="00227FF8" w:rsidRPr="008447A4" w:rsidRDefault="008447A4" w:rsidP="008447A4">
      <w:pPr>
        <w:pStyle w:val="SingleTxtG"/>
      </w:pPr>
      <w:r>
        <w:t>7.</w:t>
      </w:r>
      <w:r w:rsidR="00227FF8" w:rsidRPr="008447A4">
        <w:tab/>
        <w:t xml:space="preserve">Данное предложение направлено на согласование требований в отношении источника питания в пункте 34.1 части </w:t>
      </w:r>
      <w:r w:rsidR="00227FF8" w:rsidRPr="008447A4">
        <w:rPr>
          <w:lang w:val="en-US"/>
        </w:rPr>
        <w:t>III</w:t>
      </w:r>
      <w:r w:rsidR="00227FF8" w:rsidRPr="008447A4">
        <w:t xml:space="preserve"> с аналогичными требованиями пункта 25.1 части </w:t>
      </w:r>
      <w:r w:rsidR="00227FF8" w:rsidRPr="008447A4">
        <w:rPr>
          <w:lang w:val="en-US"/>
        </w:rPr>
        <w:t>II</w:t>
      </w:r>
      <w:r w:rsidR="00227FF8" w:rsidRPr="008447A4">
        <w:t>.</w:t>
      </w:r>
    </w:p>
    <w:p w:rsidR="00227FF8" w:rsidRPr="008447A4" w:rsidRDefault="008447A4" w:rsidP="008447A4">
      <w:pPr>
        <w:pStyle w:val="H1G"/>
      </w:pPr>
      <w:r>
        <w:tab/>
      </w:r>
      <w:r w:rsidR="00227FF8" w:rsidRPr="008447A4">
        <w:t>D.</w:t>
      </w:r>
      <w:r w:rsidR="00227FF8" w:rsidRPr="008447A4">
        <w:tab/>
        <w:t xml:space="preserve">Пункт 41 </w:t>
      </w:r>
    </w:p>
    <w:p w:rsidR="00227FF8" w:rsidRPr="008447A4" w:rsidRDefault="00227FF8" w:rsidP="008447A4">
      <w:pPr>
        <w:pStyle w:val="SingleTxtG"/>
      </w:pPr>
      <w:r w:rsidRPr="008447A4">
        <w:t>8.</w:t>
      </w:r>
      <w:r w:rsidRPr="008447A4">
        <w:tab/>
        <w:t xml:space="preserve">С учетом того, что предложение по поправкам серии 01 предусматривает удаление исключений b) и с) в пункте 1.3 области применения и, соответственно, более жесткие требования, соответствующие изменения следует внести на основании поправок новой серии с надлежащими переходными положениями и периодом </w:t>
      </w:r>
      <w:r w:rsidR="006A7E69">
        <w:t>два </w:t>
      </w:r>
      <w:r w:rsidRPr="008447A4">
        <w:t xml:space="preserve">года. </w:t>
      </w:r>
    </w:p>
    <w:p w:rsidR="00227FF8" w:rsidRPr="008447A4" w:rsidRDefault="00227FF8" w:rsidP="00000B95">
      <w:pPr>
        <w:pStyle w:val="SingleTxtGR"/>
        <w:suppressAutoHyphens/>
        <w:spacing w:before="240" w:after="0"/>
        <w:jc w:val="center"/>
        <w:rPr>
          <w:spacing w:val="0"/>
          <w:w w:val="100"/>
          <w:kern w:val="0"/>
        </w:rPr>
      </w:pPr>
      <w:r w:rsidRPr="008447A4">
        <w:rPr>
          <w:spacing w:val="0"/>
          <w:w w:val="100"/>
          <w:kern w:val="0"/>
          <w:u w:val="single"/>
        </w:rPr>
        <w:tab/>
      </w:r>
      <w:r w:rsidRPr="008447A4">
        <w:rPr>
          <w:spacing w:val="0"/>
          <w:w w:val="100"/>
          <w:kern w:val="0"/>
          <w:u w:val="single"/>
        </w:rPr>
        <w:tab/>
      </w:r>
      <w:r w:rsidRPr="008447A4">
        <w:rPr>
          <w:spacing w:val="0"/>
          <w:w w:val="100"/>
          <w:kern w:val="0"/>
          <w:u w:val="single"/>
        </w:rPr>
        <w:tab/>
      </w:r>
    </w:p>
    <w:p w:rsidR="00E12C5F" w:rsidRPr="008447A4" w:rsidRDefault="00E12C5F" w:rsidP="00000B95">
      <w:pPr>
        <w:pStyle w:val="SingleTxtG"/>
      </w:pPr>
    </w:p>
    <w:sectPr w:rsidR="00E12C5F" w:rsidRPr="008447A4" w:rsidSect="00227FF8">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6973" w:rsidRPr="00A312BC" w:rsidRDefault="00B36973" w:rsidP="00A312BC"/>
  </w:endnote>
  <w:endnote w:type="continuationSeparator" w:id="0">
    <w:p w:rsidR="00B36973" w:rsidRPr="00A312BC" w:rsidRDefault="00B36973"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FF8" w:rsidRPr="00227FF8" w:rsidRDefault="00227FF8">
    <w:pPr>
      <w:pStyle w:val="Footer"/>
    </w:pPr>
    <w:r w:rsidRPr="00227FF8">
      <w:rPr>
        <w:b/>
        <w:sz w:val="18"/>
      </w:rPr>
      <w:fldChar w:fldCharType="begin"/>
    </w:r>
    <w:r w:rsidRPr="00227FF8">
      <w:rPr>
        <w:b/>
        <w:sz w:val="18"/>
      </w:rPr>
      <w:instrText xml:space="preserve"> PAGE  \* MERGEFORMAT </w:instrText>
    </w:r>
    <w:r w:rsidRPr="00227FF8">
      <w:rPr>
        <w:b/>
        <w:sz w:val="18"/>
      </w:rPr>
      <w:fldChar w:fldCharType="separate"/>
    </w:r>
    <w:r w:rsidR="002E3E6B">
      <w:rPr>
        <w:b/>
        <w:noProof/>
        <w:sz w:val="18"/>
      </w:rPr>
      <w:t>2</w:t>
    </w:r>
    <w:r w:rsidRPr="00227FF8">
      <w:rPr>
        <w:b/>
        <w:sz w:val="18"/>
      </w:rPr>
      <w:fldChar w:fldCharType="end"/>
    </w:r>
    <w:r>
      <w:rPr>
        <w:b/>
        <w:sz w:val="18"/>
      </w:rPr>
      <w:tab/>
    </w:r>
    <w:r>
      <w:t>GE.19-12290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FF8" w:rsidRPr="00227FF8" w:rsidRDefault="00227FF8" w:rsidP="00227FF8">
    <w:pPr>
      <w:pStyle w:val="Footer"/>
      <w:tabs>
        <w:tab w:val="clear" w:pos="9639"/>
        <w:tab w:val="right" w:pos="9638"/>
      </w:tabs>
      <w:rPr>
        <w:b/>
        <w:sz w:val="18"/>
      </w:rPr>
    </w:pPr>
    <w:r>
      <w:t>GE.19-12290</w:t>
    </w:r>
    <w:r>
      <w:tab/>
    </w:r>
    <w:r w:rsidRPr="00227FF8">
      <w:rPr>
        <w:b/>
        <w:sz w:val="18"/>
      </w:rPr>
      <w:fldChar w:fldCharType="begin"/>
    </w:r>
    <w:r w:rsidRPr="00227FF8">
      <w:rPr>
        <w:b/>
        <w:sz w:val="18"/>
      </w:rPr>
      <w:instrText xml:space="preserve"> PAGE  \* MERGEFORMAT </w:instrText>
    </w:r>
    <w:r w:rsidRPr="00227FF8">
      <w:rPr>
        <w:b/>
        <w:sz w:val="18"/>
      </w:rPr>
      <w:fldChar w:fldCharType="separate"/>
    </w:r>
    <w:r w:rsidR="002E3E6B">
      <w:rPr>
        <w:b/>
        <w:noProof/>
        <w:sz w:val="18"/>
      </w:rPr>
      <w:t>3</w:t>
    </w:r>
    <w:r w:rsidRPr="00227FF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B72" w:rsidRPr="00227FF8" w:rsidRDefault="00227FF8" w:rsidP="00227FF8">
    <w:pPr>
      <w:spacing w:before="120" w:line="240" w:lineRule="auto"/>
    </w:pPr>
    <w:r>
      <w:t>GE.</w:t>
    </w:r>
    <w:r w:rsidR="00DF71B9">
      <w:rPr>
        <w:b/>
        <w:noProof/>
        <w:lang w:val="en-US"/>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19-12290  (R)</w:t>
    </w:r>
    <w:r w:rsidR="00000B95">
      <w:rPr>
        <w:lang w:val="en-US"/>
      </w:rPr>
      <w:t xml:space="preserve">  220719  310719</w:t>
    </w:r>
    <w:r>
      <w:br/>
    </w:r>
    <w:r w:rsidRPr="00227FF8">
      <w:rPr>
        <w:rFonts w:ascii="C39T30Lfz" w:hAnsi="C39T30Lfz"/>
        <w:kern w:val="14"/>
        <w:sz w:val="56"/>
      </w:rPr>
      <w:t></w:t>
    </w:r>
    <w:r w:rsidRPr="00227FF8">
      <w:rPr>
        <w:rFonts w:ascii="C39T30Lfz" w:hAnsi="C39T30Lfz"/>
        <w:kern w:val="14"/>
        <w:sz w:val="56"/>
      </w:rPr>
      <w:t></w:t>
    </w:r>
    <w:r w:rsidRPr="00227FF8">
      <w:rPr>
        <w:rFonts w:ascii="C39T30Lfz" w:hAnsi="C39T30Lfz"/>
        <w:kern w:val="14"/>
        <w:sz w:val="56"/>
      </w:rPr>
      <w:t></w:t>
    </w:r>
    <w:r w:rsidRPr="00227FF8">
      <w:rPr>
        <w:rFonts w:ascii="C39T30Lfz" w:hAnsi="C39T30Lfz"/>
        <w:kern w:val="14"/>
        <w:sz w:val="56"/>
      </w:rPr>
      <w:t></w:t>
    </w:r>
    <w:r w:rsidRPr="00227FF8">
      <w:rPr>
        <w:rFonts w:ascii="C39T30Lfz" w:hAnsi="C39T30Lfz"/>
        <w:kern w:val="14"/>
        <w:sz w:val="56"/>
      </w:rPr>
      <w:t></w:t>
    </w:r>
    <w:r w:rsidRPr="00227FF8">
      <w:rPr>
        <w:rFonts w:ascii="C39T30Lfz" w:hAnsi="C39T30Lfz"/>
        <w:kern w:val="14"/>
        <w:sz w:val="56"/>
      </w:rPr>
      <w:t></w:t>
    </w:r>
    <w:r w:rsidRPr="00227FF8">
      <w:rPr>
        <w:rFonts w:ascii="C39T30Lfz" w:hAnsi="C39T30Lfz"/>
        <w:kern w:val="14"/>
        <w:sz w:val="56"/>
      </w:rPr>
      <w:t></w:t>
    </w:r>
    <w:r w:rsidRPr="00227FF8">
      <w:rPr>
        <w:rFonts w:ascii="C39T30Lfz" w:hAnsi="C39T30Lfz"/>
        <w:kern w:val="14"/>
        <w:sz w:val="56"/>
      </w:rPr>
      <w:t></w:t>
    </w:r>
    <w:r w:rsidRPr="00227FF8">
      <w:rPr>
        <w:rFonts w:ascii="C39T30Lfz" w:hAnsi="C39T30Lfz"/>
        <w:kern w:val="14"/>
        <w:sz w:val="56"/>
      </w:rPr>
      <w:t></w:t>
    </w:r>
    <w:r>
      <w:rPr>
        <w:noProof/>
        <w:lang w:val="en-US"/>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GRSG/2019/23&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2019/23&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6973" w:rsidRPr="001075E9" w:rsidRDefault="00B36973" w:rsidP="001075E9">
      <w:pPr>
        <w:tabs>
          <w:tab w:val="right" w:pos="2155"/>
        </w:tabs>
        <w:spacing w:after="80" w:line="240" w:lineRule="auto"/>
        <w:ind w:left="680"/>
        <w:rPr>
          <w:u w:val="single"/>
        </w:rPr>
      </w:pPr>
      <w:r>
        <w:rPr>
          <w:u w:val="single"/>
        </w:rPr>
        <w:tab/>
      </w:r>
    </w:p>
  </w:footnote>
  <w:footnote w:type="continuationSeparator" w:id="0">
    <w:p w:rsidR="00B36973" w:rsidRDefault="00B36973" w:rsidP="00407B78">
      <w:pPr>
        <w:tabs>
          <w:tab w:val="right" w:pos="2155"/>
        </w:tabs>
        <w:spacing w:after="80"/>
        <w:ind w:left="680"/>
        <w:rPr>
          <w:u w:val="single"/>
        </w:rPr>
      </w:pPr>
      <w:r>
        <w:rPr>
          <w:u w:val="single"/>
        </w:rPr>
        <w:tab/>
      </w:r>
    </w:p>
  </w:footnote>
  <w:footnote w:id="1">
    <w:p w:rsidR="00227FF8" w:rsidRPr="00D84698" w:rsidRDefault="00227FF8" w:rsidP="00227FF8">
      <w:pPr>
        <w:pStyle w:val="FootnoteText"/>
        <w:tabs>
          <w:tab w:val="clear" w:pos="1021"/>
        </w:tabs>
        <w:ind w:hanging="283"/>
      </w:pPr>
      <w:r w:rsidRPr="00D84698">
        <w:rPr>
          <w:rStyle w:val="FootnoteReference"/>
          <w:sz w:val="20"/>
          <w:vertAlign w:val="baseline"/>
        </w:rPr>
        <w:t>*</w:t>
      </w:r>
      <w:r w:rsidRPr="005F15D1">
        <w:tab/>
      </w:r>
      <w:r w:rsidRPr="00DD27BB">
        <w:rPr>
          <w:szCs w:val="18"/>
        </w:rPr>
        <w:t>В соответствии с программой работы Комитета по внутреннему транспорту на 2018–2019 годы (</w:t>
      </w:r>
      <w:r>
        <w:rPr>
          <w:szCs w:val="18"/>
          <w:lang w:val="en-US"/>
        </w:rPr>
        <w:t>ECE</w:t>
      </w:r>
      <w:r w:rsidRPr="00DD27BB">
        <w:rPr>
          <w:szCs w:val="18"/>
        </w:rPr>
        <w:t>/</w:t>
      </w:r>
      <w:r>
        <w:rPr>
          <w:szCs w:val="18"/>
          <w:lang w:val="en-US"/>
        </w:rPr>
        <w:t>TRANS</w:t>
      </w:r>
      <w:r w:rsidRPr="00DD27BB">
        <w:rPr>
          <w:szCs w:val="18"/>
        </w:rPr>
        <w:t xml:space="preserve">/274, пункт 123, и </w:t>
      </w:r>
      <w:r>
        <w:rPr>
          <w:szCs w:val="18"/>
          <w:lang w:val="en-US"/>
        </w:rPr>
        <w:t>ECE</w:t>
      </w:r>
      <w:r w:rsidRPr="00DD27BB">
        <w:rPr>
          <w:szCs w:val="18"/>
        </w:rPr>
        <w:t>/</w:t>
      </w:r>
      <w:r>
        <w:rPr>
          <w:szCs w:val="18"/>
          <w:lang w:val="en-US"/>
        </w:rPr>
        <w:t>TRANS</w:t>
      </w:r>
      <w:r w:rsidRPr="00DD27BB">
        <w:rPr>
          <w:szCs w:val="18"/>
        </w:rPr>
        <w:t>/2018/21/</w:t>
      </w:r>
      <w:r>
        <w:rPr>
          <w:szCs w:val="18"/>
          <w:lang w:val="en-US"/>
        </w:rPr>
        <w:t>Add</w:t>
      </w:r>
      <w:r w:rsidRPr="00DD27BB">
        <w:rPr>
          <w:szCs w:val="18"/>
        </w:rPr>
        <w:t xml:space="preserve">.1, направление деятельности 3.1) Всемирный форум будет разрабатывать, согласовывать и обновлять правила ООН в целях улучшения характеристик транспортных средств. </w:t>
      </w:r>
      <w:r>
        <w:rPr>
          <w:szCs w:val="18"/>
          <w:lang w:val="en-US"/>
        </w:rPr>
        <w:t>Настоящий документ представлен в 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FF8" w:rsidRPr="00227FF8" w:rsidRDefault="002E3E6B">
    <w:pPr>
      <w:pStyle w:val="Header"/>
    </w:pPr>
    <w:fldSimple w:instr=" TITLE  \* MERGEFORMAT ">
      <w:r>
        <w:t>ECE/TRANS/WP.29/GRSG/2019/23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FF8" w:rsidRPr="00227FF8" w:rsidRDefault="002E3E6B" w:rsidP="00227FF8">
    <w:pPr>
      <w:pStyle w:val="Header"/>
      <w:jc w:val="right"/>
    </w:pPr>
    <w:fldSimple w:instr=" TITLE  \* MERGEFORMAT ">
      <w:r>
        <w:t>ECE/TRANS/WP.29/GRSG/2019/23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973"/>
    <w:rsid w:val="00000B95"/>
    <w:rsid w:val="00033EE1"/>
    <w:rsid w:val="00042B72"/>
    <w:rsid w:val="000558BD"/>
    <w:rsid w:val="000B57E7"/>
    <w:rsid w:val="000B6373"/>
    <w:rsid w:val="000E4E5B"/>
    <w:rsid w:val="000F09DF"/>
    <w:rsid w:val="000F61B2"/>
    <w:rsid w:val="001075E9"/>
    <w:rsid w:val="0014152F"/>
    <w:rsid w:val="00180183"/>
    <w:rsid w:val="0018024D"/>
    <w:rsid w:val="0018649F"/>
    <w:rsid w:val="00196389"/>
    <w:rsid w:val="001B3EF6"/>
    <w:rsid w:val="001C7A89"/>
    <w:rsid w:val="00227FF8"/>
    <w:rsid w:val="00255343"/>
    <w:rsid w:val="0027151D"/>
    <w:rsid w:val="002A2EFC"/>
    <w:rsid w:val="002B0106"/>
    <w:rsid w:val="002B74B1"/>
    <w:rsid w:val="002C0E18"/>
    <w:rsid w:val="002D5AAC"/>
    <w:rsid w:val="002E3E6B"/>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40EE6"/>
    <w:rsid w:val="00452493"/>
    <w:rsid w:val="00453318"/>
    <w:rsid w:val="00454AF2"/>
    <w:rsid w:val="00454E07"/>
    <w:rsid w:val="00472C5C"/>
    <w:rsid w:val="004E05B7"/>
    <w:rsid w:val="004E6A31"/>
    <w:rsid w:val="0050108D"/>
    <w:rsid w:val="00513081"/>
    <w:rsid w:val="00517901"/>
    <w:rsid w:val="00526683"/>
    <w:rsid w:val="005639C1"/>
    <w:rsid w:val="005705B5"/>
    <w:rsid w:val="005709E0"/>
    <w:rsid w:val="00572E19"/>
    <w:rsid w:val="005961C8"/>
    <w:rsid w:val="005966F1"/>
    <w:rsid w:val="005D7914"/>
    <w:rsid w:val="005E2B41"/>
    <w:rsid w:val="005F0B42"/>
    <w:rsid w:val="00617A43"/>
    <w:rsid w:val="006345DB"/>
    <w:rsid w:val="00640F49"/>
    <w:rsid w:val="00680D03"/>
    <w:rsid w:val="00681A10"/>
    <w:rsid w:val="006A1ED8"/>
    <w:rsid w:val="006A7E69"/>
    <w:rsid w:val="006C2031"/>
    <w:rsid w:val="006D461A"/>
    <w:rsid w:val="006F35EE"/>
    <w:rsid w:val="007021FF"/>
    <w:rsid w:val="00712895"/>
    <w:rsid w:val="00734ACB"/>
    <w:rsid w:val="00757357"/>
    <w:rsid w:val="00792497"/>
    <w:rsid w:val="00806737"/>
    <w:rsid w:val="00825F8D"/>
    <w:rsid w:val="00834B71"/>
    <w:rsid w:val="008447A4"/>
    <w:rsid w:val="0086445C"/>
    <w:rsid w:val="00894693"/>
    <w:rsid w:val="008A08D7"/>
    <w:rsid w:val="008A37C8"/>
    <w:rsid w:val="008B6909"/>
    <w:rsid w:val="008D53B6"/>
    <w:rsid w:val="008F7609"/>
    <w:rsid w:val="00906890"/>
    <w:rsid w:val="00911BE4"/>
    <w:rsid w:val="00951972"/>
    <w:rsid w:val="009608F3"/>
    <w:rsid w:val="009A24AC"/>
    <w:rsid w:val="009C59D7"/>
    <w:rsid w:val="009C6FE6"/>
    <w:rsid w:val="009D7E7D"/>
    <w:rsid w:val="00A14DA8"/>
    <w:rsid w:val="00A312BC"/>
    <w:rsid w:val="00A84021"/>
    <w:rsid w:val="00A84D35"/>
    <w:rsid w:val="00A917B3"/>
    <w:rsid w:val="00AB4B51"/>
    <w:rsid w:val="00B10CC7"/>
    <w:rsid w:val="00B36973"/>
    <w:rsid w:val="00B36DF7"/>
    <w:rsid w:val="00B539E7"/>
    <w:rsid w:val="00B62458"/>
    <w:rsid w:val="00BC18B2"/>
    <w:rsid w:val="00BD33EE"/>
    <w:rsid w:val="00BE1CC7"/>
    <w:rsid w:val="00C106D6"/>
    <w:rsid w:val="00C119AE"/>
    <w:rsid w:val="00C33E4C"/>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D78D1"/>
    <w:rsid w:val="00DE32CD"/>
    <w:rsid w:val="00DF5767"/>
    <w:rsid w:val="00DF71B9"/>
    <w:rsid w:val="00E12C5F"/>
    <w:rsid w:val="00E73F76"/>
    <w:rsid w:val="00EA2C9F"/>
    <w:rsid w:val="00EA420E"/>
    <w:rsid w:val="00ED0BDA"/>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126ABD7-AC7E-4E40-8E75-2E021B6B6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1"/>
    <w:semiHidden/>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
    <w:semiHidden/>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qFormat/>
    <w:rsid w:val="00C71E84"/>
    <w:pPr>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617A43"/>
    <w:rPr>
      <w:sz w:val="16"/>
      <w:lang w:val="en-GB" w:eastAsia="ru-RU"/>
    </w:rPr>
  </w:style>
  <w:style w:type="character" w:styleId="FootnoteReference">
    <w:name w:val="footnote reference"/>
    <w:aliases w:val="4_G,4_GR"/>
    <w:basedOn w:val="DefaultParagraphFont"/>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5_GR,PP,Footnote Text Char,_GR"/>
    <w:basedOn w:val="Normal"/>
    <w:link w:val="FootnoteTextChar1"/>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1">
    <w:name w:val="Footnote Text Char1"/>
    <w:aliases w:val="5_G Char,5_GR Char,PP Char,Footnote Text Char Char,_GR Char"/>
    <w:basedOn w:val="DefaultParagraphFont"/>
    <w:link w:val="FootnoteText"/>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character" w:styleId="Hyperlink">
    <w:name w:val="Hyperlink"/>
    <w:basedOn w:val="DefaultParagraphFont"/>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paragraph" w:customStyle="1" w:styleId="HChGR">
    <w:name w:val="_ H _Ch_GR"/>
    <w:basedOn w:val="Normal"/>
    <w:next w:val="Normal"/>
    <w:qFormat/>
    <w:rsid w:val="00227FF8"/>
    <w:pPr>
      <w:keepNext/>
      <w:keepLines/>
      <w:tabs>
        <w:tab w:val="right" w:pos="851"/>
      </w:tabs>
      <w:spacing w:before="360" w:after="240" w:line="300" w:lineRule="exact"/>
      <w:ind w:left="1134" w:right="1134" w:hanging="1134"/>
    </w:pPr>
    <w:rPr>
      <w:rFonts w:eastAsia="Times New Roman" w:cs="Times New Roman"/>
      <w:b/>
      <w:spacing w:val="4"/>
      <w:w w:val="103"/>
      <w:kern w:val="14"/>
      <w:sz w:val="28"/>
      <w:szCs w:val="20"/>
      <w:lang w:eastAsia="ru-RU"/>
    </w:rPr>
  </w:style>
  <w:style w:type="paragraph" w:customStyle="1" w:styleId="H1GR">
    <w:name w:val="_ H_1_GR"/>
    <w:basedOn w:val="Normal"/>
    <w:next w:val="Normal"/>
    <w:qFormat/>
    <w:rsid w:val="00227FF8"/>
    <w:pPr>
      <w:keepNext/>
      <w:keepLines/>
      <w:tabs>
        <w:tab w:val="right" w:pos="851"/>
      </w:tabs>
      <w:spacing w:before="360" w:after="240" w:line="270" w:lineRule="exact"/>
      <w:ind w:left="1134" w:right="1134" w:hanging="1134"/>
    </w:pPr>
    <w:rPr>
      <w:rFonts w:eastAsia="Times New Roman" w:cs="Times New Roman"/>
      <w:b/>
      <w:spacing w:val="4"/>
      <w:w w:val="103"/>
      <w:kern w:val="14"/>
      <w:sz w:val="24"/>
      <w:szCs w:val="20"/>
      <w:lang w:eastAsia="ru-RU"/>
    </w:rPr>
  </w:style>
  <w:style w:type="paragraph" w:customStyle="1" w:styleId="SingleTxtGR">
    <w:name w:val="_ Single Txt_GR"/>
    <w:basedOn w:val="Normal"/>
    <w:link w:val="SingleTxtGR0"/>
    <w:qFormat/>
    <w:rsid w:val="00227FF8"/>
    <w:pPr>
      <w:tabs>
        <w:tab w:val="left" w:pos="1701"/>
        <w:tab w:val="left" w:pos="2268"/>
        <w:tab w:val="left" w:pos="2835"/>
        <w:tab w:val="left" w:pos="3402"/>
        <w:tab w:val="left" w:pos="3969"/>
      </w:tabs>
      <w:suppressAutoHyphens w:val="0"/>
      <w:spacing w:after="120"/>
      <w:ind w:left="1134" w:right="1134"/>
      <w:jc w:val="both"/>
    </w:pPr>
    <w:rPr>
      <w:rFonts w:eastAsia="Times New Roman" w:cs="Times New Roman"/>
      <w:spacing w:val="4"/>
      <w:w w:val="103"/>
      <w:kern w:val="14"/>
      <w:szCs w:val="20"/>
      <w:lang w:eastAsia="zh-CN"/>
    </w:rPr>
  </w:style>
  <w:style w:type="paragraph" w:styleId="ListParagraph">
    <w:name w:val="List Paragraph"/>
    <w:basedOn w:val="Normal"/>
    <w:uiPriority w:val="34"/>
    <w:qFormat/>
    <w:rsid w:val="00227FF8"/>
    <w:pPr>
      <w:ind w:left="720"/>
      <w:contextualSpacing/>
    </w:pPr>
    <w:rPr>
      <w:rFonts w:eastAsia="MS Mincho" w:cs="Times New Roman"/>
      <w:szCs w:val="20"/>
      <w:lang w:val="fr-CH"/>
    </w:rPr>
  </w:style>
  <w:style w:type="character" w:customStyle="1" w:styleId="SingleTxtGR0">
    <w:name w:val="_ Single Txt_GR Знак"/>
    <w:link w:val="SingleTxtGR"/>
    <w:rsid w:val="00227FF8"/>
    <w:rPr>
      <w:spacing w:val="4"/>
      <w:w w:val="103"/>
      <w:kern w:val="1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1196</Words>
  <Characters>6819</Characters>
  <Application>Microsoft Office Word</Application>
  <DocSecurity>0</DocSecurity>
  <Lines>56</Lines>
  <Paragraphs>15</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ECE/TRANS/WP.29/GRSG/2019/23</vt:lpstr>
      <vt:lpstr>ECE/TRANS/WP.29/GRSG/2019/23</vt:lpstr>
      <vt:lpstr>A/</vt:lpstr>
    </vt:vector>
  </TitlesOfParts>
  <Company>DCM</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ECE/TRANS/WP.29/GRSG/2019/23</dc:title>
  <dc:subject/>
  <dc:creator>Uliana ANTIPOVA</dc:creator>
  <cp:keywords/>
  <cp:lastModifiedBy>Marie-Claude Collet</cp:lastModifiedBy>
  <cp:revision>2</cp:revision>
  <cp:lastPrinted>2019-07-31T06:28:00Z</cp:lastPrinted>
  <dcterms:created xsi:type="dcterms:W3CDTF">2019-08-29T14:56:00Z</dcterms:created>
  <dcterms:modified xsi:type="dcterms:W3CDTF">2019-08-29T14:56:00Z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