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80D1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80D18" w:rsidP="00280D18">
            <w:pPr>
              <w:jc w:val="right"/>
            </w:pPr>
            <w:r w:rsidRPr="00280D18">
              <w:rPr>
                <w:sz w:val="40"/>
              </w:rPr>
              <w:t>ECE</w:t>
            </w:r>
            <w:r>
              <w:t>/TRANS/WP.29/GRPE/2019/7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80D18" w:rsidP="00C97039">
            <w:pPr>
              <w:spacing w:before="240"/>
            </w:pPr>
            <w:r>
              <w:t>Distr. générale</w:t>
            </w:r>
          </w:p>
          <w:p w:rsidR="00280D18" w:rsidRDefault="00280D18" w:rsidP="00280D18">
            <w:pPr>
              <w:spacing w:line="240" w:lineRule="exact"/>
            </w:pPr>
            <w:r>
              <w:t>26 octobre 2018</w:t>
            </w:r>
          </w:p>
          <w:p w:rsidR="00280D18" w:rsidRDefault="00280D18" w:rsidP="00280D18">
            <w:pPr>
              <w:spacing w:line="240" w:lineRule="exact"/>
            </w:pPr>
            <w:r>
              <w:t>Français</w:t>
            </w:r>
          </w:p>
          <w:p w:rsidR="00280D18" w:rsidRPr="00DB58B5" w:rsidRDefault="00280D18" w:rsidP="00280D1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A160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80D18" w:rsidRDefault="00280D1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0A160B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280D18" w:rsidRDefault="00280D18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</w:t>
      </w:r>
      <w:r w:rsidR="000A160B">
        <w:rPr>
          <w:b/>
        </w:rPr>
        <w:t>’</w:t>
      </w:r>
      <w:r>
        <w:rPr>
          <w:b/>
        </w:rPr>
        <w:t>énergie</w:t>
      </w:r>
    </w:p>
    <w:p w:rsidR="00280D18" w:rsidRDefault="00280D18" w:rsidP="00257168">
      <w:pPr>
        <w:spacing w:before="120" w:line="240" w:lineRule="exact"/>
        <w:rPr>
          <w:b/>
        </w:rPr>
      </w:pPr>
      <w:r>
        <w:rPr>
          <w:b/>
        </w:rPr>
        <w:t>Soixante-dix-huitième session</w:t>
      </w:r>
    </w:p>
    <w:p w:rsidR="00280D18" w:rsidRDefault="00280D18" w:rsidP="00257168">
      <w:pPr>
        <w:spacing w:line="240" w:lineRule="exact"/>
      </w:pPr>
      <w:r>
        <w:t>Genève, 8-11 janvier 2019</w:t>
      </w:r>
    </w:p>
    <w:p w:rsidR="00280D18" w:rsidRDefault="00280D18" w:rsidP="00257168">
      <w:pPr>
        <w:spacing w:line="240" w:lineRule="exact"/>
      </w:pPr>
      <w:r>
        <w:t>Point 5 de l</w:t>
      </w:r>
      <w:r w:rsidR="000A160B">
        <w:t>’</w:t>
      </w:r>
      <w:r>
        <w:t>ordre du jour provisoire</w:t>
      </w:r>
    </w:p>
    <w:p w:rsidR="00280D18" w:rsidRPr="00280D18" w:rsidRDefault="00280D18" w:rsidP="00280D18">
      <w:pPr>
        <w:rPr>
          <w:b/>
        </w:rPr>
      </w:pPr>
      <w:r>
        <w:rPr>
          <w:b/>
        </w:rPr>
        <w:t xml:space="preserve">Règlements ONU </w:t>
      </w:r>
      <w:r w:rsidRPr="00280D18">
        <w:rPr>
          <w:rFonts w:eastAsia="MS Mincho"/>
          <w:b/>
        </w:rPr>
        <w:t>n</w:t>
      </w:r>
      <w:r w:rsidRPr="00280D18">
        <w:rPr>
          <w:rFonts w:eastAsia="MS Mincho"/>
          <w:b/>
          <w:vertAlign w:val="superscript"/>
        </w:rPr>
        <w:t>o</w:t>
      </w:r>
      <w:r>
        <w:rPr>
          <w:rFonts w:eastAsia="MS Mincho"/>
          <w:b/>
          <w:vertAlign w:val="superscript"/>
        </w:rPr>
        <w:t>s</w:t>
      </w:r>
      <w:r>
        <w:rPr>
          <w:b/>
        </w:rPr>
        <w:t xml:space="preserve"> </w:t>
      </w:r>
      <w:r w:rsidRPr="00280D18">
        <w:rPr>
          <w:b/>
        </w:rPr>
        <w:t xml:space="preserve">24 (Émissions de polluants visibles, </w:t>
      </w:r>
      <w:r>
        <w:rPr>
          <w:b/>
        </w:rPr>
        <w:br/>
      </w:r>
      <w:r w:rsidRPr="00280D18">
        <w:rPr>
          <w:b/>
        </w:rPr>
        <w:t xml:space="preserve">mesure de la puissance des moteurs à allumage par compression </w:t>
      </w:r>
      <w:r>
        <w:rPr>
          <w:b/>
        </w:rPr>
        <w:br/>
      </w:r>
      <w:r w:rsidRPr="00280D18">
        <w:rPr>
          <w:b/>
        </w:rPr>
        <w:t xml:space="preserve">(fumées des moteurs diesel)), 85 (Mesure de la puissance nette), </w:t>
      </w:r>
      <w:r>
        <w:rPr>
          <w:b/>
        </w:rPr>
        <w:br/>
      </w:r>
      <w:r w:rsidRPr="00280D18">
        <w:rPr>
          <w:b/>
        </w:rPr>
        <w:t>115 (Systèmes d</w:t>
      </w:r>
      <w:r w:rsidR="000A160B">
        <w:rPr>
          <w:b/>
        </w:rPr>
        <w:t>’</w:t>
      </w:r>
      <w:r w:rsidRPr="00280D18">
        <w:rPr>
          <w:b/>
        </w:rPr>
        <w:t xml:space="preserve">adaptation au GPL et au GNC), </w:t>
      </w:r>
      <w:r>
        <w:rPr>
          <w:b/>
        </w:rPr>
        <w:br/>
      </w:r>
      <w:r w:rsidRPr="00280D18">
        <w:rPr>
          <w:b/>
        </w:rPr>
        <w:t xml:space="preserve">133 (Aptitude au recyclage des véhicules automobiles) et </w:t>
      </w:r>
      <w:r>
        <w:rPr>
          <w:b/>
        </w:rPr>
        <w:br/>
      </w:r>
      <w:r w:rsidRPr="00280D18">
        <w:rPr>
          <w:b/>
        </w:rPr>
        <w:t>143 (Systèmes d</w:t>
      </w:r>
      <w:r w:rsidR="000A160B">
        <w:rPr>
          <w:b/>
        </w:rPr>
        <w:t>’</w:t>
      </w:r>
      <w:r w:rsidRPr="00280D18">
        <w:rPr>
          <w:b/>
        </w:rPr>
        <w:t xml:space="preserve">adaptation des moteurs de véhicules </w:t>
      </w:r>
      <w:r>
        <w:rPr>
          <w:b/>
        </w:rPr>
        <w:br/>
      </w:r>
      <w:r w:rsidRPr="00280D18">
        <w:rPr>
          <w:b/>
        </w:rPr>
        <w:t>utilitaires lourds à la bicarburation)</w:t>
      </w:r>
    </w:p>
    <w:p w:rsidR="00280D18" w:rsidRPr="00354322" w:rsidRDefault="00280D18" w:rsidP="00280D18">
      <w:pPr>
        <w:pStyle w:val="HChG"/>
      </w:pPr>
      <w:r>
        <w:tab/>
      </w:r>
      <w:r w:rsidRPr="00354322">
        <w:tab/>
      </w:r>
      <w:r>
        <w:t xml:space="preserve">Proposition de </w:t>
      </w:r>
      <w:r w:rsidRPr="00280D18">
        <w:t>nouveau</w:t>
      </w:r>
      <w:r>
        <w:t xml:space="preserve"> complément à la version originale </w:t>
      </w:r>
      <w:r>
        <w:br/>
        <w:t xml:space="preserve">du Règlement ONU </w:t>
      </w:r>
      <w:r w:rsidRPr="00354322">
        <w:t>n</w:t>
      </w:r>
      <w:r w:rsidRPr="00354322">
        <w:rPr>
          <w:vertAlign w:val="superscript"/>
        </w:rPr>
        <w:t>o</w:t>
      </w:r>
      <w:r>
        <w:t xml:space="preserve"> </w:t>
      </w:r>
      <w:r w:rsidRPr="00354322">
        <w:rPr>
          <w:bCs/>
          <w:color w:val="000000"/>
        </w:rPr>
        <w:t>85 (Mesure de la puissance nette</w:t>
      </w:r>
      <w:r w:rsidRPr="00354322">
        <w:t>)</w:t>
      </w:r>
    </w:p>
    <w:p w:rsidR="00280D18" w:rsidRPr="00354322" w:rsidRDefault="00280D18" w:rsidP="00280D18">
      <w:pPr>
        <w:pStyle w:val="H1G"/>
      </w:pPr>
      <w:r w:rsidRPr="00354322">
        <w:tab/>
      </w:r>
      <w:r w:rsidRPr="00354322">
        <w:tab/>
        <w:t>Communication de l</w:t>
      </w:r>
      <w:r w:rsidR="000A160B">
        <w:t>’</w:t>
      </w:r>
      <w:r w:rsidRPr="00354322">
        <w:t>expert de l</w:t>
      </w:r>
      <w:r w:rsidR="000A160B">
        <w:t>’</w:t>
      </w:r>
      <w:r w:rsidRPr="00354322">
        <w:t>Organisation international</w:t>
      </w:r>
      <w:r>
        <w:t>e</w:t>
      </w:r>
      <w:r w:rsidRPr="00354322">
        <w:t xml:space="preserve"> </w:t>
      </w:r>
      <w:r>
        <w:br/>
      </w:r>
      <w:r w:rsidRPr="00354322">
        <w:t>des constructeurs d</w:t>
      </w:r>
      <w:r w:rsidR="000A160B">
        <w:t>’</w:t>
      </w:r>
      <w:r w:rsidRPr="00354322">
        <w:t>automobiles</w:t>
      </w:r>
      <w:r w:rsidRPr="00280D1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80D18" w:rsidRPr="000D25E3" w:rsidRDefault="00280D18" w:rsidP="00280D18">
      <w:pPr>
        <w:pStyle w:val="SingleTxtG"/>
      </w:pPr>
      <w:r>
        <w:tab/>
      </w:r>
      <w:r w:rsidRPr="00354322">
        <w:t xml:space="preserve">Le texte ci-après a été </w:t>
      </w:r>
      <w:r w:rsidRPr="00280D18">
        <w:t>établi</w:t>
      </w:r>
      <w:r w:rsidRPr="00354322">
        <w:t xml:space="preserve"> par l</w:t>
      </w:r>
      <w:r w:rsidR="000A160B">
        <w:t>’</w:t>
      </w:r>
      <w:r w:rsidRPr="00354322">
        <w:t>expert de l</w:t>
      </w:r>
      <w:r w:rsidR="000A160B">
        <w:t>’</w:t>
      </w:r>
      <w:r w:rsidRPr="00354322">
        <w:t>Organisation internationale des constructeurs d</w:t>
      </w:r>
      <w:r w:rsidR="000A160B">
        <w:t>’</w:t>
      </w:r>
      <w:r w:rsidRPr="00354322">
        <w:t xml:space="preserve">automobiles (OICA). </w:t>
      </w:r>
      <w:r w:rsidRPr="000D25E3">
        <w:t>Le présent document propose de modifier la formulation de la description des dispos</w:t>
      </w:r>
      <w:r w:rsidR="001E4979">
        <w:t>itifs auxiliaires à monter pour</w:t>
      </w:r>
      <w:r>
        <w:t xml:space="preserve"> les </w:t>
      </w:r>
      <w:r w:rsidRPr="000D25E3">
        <w:t>essai</w:t>
      </w:r>
      <w:r>
        <w:t>s</w:t>
      </w:r>
      <w:r w:rsidRPr="000D25E3">
        <w:t>, afin de réduire la charge de travail liée</w:t>
      </w:r>
      <w:r>
        <w:t xml:space="preserve"> à ceux-ci</w:t>
      </w:r>
      <w:r w:rsidRPr="000D25E3">
        <w:t>.</w:t>
      </w:r>
    </w:p>
    <w:p w:rsidR="00280D18" w:rsidRPr="00AE788B" w:rsidRDefault="00280D18" w:rsidP="001E4979">
      <w:pPr>
        <w:pStyle w:val="HChG"/>
      </w:pPr>
      <w:r w:rsidRPr="00AE788B">
        <w:br w:type="page"/>
      </w:r>
      <w:r w:rsidRPr="00AE788B">
        <w:lastRenderedPageBreak/>
        <w:tab/>
        <w:t>I.</w:t>
      </w:r>
      <w:r w:rsidRPr="00AE788B">
        <w:tab/>
      </w:r>
      <w:r w:rsidRPr="001E4979">
        <w:t>Proposition</w:t>
      </w:r>
    </w:p>
    <w:p w:rsidR="00280D18" w:rsidRPr="000D25E3" w:rsidRDefault="00280D18" w:rsidP="001E4979">
      <w:pPr>
        <w:pStyle w:val="SingleTxtG"/>
        <w:rPr>
          <w:lang w:eastAsia="ja-JP"/>
        </w:rPr>
      </w:pPr>
      <w:r w:rsidRPr="001E4979">
        <w:rPr>
          <w:i/>
        </w:rPr>
        <w:t>Annexe 5, tableau 1, note de bas de page 1b</w:t>
      </w:r>
      <w:r w:rsidRPr="000D25E3">
        <w:rPr>
          <w:rFonts w:hint="eastAsia"/>
          <w:lang w:eastAsia="ja-JP"/>
        </w:rPr>
        <w:t xml:space="preserve">, </w:t>
      </w:r>
      <w:r w:rsidRPr="000D25E3">
        <w:rPr>
          <w:lang w:eastAsia="ja-JP"/>
        </w:rPr>
        <w:t>lire</w:t>
      </w:r>
      <w:r w:rsidR="000A160B">
        <w:rPr>
          <w:lang w:eastAsia="ja-JP"/>
        </w:rPr>
        <w:t> </w:t>
      </w:r>
      <w:r w:rsidRPr="000D25E3">
        <w:rPr>
          <w:lang w:eastAsia="ja-JP"/>
        </w:rPr>
        <w:t>:</w:t>
      </w:r>
    </w:p>
    <w:p w:rsidR="00280D18" w:rsidRPr="0017172E" w:rsidRDefault="000A160B" w:rsidP="001E2BF7">
      <w:pPr>
        <w:pStyle w:val="SingleTxtG"/>
        <w:ind w:left="2268" w:hanging="1134"/>
        <w:rPr>
          <w:szCs w:val="24"/>
        </w:rPr>
      </w:pPr>
      <w:r>
        <w:rPr>
          <w:szCs w:val="24"/>
        </w:rPr>
        <w:t>« </w:t>
      </w:r>
      <w:r w:rsidR="00280D18" w:rsidRPr="000D25E3">
        <w:rPr>
          <w:szCs w:val="24"/>
          <w:vertAlign w:val="superscript"/>
          <w:lang w:eastAsia="ja-JP"/>
        </w:rPr>
        <w:t>1b</w:t>
      </w:r>
      <w:r w:rsidR="00280D18" w:rsidRPr="000D25E3">
        <w:rPr>
          <w:szCs w:val="24"/>
          <w:lang w:eastAsia="ja-JP"/>
        </w:rPr>
        <w:t xml:space="preserve"> </w:t>
      </w:r>
      <w:r w:rsidR="00280D18" w:rsidRPr="000D25E3">
        <w:rPr>
          <w:b/>
          <w:szCs w:val="24"/>
          <w:lang w:eastAsia="ja-JP"/>
        </w:rPr>
        <w:t>Dans les cas suivants,</w:t>
      </w:r>
      <w:r w:rsidR="00280D18" w:rsidRPr="000D25E3">
        <w:rPr>
          <w:szCs w:val="24"/>
          <w:lang w:eastAsia="ja-JP"/>
        </w:rPr>
        <w:t xml:space="preserve"> </w:t>
      </w:r>
      <w:r w:rsidR="00280D18" w:rsidRPr="0017172E">
        <w:rPr>
          <w:strike/>
          <w:szCs w:val="24"/>
        </w:rPr>
        <w:t>L</w:t>
      </w:r>
      <w:r w:rsidR="00280D18" w:rsidRPr="00AE788B">
        <w:rPr>
          <w:b/>
          <w:szCs w:val="24"/>
        </w:rPr>
        <w:t>l</w:t>
      </w:r>
      <w:r w:rsidR="00280D18" w:rsidRPr="0017172E">
        <w:rPr>
          <w:szCs w:val="24"/>
        </w:rPr>
        <w:t>e système d</w:t>
      </w:r>
      <w:r>
        <w:rPr>
          <w:szCs w:val="24"/>
        </w:rPr>
        <w:t>’</w:t>
      </w:r>
      <w:r w:rsidR="00280D18" w:rsidRPr="0017172E">
        <w:rPr>
          <w:szCs w:val="24"/>
        </w:rPr>
        <w:t>échappement complet prévu pour l</w:t>
      </w:r>
      <w:r>
        <w:rPr>
          <w:szCs w:val="24"/>
        </w:rPr>
        <w:t>’</w:t>
      </w:r>
      <w:r w:rsidR="00280D18" w:rsidRPr="0017172E">
        <w:rPr>
          <w:szCs w:val="24"/>
        </w:rPr>
        <w:t>application considérée doit être mis en place</w:t>
      </w:r>
      <w:r w:rsidR="001E2BF7">
        <w:rPr>
          <w:szCs w:val="24"/>
        </w:rPr>
        <w:t> </w:t>
      </w:r>
      <w:r w:rsidR="00280D18" w:rsidRPr="0017172E">
        <w:rPr>
          <w:szCs w:val="24"/>
        </w:rPr>
        <w:t xml:space="preserve">: </w:t>
      </w:r>
    </w:p>
    <w:p w:rsidR="00280D18" w:rsidRPr="0017172E" w:rsidRDefault="001E2BF7" w:rsidP="001E2BF7">
      <w:pPr>
        <w:pStyle w:val="SingleTxtG"/>
        <w:ind w:left="2268" w:hanging="1134"/>
        <w:rPr>
          <w:szCs w:val="24"/>
        </w:rPr>
      </w:pPr>
      <w:r>
        <w:rPr>
          <w:szCs w:val="24"/>
        </w:rPr>
        <w:tab/>
      </w:r>
      <w:r w:rsidR="00280D18" w:rsidRPr="0017172E">
        <w:rPr>
          <w:szCs w:val="24"/>
        </w:rPr>
        <w:t>S</w:t>
      </w:r>
      <w:r w:rsidR="000A160B">
        <w:rPr>
          <w:szCs w:val="24"/>
        </w:rPr>
        <w:t>’</w:t>
      </w:r>
      <w:r w:rsidR="00280D18" w:rsidRPr="0017172E">
        <w:rPr>
          <w:szCs w:val="24"/>
        </w:rPr>
        <w:t>il risque d</w:t>
      </w:r>
      <w:r w:rsidR="000A160B">
        <w:rPr>
          <w:szCs w:val="24"/>
        </w:rPr>
        <w:t>’</w:t>
      </w:r>
      <w:r w:rsidR="00280D18" w:rsidRPr="0017172E">
        <w:rPr>
          <w:szCs w:val="24"/>
        </w:rPr>
        <w:t>avoir une influence notable sur la puissance du moteur</w:t>
      </w:r>
      <w:r>
        <w:rPr>
          <w:szCs w:val="24"/>
        </w:rPr>
        <w:t> </w:t>
      </w:r>
      <w:r w:rsidR="00280D18" w:rsidRPr="0017172E">
        <w:rPr>
          <w:szCs w:val="24"/>
        </w:rPr>
        <w:t>;</w:t>
      </w:r>
    </w:p>
    <w:p w:rsidR="00280D18" w:rsidRPr="0017172E" w:rsidRDefault="001E2BF7" w:rsidP="001E2BF7">
      <w:pPr>
        <w:pStyle w:val="SingleTxtG"/>
        <w:ind w:left="2268" w:hanging="1134"/>
        <w:rPr>
          <w:szCs w:val="24"/>
        </w:rPr>
      </w:pPr>
      <w:r>
        <w:rPr>
          <w:szCs w:val="24"/>
        </w:rPr>
        <w:tab/>
      </w:r>
      <w:r w:rsidR="00280D18" w:rsidRPr="0017172E">
        <w:rPr>
          <w:szCs w:val="24"/>
        </w:rPr>
        <w:t xml:space="preserve">Dans </w:t>
      </w:r>
      <w:r>
        <w:rPr>
          <w:szCs w:val="24"/>
        </w:rPr>
        <w:t>le cas des moteurs à deux temps</w:t>
      </w:r>
      <w:r w:rsidRPr="00FA4F58">
        <w:rPr>
          <w:strike/>
          <w:szCs w:val="24"/>
        </w:rPr>
        <w:t xml:space="preserve"> </w:t>
      </w:r>
      <w:r w:rsidR="00280D18" w:rsidRPr="0017172E">
        <w:rPr>
          <w:strike/>
          <w:szCs w:val="24"/>
        </w:rPr>
        <w:t>et à allumage commandé</w:t>
      </w:r>
      <w:r>
        <w:rPr>
          <w:szCs w:val="24"/>
        </w:rPr>
        <w:t> </w:t>
      </w:r>
      <w:r w:rsidR="00280D18" w:rsidRPr="0017172E">
        <w:rPr>
          <w:szCs w:val="24"/>
        </w:rPr>
        <w:t>;</w:t>
      </w:r>
    </w:p>
    <w:p w:rsidR="00280D18" w:rsidRDefault="001E2BF7" w:rsidP="001E2BF7">
      <w:pPr>
        <w:pStyle w:val="SingleTxtG"/>
        <w:ind w:left="2268" w:hanging="1134"/>
        <w:rPr>
          <w:szCs w:val="24"/>
        </w:rPr>
      </w:pPr>
      <w:r>
        <w:rPr>
          <w:szCs w:val="24"/>
        </w:rPr>
        <w:tab/>
      </w:r>
      <w:r w:rsidR="00280D18" w:rsidRPr="0017172E">
        <w:rPr>
          <w:szCs w:val="24"/>
        </w:rPr>
        <w:t>Si le constructeur le demande.</w:t>
      </w:r>
    </w:p>
    <w:p w:rsidR="00280D18" w:rsidRDefault="00280D18" w:rsidP="001E4979">
      <w:pPr>
        <w:pStyle w:val="SingleTxtG"/>
        <w:rPr>
          <w:szCs w:val="24"/>
        </w:rPr>
      </w:pPr>
      <w:r w:rsidRPr="0017172E">
        <w:rPr>
          <w:szCs w:val="24"/>
        </w:rPr>
        <w:t>Dans les autres cas, un système équivalent peut être installé pourvu que la pression mesurée à la sortie du système d</w:t>
      </w:r>
      <w:r w:rsidR="000A160B">
        <w:rPr>
          <w:szCs w:val="24"/>
        </w:rPr>
        <w:t>’</w:t>
      </w:r>
      <w:r w:rsidRPr="0017172E">
        <w:rPr>
          <w:szCs w:val="24"/>
        </w:rPr>
        <w:t xml:space="preserve">échappement </w:t>
      </w:r>
      <w:r w:rsidRPr="0017172E">
        <w:rPr>
          <w:strike/>
          <w:szCs w:val="24"/>
        </w:rPr>
        <w:t>ne diffère</w:t>
      </w:r>
      <w:r w:rsidRPr="0017172E">
        <w:rPr>
          <w:szCs w:val="24"/>
        </w:rPr>
        <w:t xml:space="preserve"> </w:t>
      </w:r>
      <w:r w:rsidRPr="00AE788B">
        <w:rPr>
          <w:b/>
          <w:szCs w:val="24"/>
        </w:rPr>
        <w:t>ne dépasse</w:t>
      </w:r>
      <w:r>
        <w:rPr>
          <w:szCs w:val="24"/>
        </w:rPr>
        <w:t xml:space="preserve"> </w:t>
      </w:r>
      <w:r w:rsidRPr="0017172E">
        <w:rPr>
          <w:szCs w:val="24"/>
        </w:rPr>
        <w:t xml:space="preserve">pas de plus de 1 </w:t>
      </w:r>
      <w:r w:rsidRPr="0017172E">
        <w:rPr>
          <w:strike/>
          <w:szCs w:val="24"/>
        </w:rPr>
        <w:t>000</w:t>
      </w:r>
      <w:r w:rsidRPr="0017172E">
        <w:rPr>
          <w:szCs w:val="24"/>
        </w:rPr>
        <w:t xml:space="preserve"> </w:t>
      </w:r>
      <w:r w:rsidRPr="0017172E">
        <w:rPr>
          <w:b/>
          <w:szCs w:val="24"/>
        </w:rPr>
        <w:t>k</w:t>
      </w:r>
      <w:r w:rsidRPr="0017172E">
        <w:rPr>
          <w:szCs w:val="24"/>
        </w:rPr>
        <w:t xml:space="preserve">Pa </w:t>
      </w:r>
      <w:r w:rsidRPr="0017172E">
        <w:rPr>
          <w:strike/>
          <w:szCs w:val="24"/>
        </w:rPr>
        <w:t xml:space="preserve">de </w:t>
      </w:r>
      <w:r w:rsidRPr="0017172E">
        <w:rPr>
          <w:szCs w:val="24"/>
        </w:rPr>
        <w:t>la limite fixée par le constructeur.</w:t>
      </w:r>
    </w:p>
    <w:p w:rsidR="00280D18" w:rsidRPr="0017172E" w:rsidRDefault="00280D18" w:rsidP="001E4979">
      <w:pPr>
        <w:pStyle w:val="SingleTxtG"/>
        <w:rPr>
          <w:szCs w:val="24"/>
        </w:rPr>
      </w:pPr>
      <w:r w:rsidRPr="0017172E">
        <w:rPr>
          <w:szCs w:val="24"/>
        </w:rPr>
        <w:t>Selon la définition qui en est donnée, la sortie du système d</w:t>
      </w:r>
      <w:r w:rsidR="000A160B">
        <w:rPr>
          <w:szCs w:val="24"/>
        </w:rPr>
        <w:t>’</w:t>
      </w:r>
      <w:r w:rsidRPr="0017172E">
        <w:rPr>
          <w:szCs w:val="24"/>
        </w:rPr>
        <w:t>échappement est un point qui se trouve à 150 mm en aval de la sortie du système d</w:t>
      </w:r>
      <w:r w:rsidR="000A160B">
        <w:rPr>
          <w:szCs w:val="24"/>
        </w:rPr>
        <w:t>’</w:t>
      </w:r>
      <w:r w:rsidRPr="0017172E">
        <w:rPr>
          <w:szCs w:val="24"/>
        </w:rPr>
        <w:t>échappement moteur</w:t>
      </w:r>
      <w:r w:rsidRPr="000D25E3">
        <w:rPr>
          <w:szCs w:val="24"/>
          <w:lang w:eastAsia="ja-JP"/>
        </w:rPr>
        <w:t>.</w:t>
      </w:r>
      <w:r w:rsidR="000A160B">
        <w:rPr>
          <w:szCs w:val="24"/>
        </w:rPr>
        <w:t> »</w:t>
      </w:r>
      <w:r>
        <w:rPr>
          <w:szCs w:val="24"/>
        </w:rPr>
        <w:t>.</w:t>
      </w:r>
    </w:p>
    <w:p w:rsidR="00280D18" w:rsidRPr="0017172E" w:rsidRDefault="00280D18" w:rsidP="001E4979">
      <w:pPr>
        <w:pStyle w:val="SingleTxtG"/>
        <w:rPr>
          <w:color w:val="000000"/>
          <w:szCs w:val="24"/>
          <w:lang w:eastAsia="en-GB"/>
        </w:rPr>
      </w:pPr>
      <w:r w:rsidRPr="0017172E">
        <w:rPr>
          <w:i/>
          <w:iCs/>
          <w:color w:val="000000"/>
          <w:szCs w:val="24"/>
          <w:lang w:eastAsia="en-GB"/>
        </w:rPr>
        <w:t xml:space="preserve">Annexe 5, </w:t>
      </w:r>
      <w:r>
        <w:rPr>
          <w:i/>
          <w:iCs/>
          <w:color w:val="000000"/>
          <w:szCs w:val="24"/>
          <w:lang w:eastAsia="en-GB"/>
        </w:rPr>
        <w:t>t</w:t>
      </w:r>
      <w:r w:rsidRPr="0017172E">
        <w:rPr>
          <w:i/>
          <w:iCs/>
          <w:color w:val="000000"/>
          <w:szCs w:val="24"/>
          <w:lang w:eastAsia="en-GB"/>
        </w:rPr>
        <w:t>ableau 1</w:t>
      </w:r>
      <w:r w:rsidRPr="0017172E">
        <w:rPr>
          <w:color w:val="000000"/>
          <w:szCs w:val="24"/>
          <w:lang w:eastAsia="en-GB"/>
        </w:rPr>
        <w:t xml:space="preserve">, </w:t>
      </w:r>
      <w:r>
        <w:rPr>
          <w:i/>
          <w:szCs w:val="24"/>
        </w:rPr>
        <w:t>n</w:t>
      </w:r>
      <w:r w:rsidRPr="0017172E">
        <w:rPr>
          <w:i/>
          <w:szCs w:val="24"/>
        </w:rPr>
        <w:t xml:space="preserve">ote de bas de page </w:t>
      </w:r>
      <w:r w:rsidRPr="0017172E">
        <w:rPr>
          <w:i/>
          <w:iCs/>
          <w:color w:val="000000"/>
          <w:szCs w:val="24"/>
          <w:lang w:eastAsia="en-GB"/>
        </w:rPr>
        <w:t>9</w:t>
      </w:r>
      <w:r w:rsidRPr="0017172E">
        <w:rPr>
          <w:color w:val="000000"/>
          <w:szCs w:val="24"/>
          <w:lang w:eastAsia="en-GB"/>
        </w:rPr>
        <w:t xml:space="preserve">, </w:t>
      </w:r>
      <w:r>
        <w:rPr>
          <w:color w:val="000000"/>
          <w:szCs w:val="24"/>
          <w:lang w:eastAsia="en-GB"/>
        </w:rPr>
        <w:t>lire</w:t>
      </w:r>
      <w:r w:rsidR="00FA4F58">
        <w:rPr>
          <w:color w:val="000000"/>
          <w:szCs w:val="24"/>
          <w:lang w:eastAsia="en-GB"/>
        </w:rPr>
        <w:t> </w:t>
      </w:r>
      <w:r w:rsidRPr="0017172E">
        <w:rPr>
          <w:color w:val="000000"/>
          <w:szCs w:val="24"/>
          <w:lang w:eastAsia="en-GB"/>
        </w:rPr>
        <w:t xml:space="preserve">: </w:t>
      </w:r>
    </w:p>
    <w:p w:rsidR="00280D18" w:rsidRPr="0017172E" w:rsidRDefault="000A160B" w:rsidP="001E4979">
      <w:pPr>
        <w:pStyle w:val="SingleTxtG"/>
        <w:rPr>
          <w:szCs w:val="24"/>
          <w:lang w:eastAsia="ja-JP"/>
        </w:rPr>
      </w:pPr>
      <w:r>
        <w:rPr>
          <w:color w:val="000000"/>
          <w:szCs w:val="24"/>
          <w:lang w:eastAsia="en-GB"/>
        </w:rPr>
        <w:t>« </w:t>
      </w:r>
      <w:r w:rsidR="00280D18" w:rsidRPr="0017172E">
        <w:rPr>
          <w:color w:val="000000"/>
          <w:szCs w:val="24"/>
          <w:vertAlign w:val="superscript"/>
          <w:lang w:eastAsia="en-GB"/>
        </w:rPr>
        <w:t>9</w:t>
      </w:r>
      <w:r w:rsidR="00280D18" w:rsidRPr="0017172E">
        <w:rPr>
          <w:color w:val="000000"/>
          <w:szCs w:val="24"/>
          <w:lang w:eastAsia="en-GB"/>
        </w:rPr>
        <w:t xml:space="preserve"> Les moteurs suralimentés à refroidissement intermédiaire sont essayés avec les dispositifs de refroidissement de la charge, qu</w:t>
      </w:r>
      <w:r>
        <w:rPr>
          <w:color w:val="000000"/>
          <w:szCs w:val="24"/>
          <w:lang w:eastAsia="en-GB"/>
        </w:rPr>
        <w:t>’</w:t>
      </w:r>
      <w:r w:rsidR="00280D18" w:rsidRPr="0017172E">
        <w:rPr>
          <w:color w:val="000000"/>
          <w:szCs w:val="24"/>
          <w:lang w:eastAsia="en-GB"/>
        </w:rPr>
        <w:t>ils soient à air ou à liquide. Toutefois, si le constructeur le souhaite, une installation sur banc d</w:t>
      </w:r>
      <w:r>
        <w:rPr>
          <w:color w:val="000000"/>
          <w:szCs w:val="24"/>
          <w:lang w:eastAsia="en-GB"/>
        </w:rPr>
        <w:t>’</w:t>
      </w:r>
      <w:r w:rsidR="00280D18" w:rsidRPr="0017172E">
        <w:rPr>
          <w:color w:val="000000"/>
          <w:szCs w:val="24"/>
          <w:lang w:eastAsia="en-GB"/>
        </w:rPr>
        <w:t>essai peut remplacer le refroidisseur à air. Dans tous les cas, la puissance à chaque régime est mesurée d</w:t>
      </w:r>
      <w:r>
        <w:rPr>
          <w:color w:val="000000"/>
          <w:szCs w:val="24"/>
          <w:lang w:eastAsia="en-GB"/>
        </w:rPr>
        <w:t>’</w:t>
      </w:r>
      <w:r w:rsidR="00280D18" w:rsidRPr="0017172E">
        <w:rPr>
          <w:color w:val="000000"/>
          <w:szCs w:val="24"/>
          <w:lang w:eastAsia="en-GB"/>
        </w:rPr>
        <w:t>après la même chute de température et la même chute de pression de l</w:t>
      </w:r>
      <w:r>
        <w:rPr>
          <w:color w:val="000000"/>
          <w:szCs w:val="24"/>
          <w:lang w:eastAsia="en-GB"/>
        </w:rPr>
        <w:t>’</w:t>
      </w:r>
      <w:r w:rsidR="00280D18" w:rsidRPr="0017172E">
        <w:rPr>
          <w:color w:val="000000"/>
          <w:szCs w:val="24"/>
          <w:lang w:eastAsia="en-GB"/>
        </w:rPr>
        <w:t>air aspiré dans le refroidisseur sur le banc d</w:t>
      </w:r>
      <w:r>
        <w:rPr>
          <w:color w:val="000000"/>
          <w:szCs w:val="24"/>
          <w:lang w:eastAsia="en-GB"/>
        </w:rPr>
        <w:t>’</w:t>
      </w:r>
      <w:r w:rsidR="00280D18" w:rsidRPr="0017172E">
        <w:rPr>
          <w:color w:val="000000"/>
          <w:szCs w:val="24"/>
          <w:lang w:eastAsia="en-GB"/>
        </w:rPr>
        <w:t>essai que celles fixées par le constructeur pour le véhicule</w:t>
      </w:r>
      <w:r w:rsidR="00280D18" w:rsidRPr="0017172E">
        <w:rPr>
          <w:b/>
          <w:bCs/>
          <w:color w:val="000000"/>
          <w:szCs w:val="24"/>
          <w:lang w:eastAsia="en-GB"/>
        </w:rPr>
        <w:t>, o</w:t>
      </w:r>
      <w:r w:rsidR="00280D18">
        <w:rPr>
          <w:b/>
          <w:bCs/>
          <w:color w:val="000000"/>
          <w:szCs w:val="24"/>
          <w:lang w:eastAsia="en-GB"/>
        </w:rPr>
        <w:t>u la température en sortie du refroidisseur à air</w:t>
      </w:r>
      <w:r w:rsidR="001E4979">
        <w:rPr>
          <w:b/>
          <w:bCs/>
          <w:color w:val="000000"/>
          <w:szCs w:val="24"/>
          <w:lang w:eastAsia="en-GB"/>
        </w:rPr>
        <w:t xml:space="preserve"> </w:t>
      </w:r>
      <w:r w:rsidR="00280D18">
        <w:rPr>
          <w:b/>
          <w:bCs/>
          <w:color w:val="000000"/>
          <w:szCs w:val="24"/>
          <w:lang w:eastAsia="en-GB"/>
        </w:rPr>
        <w:t xml:space="preserve">doit, </w:t>
      </w:r>
      <w:r w:rsidR="00280D18" w:rsidRPr="009303D3">
        <w:rPr>
          <w:b/>
          <w:bCs/>
          <w:color w:val="000000"/>
          <w:szCs w:val="24"/>
          <w:lang w:eastAsia="en-GB"/>
        </w:rPr>
        <w:t>pour atteindre la température ambiante enregistrée lors des essais</w:t>
      </w:r>
      <w:r w:rsidR="00280D18">
        <w:rPr>
          <w:b/>
          <w:bCs/>
          <w:color w:val="000000"/>
          <w:szCs w:val="24"/>
          <w:lang w:eastAsia="en-GB"/>
        </w:rPr>
        <w:t>,</w:t>
      </w:r>
      <w:r w:rsidR="00280D18" w:rsidRPr="009303D3">
        <w:rPr>
          <w:b/>
          <w:bCs/>
          <w:color w:val="000000"/>
          <w:szCs w:val="24"/>
          <w:lang w:eastAsia="en-GB"/>
        </w:rPr>
        <w:t xml:space="preserve"> </w:t>
      </w:r>
      <w:r w:rsidR="00280D18">
        <w:rPr>
          <w:b/>
          <w:bCs/>
          <w:color w:val="000000"/>
          <w:szCs w:val="24"/>
          <w:lang w:eastAsia="en-GB"/>
        </w:rPr>
        <w:t>être augmentée ou réduite dans les mêmes proportions que l</w:t>
      </w:r>
      <w:r>
        <w:rPr>
          <w:b/>
          <w:bCs/>
          <w:color w:val="000000"/>
          <w:szCs w:val="24"/>
          <w:lang w:eastAsia="en-GB"/>
        </w:rPr>
        <w:t>’</w:t>
      </w:r>
      <w:r w:rsidR="00280D18">
        <w:rPr>
          <w:b/>
          <w:bCs/>
          <w:color w:val="000000"/>
          <w:szCs w:val="24"/>
          <w:lang w:eastAsia="en-GB"/>
        </w:rPr>
        <w:t>écart entre les conditions ambiantes dans lesquelles le véhicule a été soumis à l</w:t>
      </w:r>
      <w:r>
        <w:rPr>
          <w:b/>
          <w:bCs/>
          <w:color w:val="000000"/>
          <w:szCs w:val="24"/>
          <w:lang w:eastAsia="en-GB"/>
        </w:rPr>
        <w:t>’</w:t>
      </w:r>
      <w:r w:rsidR="00280D18">
        <w:rPr>
          <w:b/>
          <w:bCs/>
          <w:color w:val="000000"/>
          <w:szCs w:val="24"/>
          <w:lang w:eastAsia="en-GB"/>
        </w:rPr>
        <w:t xml:space="preserve">essai et la température </w:t>
      </w:r>
      <w:r w:rsidR="00280D18" w:rsidRPr="0017172E">
        <w:rPr>
          <w:b/>
          <w:bCs/>
          <w:color w:val="000000"/>
          <w:szCs w:val="24"/>
          <w:lang w:eastAsia="en-GB"/>
        </w:rPr>
        <w:t>standard.</w:t>
      </w:r>
      <w:r>
        <w:rPr>
          <w:color w:val="000000"/>
          <w:szCs w:val="24"/>
          <w:lang w:eastAsia="en-GB"/>
        </w:rPr>
        <w:t> »</w:t>
      </w:r>
      <w:r w:rsidR="00280D18">
        <w:rPr>
          <w:color w:val="000000"/>
          <w:szCs w:val="24"/>
          <w:lang w:eastAsia="en-GB"/>
        </w:rPr>
        <w:t>.</w:t>
      </w:r>
    </w:p>
    <w:p w:rsidR="00280D18" w:rsidRPr="00AE788B" w:rsidRDefault="001E4979" w:rsidP="001E4979">
      <w:pPr>
        <w:pStyle w:val="HChG"/>
      </w:pPr>
      <w:r>
        <w:tab/>
      </w:r>
      <w:r w:rsidR="00280D18" w:rsidRPr="00AE788B">
        <w:t>II.</w:t>
      </w:r>
      <w:r w:rsidR="00280D18" w:rsidRPr="00AE788B">
        <w:tab/>
        <w:t>Justification</w:t>
      </w:r>
    </w:p>
    <w:p w:rsidR="00280D18" w:rsidRPr="000A54CA" w:rsidRDefault="00280D18" w:rsidP="001E4979">
      <w:pPr>
        <w:pStyle w:val="SingleTxtG"/>
        <w:rPr>
          <w:szCs w:val="24"/>
          <w:lang w:eastAsia="ja-JP"/>
        </w:rPr>
      </w:pPr>
      <w:r w:rsidRPr="000A54CA">
        <w:rPr>
          <w:szCs w:val="24"/>
          <w:lang w:eastAsia="ja-JP"/>
        </w:rPr>
        <w:t>1.</w:t>
      </w:r>
      <w:r w:rsidRPr="000A54CA">
        <w:rPr>
          <w:szCs w:val="24"/>
          <w:lang w:eastAsia="ja-JP"/>
        </w:rPr>
        <w:tab/>
        <w:t xml:space="preserve">Le </w:t>
      </w:r>
      <w:r>
        <w:rPr>
          <w:szCs w:val="24"/>
          <w:lang w:eastAsia="ja-JP"/>
        </w:rPr>
        <w:t>t</w:t>
      </w:r>
      <w:r w:rsidRPr="000A54CA">
        <w:rPr>
          <w:szCs w:val="24"/>
          <w:lang w:eastAsia="ja-JP"/>
        </w:rPr>
        <w:t xml:space="preserve">ableau 1 </w:t>
      </w:r>
      <w:r>
        <w:rPr>
          <w:szCs w:val="24"/>
          <w:lang w:eastAsia="ja-JP"/>
        </w:rPr>
        <w:t>indique quels</w:t>
      </w:r>
      <w:r w:rsidRPr="000A54CA">
        <w:rPr>
          <w:szCs w:val="24"/>
          <w:lang w:eastAsia="ja-JP"/>
        </w:rPr>
        <w:t xml:space="preserve"> auxiliaires </w:t>
      </w:r>
      <w:r>
        <w:rPr>
          <w:szCs w:val="24"/>
          <w:lang w:eastAsia="ja-JP"/>
        </w:rPr>
        <w:t>doivent être</w:t>
      </w:r>
      <w:r w:rsidRPr="000A54CA">
        <w:rPr>
          <w:szCs w:val="24"/>
          <w:lang w:eastAsia="ja-JP"/>
        </w:rPr>
        <w:t xml:space="preserve"> mont</w:t>
      </w:r>
      <w:r>
        <w:rPr>
          <w:szCs w:val="24"/>
          <w:lang w:eastAsia="ja-JP"/>
        </w:rPr>
        <w:t>és</w:t>
      </w:r>
      <w:r w:rsidRPr="000A54CA">
        <w:rPr>
          <w:szCs w:val="24"/>
          <w:lang w:eastAsia="ja-JP"/>
        </w:rPr>
        <w:t xml:space="preserve"> pour l</w:t>
      </w:r>
      <w:r w:rsidR="000A160B">
        <w:rPr>
          <w:szCs w:val="24"/>
          <w:lang w:eastAsia="ja-JP"/>
        </w:rPr>
        <w:t>’</w:t>
      </w:r>
      <w:r w:rsidRPr="000A54CA">
        <w:rPr>
          <w:szCs w:val="24"/>
          <w:lang w:eastAsia="ja-JP"/>
        </w:rPr>
        <w:t>essai visant à déterminer la puissance nette du moteur.</w:t>
      </w:r>
    </w:p>
    <w:p w:rsidR="00280D18" w:rsidRPr="000E7FF3" w:rsidRDefault="00280D18" w:rsidP="001E4979">
      <w:pPr>
        <w:pStyle w:val="SingleTxtG"/>
        <w:rPr>
          <w:szCs w:val="24"/>
          <w:lang w:eastAsia="ja-JP"/>
        </w:rPr>
      </w:pPr>
      <w:r w:rsidRPr="00176651">
        <w:rPr>
          <w:szCs w:val="24"/>
          <w:lang w:eastAsia="ja-JP"/>
        </w:rPr>
        <w:t>2.</w:t>
      </w:r>
      <w:r w:rsidRPr="00176651">
        <w:rPr>
          <w:szCs w:val="24"/>
          <w:lang w:eastAsia="ja-JP"/>
        </w:rPr>
        <w:tab/>
        <w:t>La formulation actuelle peut être interprétée comme signifiant que le système d</w:t>
      </w:r>
      <w:r w:rsidR="000A160B">
        <w:rPr>
          <w:szCs w:val="24"/>
          <w:lang w:eastAsia="ja-JP"/>
        </w:rPr>
        <w:t>’</w:t>
      </w:r>
      <w:r w:rsidRPr="00176651">
        <w:rPr>
          <w:szCs w:val="24"/>
          <w:lang w:eastAsia="ja-JP"/>
        </w:rPr>
        <w:t xml:space="preserve">échappement </w:t>
      </w:r>
      <w:r>
        <w:rPr>
          <w:szCs w:val="24"/>
          <w:lang w:eastAsia="ja-JP"/>
        </w:rPr>
        <w:t>d</w:t>
      </w:r>
      <w:r w:rsidR="000A160B">
        <w:rPr>
          <w:szCs w:val="24"/>
          <w:lang w:eastAsia="ja-JP"/>
        </w:rPr>
        <w:t>’</w:t>
      </w:r>
      <w:r>
        <w:rPr>
          <w:szCs w:val="24"/>
          <w:lang w:eastAsia="ja-JP"/>
        </w:rPr>
        <w:t>un moteur à allumage commandé ne peut absolument pas être modifié, ce qui peut poser des problèmes pour l</w:t>
      </w:r>
      <w:r w:rsidR="000A160B">
        <w:rPr>
          <w:szCs w:val="24"/>
          <w:lang w:eastAsia="ja-JP"/>
        </w:rPr>
        <w:t>’</w:t>
      </w:r>
      <w:r>
        <w:rPr>
          <w:szCs w:val="24"/>
          <w:lang w:eastAsia="ja-JP"/>
        </w:rPr>
        <w:t>installation du moteur et de l</w:t>
      </w:r>
      <w:r w:rsidR="000A160B">
        <w:rPr>
          <w:szCs w:val="24"/>
          <w:lang w:eastAsia="ja-JP"/>
        </w:rPr>
        <w:t>’</w:t>
      </w:r>
      <w:r>
        <w:rPr>
          <w:szCs w:val="24"/>
          <w:lang w:eastAsia="ja-JP"/>
        </w:rPr>
        <w:t>échappement dans la chambre d</w:t>
      </w:r>
      <w:r w:rsidR="000A160B">
        <w:rPr>
          <w:szCs w:val="24"/>
          <w:lang w:eastAsia="ja-JP"/>
        </w:rPr>
        <w:t>’</w:t>
      </w:r>
      <w:r>
        <w:rPr>
          <w:szCs w:val="24"/>
          <w:lang w:eastAsia="ja-JP"/>
        </w:rPr>
        <w:t>essai et s</w:t>
      </w:r>
      <w:r w:rsidR="000A160B">
        <w:rPr>
          <w:szCs w:val="24"/>
          <w:lang w:eastAsia="ja-JP"/>
        </w:rPr>
        <w:t>’</w:t>
      </w:r>
      <w:r>
        <w:rPr>
          <w:szCs w:val="24"/>
          <w:lang w:eastAsia="ja-JP"/>
        </w:rPr>
        <w:t>oppose à un essai d</w:t>
      </w:r>
      <w:r w:rsidR="000A160B">
        <w:rPr>
          <w:szCs w:val="24"/>
          <w:lang w:eastAsia="ja-JP"/>
        </w:rPr>
        <w:t>’</w:t>
      </w:r>
      <w:r>
        <w:rPr>
          <w:szCs w:val="24"/>
          <w:lang w:eastAsia="ja-JP"/>
        </w:rPr>
        <w:t>homologation unique pour des équipements présentant de légères différences</w:t>
      </w:r>
      <w:r w:rsidRPr="000E7FF3">
        <w:rPr>
          <w:szCs w:val="24"/>
          <w:lang w:eastAsia="ja-JP"/>
        </w:rPr>
        <w:t xml:space="preserve"> (concept</w:t>
      </w:r>
      <w:r>
        <w:rPr>
          <w:szCs w:val="24"/>
          <w:lang w:eastAsia="ja-JP"/>
        </w:rPr>
        <w:t xml:space="preserve"> de famille</w:t>
      </w:r>
      <w:r w:rsidRPr="000E7FF3">
        <w:rPr>
          <w:szCs w:val="24"/>
          <w:lang w:eastAsia="ja-JP"/>
        </w:rPr>
        <w:t>).</w:t>
      </w:r>
    </w:p>
    <w:p w:rsidR="00280D18" w:rsidRPr="0050177B" w:rsidRDefault="00280D18" w:rsidP="001E4979">
      <w:pPr>
        <w:pStyle w:val="SingleTxtG"/>
        <w:rPr>
          <w:szCs w:val="24"/>
          <w:lang w:eastAsia="ja-JP"/>
        </w:rPr>
      </w:pPr>
      <w:r w:rsidRPr="0050177B">
        <w:rPr>
          <w:szCs w:val="24"/>
          <w:lang w:eastAsia="ja-JP"/>
        </w:rPr>
        <w:t>3.</w:t>
      </w:r>
      <w:r w:rsidRPr="0050177B">
        <w:rPr>
          <w:szCs w:val="24"/>
          <w:lang w:eastAsia="ja-JP"/>
        </w:rPr>
        <w:tab/>
        <w:t xml:space="preserve">Les deux dernières phrases de la note de bas de page </w:t>
      </w:r>
      <w:r>
        <w:rPr>
          <w:szCs w:val="24"/>
          <w:lang w:eastAsia="ja-JP"/>
        </w:rPr>
        <w:t>donnent des garanties suffisantes attestant que le système d</w:t>
      </w:r>
      <w:r w:rsidR="000A160B">
        <w:rPr>
          <w:szCs w:val="24"/>
          <w:lang w:eastAsia="ja-JP"/>
        </w:rPr>
        <w:t>’</w:t>
      </w:r>
      <w:r>
        <w:rPr>
          <w:szCs w:val="24"/>
          <w:lang w:eastAsia="ja-JP"/>
        </w:rPr>
        <w:t>échappement est représentatif (comme avec les moteurs à allumage par compression</w:t>
      </w:r>
      <w:r w:rsidRPr="0050177B">
        <w:rPr>
          <w:szCs w:val="24"/>
          <w:lang w:eastAsia="ja-JP"/>
        </w:rPr>
        <w:t>)</w:t>
      </w:r>
      <w:r>
        <w:rPr>
          <w:szCs w:val="24"/>
          <w:lang w:eastAsia="ja-JP"/>
        </w:rPr>
        <w:t>.</w:t>
      </w:r>
    </w:p>
    <w:p w:rsidR="00280D18" w:rsidRPr="00067E7F" w:rsidRDefault="00280D18" w:rsidP="001E4979">
      <w:pPr>
        <w:pStyle w:val="SingleTxtG"/>
        <w:rPr>
          <w:szCs w:val="24"/>
          <w:lang w:eastAsia="ja-JP"/>
        </w:rPr>
      </w:pPr>
      <w:r w:rsidRPr="00067E7F">
        <w:rPr>
          <w:szCs w:val="24"/>
          <w:lang w:eastAsia="ja-JP"/>
        </w:rPr>
        <w:t>4.</w:t>
      </w:r>
      <w:r w:rsidRPr="00067E7F">
        <w:rPr>
          <w:szCs w:val="24"/>
          <w:lang w:eastAsia="ja-JP"/>
        </w:rPr>
        <w:tab/>
        <w:t>Cependant, la limitation des écarts positifs ou négatifs de la pression d</w:t>
      </w:r>
      <w:r w:rsidR="000A160B">
        <w:rPr>
          <w:szCs w:val="24"/>
          <w:lang w:eastAsia="ja-JP"/>
        </w:rPr>
        <w:t>’</w:t>
      </w:r>
      <w:r w:rsidRPr="00067E7F">
        <w:rPr>
          <w:szCs w:val="24"/>
          <w:lang w:eastAsia="ja-JP"/>
        </w:rPr>
        <w:t xml:space="preserve">échappement </w:t>
      </w:r>
      <w:r>
        <w:rPr>
          <w:szCs w:val="24"/>
          <w:lang w:eastAsia="ja-JP"/>
        </w:rPr>
        <w:t>est trop restrictive lorsqu</w:t>
      </w:r>
      <w:r w:rsidR="000A160B">
        <w:rPr>
          <w:szCs w:val="24"/>
          <w:lang w:eastAsia="ja-JP"/>
        </w:rPr>
        <w:t>’</w:t>
      </w:r>
      <w:r>
        <w:rPr>
          <w:szCs w:val="24"/>
          <w:lang w:eastAsia="ja-JP"/>
        </w:rPr>
        <w:t>il s</w:t>
      </w:r>
      <w:r w:rsidR="000A160B">
        <w:rPr>
          <w:szCs w:val="24"/>
          <w:lang w:eastAsia="ja-JP"/>
        </w:rPr>
        <w:t>’</w:t>
      </w:r>
      <w:r>
        <w:rPr>
          <w:szCs w:val="24"/>
          <w:lang w:eastAsia="ja-JP"/>
        </w:rPr>
        <w:t xml:space="preserve">agit de déterminer la puissance maximale et devrait être modifiée pour ne viser que les écarts de pression positifs. </w:t>
      </w:r>
    </w:p>
    <w:p w:rsidR="00280D18" w:rsidRPr="004D4C02" w:rsidRDefault="00280D18" w:rsidP="001E4979">
      <w:pPr>
        <w:pStyle w:val="SingleTxtG"/>
        <w:rPr>
          <w:color w:val="000000"/>
          <w:szCs w:val="24"/>
          <w:lang w:eastAsia="en-GB"/>
        </w:rPr>
      </w:pPr>
      <w:r w:rsidRPr="008A4985">
        <w:rPr>
          <w:szCs w:val="24"/>
          <w:lang w:eastAsia="ja-JP"/>
        </w:rPr>
        <w:t>5.</w:t>
      </w:r>
      <w:r w:rsidRPr="008A4985">
        <w:rPr>
          <w:szCs w:val="24"/>
          <w:lang w:eastAsia="ja-JP"/>
        </w:rPr>
        <w:tab/>
        <w:t>L</w:t>
      </w:r>
      <w:r>
        <w:rPr>
          <w:szCs w:val="24"/>
          <w:lang w:eastAsia="ja-JP"/>
        </w:rPr>
        <w:t>a</w:t>
      </w:r>
      <w:r w:rsidRPr="008A4985">
        <w:rPr>
          <w:szCs w:val="24"/>
          <w:lang w:eastAsia="ja-JP"/>
        </w:rPr>
        <w:t xml:space="preserve"> méthode d</w:t>
      </w:r>
      <w:r w:rsidR="000A160B">
        <w:rPr>
          <w:szCs w:val="24"/>
          <w:lang w:eastAsia="ja-JP"/>
        </w:rPr>
        <w:t>’</w:t>
      </w:r>
      <w:r w:rsidRPr="008A4985">
        <w:rPr>
          <w:szCs w:val="24"/>
          <w:lang w:eastAsia="ja-JP"/>
        </w:rPr>
        <w:t xml:space="preserve">essai actuelle visant à mesurer la puissance nette des moteurs suralimentés à refroidissement intermédiaire </w:t>
      </w:r>
      <w:r>
        <w:rPr>
          <w:szCs w:val="24"/>
          <w:lang w:eastAsia="ja-JP"/>
        </w:rPr>
        <w:t>ne convient pas aux moteurs à forte puissance de cette catégorie.</w:t>
      </w:r>
      <w:r w:rsidR="001E4979"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Durant l</w:t>
      </w:r>
      <w:r w:rsidR="000A160B">
        <w:rPr>
          <w:szCs w:val="24"/>
          <w:lang w:eastAsia="ja-JP"/>
        </w:rPr>
        <w:t>’</w:t>
      </w:r>
      <w:r>
        <w:rPr>
          <w:szCs w:val="24"/>
          <w:lang w:eastAsia="ja-JP"/>
        </w:rPr>
        <w:t>attente des conditions nécessaires pour effectuer un essai à</w:t>
      </w:r>
      <w:r w:rsidR="001E4979"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 xml:space="preserve">régime stabilisé </w:t>
      </w:r>
      <w:r w:rsidRPr="004D4C02">
        <w:rPr>
          <w:color w:val="000000"/>
          <w:szCs w:val="24"/>
          <w:lang w:eastAsia="en-GB"/>
        </w:rPr>
        <w:t>(</w:t>
      </w:r>
      <w:r>
        <w:rPr>
          <w:color w:val="000000"/>
          <w:szCs w:val="24"/>
          <w:lang w:eastAsia="en-GB"/>
        </w:rPr>
        <w:t>voir</w:t>
      </w:r>
      <w:r w:rsidRPr="004D4C02">
        <w:rPr>
          <w:color w:val="000000"/>
          <w:szCs w:val="24"/>
          <w:lang w:eastAsia="en-GB"/>
        </w:rPr>
        <w:t xml:space="preserve"> </w:t>
      </w:r>
      <w:r>
        <w:rPr>
          <w:color w:val="000000"/>
          <w:szCs w:val="24"/>
          <w:lang w:eastAsia="en-GB"/>
        </w:rPr>
        <w:t>a</w:t>
      </w:r>
      <w:r w:rsidRPr="004D4C02">
        <w:rPr>
          <w:color w:val="000000"/>
          <w:szCs w:val="24"/>
          <w:lang w:eastAsia="en-GB"/>
        </w:rPr>
        <w:t>nnex</w:t>
      </w:r>
      <w:r>
        <w:rPr>
          <w:color w:val="000000"/>
          <w:szCs w:val="24"/>
          <w:lang w:eastAsia="en-GB"/>
        </w:rPr>
        <w:t>e</w:t>
      </w:r>
      <w:r w:rsidRPr="004D4C02">
        <w:rPr>
          <w:color w:val="000000"/>
          <w:szCs w:val="24"/>
          <w:lang w:eastAsia="en-GB"/>
        </w:rPr>
        <w:t xml:space="preserve"> 5</w:t>
      </w:r>
      <w:r>
        <w:rPr>
          <w:color w:val="000000"/>
          <w:szCs w:val="24"/>
          <w:lang w:eastAsia="en-GB"/>
        </w:rPr>
        <w:t>.</w:t>
      </w:r>
      <w:r w:rsidR="001E4979">
        <w:rPr>
          <w:color w:val="000000"/>
          <w:szCs w:val="24"/>
          <w:lang w:eastAsia="en-GB"/>
        </w:rPr>
        <w:t>3.5</w:t>
      </w:r>
      <w:r w:rsidRPr="004D4C02">
        <w:rPr>
          <w:color w:val="000000"/>
          <w:szCs w:val="24"/>
          <w:lang w:eastAsia="en-GB"/>
        </w:rPr>
        <w:t xml:space="preserve">), la température </w:t>
      </w:r>
      <w:r>
        <w:rPr>
          <w:color w:val="000000"/>
          <w:szCs w:val="24"/>
          <w:lang w:eastAsia="en-GB"/>
        </w:rPr>
        <w:t xml:space="preserve">en sortie </w:t>
      </w:r>
      <w:r w:rsidRPr="004D4C02">
        <w:rPr>
          <w:color w:val="000000"/>
          <w:szCs w:val="24"/>
          <w:lang w:eastAsia="en-GB"/>
        </w:rPr>
        <w:t xml:space="preserve">du refroidisseur à air </w:t>
      </w:r>
      <w:r>
        <w:rPr>
          <w:color w:val="000000"/>
          <w:szCs w:val="24"/>
          <w:lang w:eastAsia="en-GB"/>
        </w:rPr>
        <w:t>augmente et la puissance nette ne peut pas être mesurée correctement.</w:t>
      </w:r>
      <w:r w:rsidRPr="004D4C02">
        <w:rPr>
          <w:color w:val="000000"/>
          <w:szCs w:val="24"/>
          <w:lang w:eastAsia="en-GB"/>
        </w:rPr>
        <w:t xml:space="preserve"> </w:t>
      </w:r>
    </w:p>
    <w:p w:rsidR="00280D18" w:rsidRPr="00CA5C59" w:rsidRDefault="00280D18" w:rsidP="001E4979">
      <w:pPr>
        <w:pStyle w:val="SingleTxtG"/>
        <w:rPr>
          <w:color w:val="000000"/>
          <w:szCs w:val="24"/>
          <w:lang w:eastAsia="en-GB"/>
        </w:rPr>
      </w:pPr>
      <w:r w:rsidRPr="004D4C02">
        <w:rPr>
          <w:color w:val="000000"/>
          <w:szCs w:val="24"/>
          <w:lang w:eastAsia="en-GB"/>
        </w:rPr>
        <w:t>6.</w:t>
      </w:r>
      <w:r w:rsidRPr="004D4C02">
        <w:rPr>
          <w:color w:val="000000"/>
          <w:szCs w:val="24"/>
          <w:lang w:eastAsia="en-GB"/>
        </w:rPr>
        <w:tab/>
        <w:t>Pour résoudre ce problème, une autre méthode d</w:t>
      </w:r>
      <w:r w:rsidR="000A160B">
        <w:rPr>
          <w:color w:val="000000"/>
          <w:szCs w:val="24"/>
          <w:lang w:eastAsia="en-GB"/>
        </w:rPr>
        <w:t>’</w:t>
      </w:r>
      <w:r w:rsidRPr="004D4C02">
        <w:rPr>
          <w:color w:val="000000"/>
          <w:szCs w:val="24"/>
          <w:lang w:eastAsia="en-GB"/>
        </w:rPr>
        <w:t>essai est proposée</w:t>
      </w:r>
      <w:r w:rsidR="001E4979">
        <w:rPr>
          <w:color w:val="000000"/>
          <w:szCs w:val="24"/>
          <w:lang w:eastAsia="en-GB"/>
        </w:rPr>
        <w:t xml:space="preserve"> </w:t>
      </w:r>
      <w:r>
        <w:rPr>
          <w:color w:val="000000"/>
          <w:szCs w:val="24"/>
          <w:lang w:eastAsia="en-GB"/>
        </w:rPr>
        <w:t xml:space="preserve">qui consiste à </w:t>
      </w:r>
      <w:r w:rsidR="00540040">
        <w:rPr>
          <w:color w:val="000000"/>
          <w:szCs w:val="24"/>
          <w:lang w:eastAsia="en-GB"/>
        </w:rPr>
        <w:t>« </w:t>
      </w:r>
      <w:r>
        <w:rPr>
          <w:color w:val="000000"/>
          <w:szCs w:val="24"/>
          <w:lang w:eastAsia="en-GB"/>
        </w:rPr>
        <w:t xml:space="preserve">réduire </w:t>
      </w:r>
      <w:r w:rsidRPr="004D4C02">
        <w:rPr>
          <w:color w:val="000000"/>
          <w:szCs w:val="24"/>
          <w:lang w:eastAsia="en-GB"/>
        </w:rPr>
        <w:t>la température du refroidisseur à air dans les mêmes proportions que celles de l</w:t>
      </w:r>
      <w:r w:rsidR="000A160B">
        <w:rPr>
          <w:color w:val="000000"/>
          <w:szCs w:val="24"/>
          <w:lang w:eastAsia="en-GB"/>
        </w:rPr>
        <w:t>’</w:t>
      </w:r>
      <w:r w:rsidRPr="004D4C02">
        <w:rPr>
          <w:color w:val="000000"/>
          <w:szCs w:val="24"/>
          <w:lang w:eastAsia="en-GB"/>
        </w:rPr>
        <w:t>écart entre les conditions ambiantes dans lesquelles le véhicule a été soumis à l</w:t>
      </w:r>
      <w:r w:rsidR="000A160B">
        <w:rPr>
          <w:color w:val="000000"/>
          <w:szCs w:val="24"/>
          <w:lang w:eastAsia="en-GB"/>
        </w:rPr>
        <w:t>’</w:t>
      </w:r>
      <w:r w:rsidRPr="004D4C02">
        <w:rPr>
          <w:color w:val="000000"/>
          <w:szCs w:val="24"/>
          <w:lang w:eastAsia="en-GB"/>
        </w:rPr>
        <w:t>essai et la température standard</w:t>
      </w:r>
      <w:r w:rsidR="00540040">
        <w:rPr>
          <w:color w:val="000000"/>
          <w:szCs w:val="24"/>
          <w:lang w:eastAsia="en-GB"/>
        </w:rPr>
        <w:t> »</w:t>
      </w:r>
      <w:r>
        <w:rPr>
          <w:color w:val="000000"/>
          <w:szCs w:val="24"/>
          <w:lang w:eastAsia="en-GB"/>
        </w:rPr>
        <w:t xml:space="preserve">. Cette méthode est conforme à la norme </w:t>
      </w:r>
      <w:r w:rsidR="00152EFA">
        <w:rPr>
          <w:color w:val="000000"/>
          <w:szCs w:val="24"/>
          <w:lang w:eastAsia="en-GB"/>
        </w:rPr>
        <w:t>SAE </w:t>
      </w:r>
      <w:r w:rsidRPr="00CA5C59">
        <w:rPr>
          <w:color w:val="000000"/>
          <w:szCs w:val="24"/>
          <w:lang w:eastAsia="en-GB"/>
        </w:rPr>
        <w:t xml:space="preserve">J1349, </w:t>
      </w:r>
      <w:r w:rsidR="000A160B">
        <w:rPr>
          <w:color w:val="000000"/>
          <w:szCs w:val="24"/>
          <w:lang w:eastAsia="en-GB"/>
        </w:rPr>
        <w:t>« </w:t>
      </w:r>
      <w:r w:rsidR="00540040">
        <w:rPr>
          <w:color w:val="000000"/>
          <w:szCs w:val="24"/>
          <w:lang w:eastAsia="en-GB"/>
        </w:rPr>
        <w:t>9.3 </w:t>
      </w:r>
      <w:r>
        <w:rPr>
          <w:color w:val="000000"/>
          <w:szCs w:val="24"/>
          <w:lang w:eastAsia="en-GB"/>
        </w:rPr>
        <w:t xml:space="preserve">Application of </w:t>
      </w:r>
      <w:proofErr w:type="spellStart"/>
      <w:r>
        <w:rPr>
          <w:color w:val="000000"/>
          <w:szCs w:val="24"/>
          <w:lang w:eastAsia="en-GB"/>
        </w:rPr>
        <w:t>vehicle</w:t>
      </w:r>
      <w:proofErr w:type="spellEnd"/>
      <w:r>
        <w:rPr>
          <w:color w:val="000000"/>
          <w:szCs w:val="24"/>
          <w:lang w:eastAsia="en-GB"/>
        </w:rPr>
        <w:t xml:space="preserve"> </w:t>
      </w:r>
      <w:r w:rsidR="00540040">
        <w:rPr>
          <w:color w:val="000000"/>
          <w:szCs w:val="24"/>
          <w:lang w:eastAsia="en-GB"/>
        </w:rPr>
        <w:t>T</w:t>
      </w:r>
      <w:r>
        <w:rPr>
          <w:color w:val="000000"/>
          <w:szCs w:val="24"/>
          <w:lang w:eastAsia="en-GB"/>
        </w:rPr>
        <w:t xml:space="preserve">ransient </w:t>
      </w:r>
      <w:r w:rsidR="00540040">
        <w:rPr>
          <w:color w:val="000000"/>
          <w:szCs w:val="24"/>
          <w:lang w:eastAsia="en-GB"/>
        </w:rPr>
        <w:t>D</w:t>
      </w:r>
      <w:r>
        <w:rPr>
          <w:color w:val="000000"/>
          <w:szCs w:val="24"/>
          <w:lang w:eastAsia="en-GB"/>
        </w:rPr>
        <w:t xml:space="preserve">ata to </w:t>
      </w:r>
      <w:r w:rsidR="00540040">
        <w:rPr>
          <w:color w:val="000000"/>
          <w:szCs w:val="24"/>
          <w:lang w:eastAsia="en-GB"/>
        </w:rPr>
        <w:t>N</w:t>
      </w:r>
      <w:r>
        <w:rPr>
          <w:color w:val="000000"/>
          <w:szCs w:val="24"/>
          <w:lang w:eastAsia="en-GB"/>
        </w:rPr>
        <w:t xml:space="preserve">et </w:t>
      </w:r>
      <w:r w:rsidR="00540040">
        <w:rPr>
          <w:color w:val="000000"/>
          <w:szCs w:val="24"/>
          <w:lang w:eastAsia="en-GB"/>
        </w:rPr>
        <w:t>P</w:t>
      </w:r>
      <w:r>
        <w:rPr>
          <w:color w:val="000000"/>
          <w:szCs w:val="24"/>
          <w:lang w:eastAsia="en-GB"/>
        </w:rPr>
        <w:t xml:space="preserve">ower </w:t>
      </w:r>
      <w:r w:rsidR="00540040">
        <w:rPr>
          <w:color w:val="000000"/>
          <w:szCs w:val="24"/>
          <w:lang w:eastAsia="en-GB"/>
        </w:rPr>
        <w:t>T</w:t>
      </w:r>
      <w:r>
        <w:rPr>
          <w:color w:val="000000"/>
          <w:szCs w:val="24"/>
          <w:lang w:eastAsia="en-GB"/>
        </w:rPr>
        <w:t>est » (« </w:t>
      </w:r>
      <w:r w:rsidRPr="00CA5C59">
        <w:rPr>
          <w:color w:val="000000"/>
          <w:szCs w:val="24"/>
          <w:lang w:eastAsia="en-GB"/>
        </w:rPr>
        <w:t xml:space="preserve">Application </w:t>
      </w:r>
      <w:r>
        <w:rPr>
          <w:color w:val="000000"/>
          <w:szCs w:val="24"/>
          <w:lang w:eastAsia="en-GB"/>
        </w:rPr>
        <w:t>des données transitoires du véhicule à l</w:t>
      </w:r>
      <w:r w:rsidR="000A160B">
        <w:rPr>
          <w:color w:val="000000"/>
          <w:szCs w:val="24"/>
          <w:lang w:eastAsia="en-GB"/>
        </w:rPr>
        <w:t>’</w:t>
      </w:r>
      <w:r>
        <w:rPr>
          <w:color w:val="000000"/>
          <w:szCs w:val="24"/>
          <w:lang w:eastAsia="en-GB"/>
        </w:rPr>
        <w:t>essai de puissance nette »)</w:t>
      </w:r>
      <w:r w:rsidRPr="00CA5C59">
        <w:rPr>
          <w:color w:val="000000"/>
          <w:szCs w:val="24"/>
          <w:lang w:eastAsia="en-GB"/>
        </w:rPr>
        <w:t>.</w:t>
      </w:r>
      <w:r>
        <w:rPr>
          <w:color w:val="000000"/>
          <w:szCs w:val="24"/>
          <w:lang w:eastAsia="en-GB"/>
        </w:rPr>
        <w:t xml:space="preserve"> </w:t>
      </w:r>
    </w:p>
    <w:p w:rsidR="00F9573C" w:rsidRDefault="00280D18" w:rsidP="001E4979">
      <w:pPr>
        <w:pStyle w:val="SingleTxtG"/>
        <w:rPr>
          <w:color w:val="000000"/>
          <w:szCs w:val="24"/>
          <w:lang w:eastAsia="en-GB"/>
        </w:rPr>
      </w:pPr>
      <w:r w:rsidRPr="00CA5C59">
        <w:rPr>
          <w:color w:val="000000"/>
          <w:szCs w:val="24"/>
          <w:lang w:eastAsia="en-GB"/>
        </w:rPr>
        <w:lastRenderedPageBreak/>
        <w:t>7.</w:t>
      </w:r>
      <w:r w:rsidRPr="00CA5C59">
        <w:rPr>
          <w:color w:val="000000"/>
          <w:szCs w:val="24"/>
          <w:lang w:eastAsia="en-GB"/>
        </w:rPr>
        <w:tab/>
        <w:t>L</w:t>
      </w:r>
      <w:r w:rsidR="000A160B">
        <w:rPr>
          <w:color w:val="000000"/>
          <w:szCs w:val="24"/>
          <w:lang w:eastAsia="en-GB"/>
        </w:rPr>
        <w:t>’</w:t>
      </w:r>
      <w:r w:rsidRPr="00CA5C59">
        <w:rPr>
          <w:color w:val="000000"/>
          <w:szCs w:val="24"/>
          <w:lang w:eastAsia="en-GB"/>
        </w:rPr>
        <w:t xml:space="preserve">unité de pression indiquée dans la note de bas de page a été modifiée de Pa à kPa </w:t>
      </w:r>
      <w:r>
        <w:rPr>
          <w:color w:val="000000"/>
          <w:szCs w:val="24"/>
          <w:lang w:eastAsia="en-GB"/>
        </w:rPr>
        <w:t>pour éviter la confusion, dans la version anglaise, entre le signe utilisé pour séparer les milliers et</w:t>
      </w:r>
      <w:r w:rsidR="001E4979">
        <w:rPr>
          <w:color w:val="000000"/>
          <w:szCs w:val="24"/>
          <w:lang w:eastAsia="en-GB"/>
        </w:rPr>
        <w:t xml:space="preserve"> </w:t>
      </w:r>
      <w:r>
        <w:rPr>
          <w:color w:val="000000"/>
          <w:szCs w:val="24"/>
          <w:lang w:eastAsia="en-GB"/>
        </w:rPr>
        <w:t>le signe utilisé pour séparer les unités</w:t>
      </w:r>
      <w:r w:rsidRPr="00CA5C59">
        <w:rPr>
          <w:color w:val="000000"/>
          <w:szCs w:val="24"/>
          <w:lang w:eastAsia="en-GB"/>
        </w:rPr>
        <w:t>.</w:t>
      </w:r>
    </w:p>
    <w:p w:rsidR="00FD2BF2" w:rsidRPr="00FD2BF2" w:rsidRDefault="00FD2BF2" w:rsidP="00FD2BF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2BF2" w:rsidRPr="00FD2BF2" w:rsidSect="00280D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80C" w:rsidRDefault="003C480C" w:rsidP="00F95C08">
      <w:pPr>
        <w:spacing w:line="240" w:lineRule="auto"/>
      </w:pPr>
    </w:p>
  </w:endnote>
  <w:endnote w:type="continuationSeparator" w:id="0">
    <w:p w:rsidR="003C480C" w:rsidRPr="00AC3823" w:rsidRDefault="003C480C" w:rsidP="00AC3823">
      <w:pPr>
        <w:pStyle w:val="Footer"/>
      </w:pPr>
    </w:p>
  </w:endnote>
  <w:endnote w:type="continuationNotice" w:id="1">
    <w:p w:rsidR="003C480C" w:rsidRDefault="003C48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18" w:rsidRPr="00280D18" w:rsidRDefault="00280D18" w:rsidP="00280D18">
    <w:pPr>
      <w:pStyle w:val="Footer"/>
      <w:tabs>
        <w:tab w:val="right" w:pos="9638"/>
      </w:tabs>
    </w:pPr>
    <w:r w:rsidRPr="00280D18">
      <w:rPr>
        <w:b/>
        <w:sz w:val="18"/>
      </w:rPr>
      <w:fldChar w:fldCharType="begin"/>
    </w:r>
    <w:r w:rsidRPr="00280D18">
      <w:rPr>
        <w:b/>
        <w:sz w:val="18"/>
      </w:rPr>
      <w:instrText xml:space="preserve"> PAGE  \* MERGEFORMAT </w:instrText>
    </w:r>
    <w:r w:rsidRPr="00280D18">
      <w:rPr>
        <w:b/>
        <w:sz w:val="18"/>
      </w:rPr>
      <w:fldChar w:fldCharType="separate"/>
    </w:r>
    <w:r w:rsidRPr="00280D18">
      <w:rPr>
        <w:b/>
        <w:noProof/>
        <w:sz w:val="18"/>
      </w:rPr>
      <w:t>2</w:t>
    </w:r>
    <w:r w:rsidRPr="00280D18">
      <w:rPr>
        <w:b/>
        <w:sz w:val="18"/>
      </w:rPr>
      <w:fldChar w:fldCharType="end"/>
    </w:r>
    <w:r>
      <w:rPr>
        <w:b/>
        <w:sz w:val="18"/>
      </w:rPr>
      <w:tab/>
    </w:r>
    <w:r>
      <w:t>GE.18-17903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18" w:rsidRPr="00280D18" w:rsidRDefault="00280D18" w:rsidP="00280D18">
    <w:pPr>
      <w:pStyle w:val="Footer"/>
      <w:tabs>
        <w:tab w:val="right" w:pos="9638"/>
      </w:tabs>
      <w:rPr>
        <w:b/>
        <w:sz w:val="18"/>
      </w:rPr>
    </w:pPr>
    <w:r>
      <w:t>GE.18-17903</w:t>
    </w:r>
    <w:r>
      <w:tab/>
    </w:r>
    <w:r w:rsidRPr="00280D18">
      <w:rPr>
        <w:b/>
        <w:sz w:val="18"/>
      </w:rPr>
      <w:fldChar w:fldCharType="begin"/>
    </w:r>
    <w:r w:rsidRPr="00280D18">
      <w:rPr>
        <w:b/>
        <w:sz w:val="18"/>
      </w:rPr>
      <w:instrText xml:space="preserve"> PAGE  \* MERGEFORMAT </w:instrText>
    </w:r>
    <w:r w:rsidRPr="00280D18">
      <w:rPr>
        <w:b/>
        <w:sz w:val="18"/>
      </w:rPr>
      <w:fldChar w:fldCharType="separate"/>
    </w:r>
    <w:r w:rsidRPr="00280D18">
      <w:rPr>
        <w:b/>
        <w:noProof/>
        <w:sz w:val="18"/>
      </w:rPr>
      <w:t>3</w:t>
    </w:r>
    <w:r w:rsidRPr="00280D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280D18" w:rsidRDefault="00280D18" w:rsidP="00280D1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18-17903  (F)    131118    131118</w:t>
    </w:r>
    <w:r>
      <w:rPr>
        <w:sz w:val="20"/>
      </w:rPr>
      <w:br/>
    </w:r>
    <w:r w:rsidRPr="00280D18">
      <w:rPr>
        <w:rFonts w:ascii="C39T30Lfz" w:hAnsi="C39T30Lfz"/>
        <w:sz w:val="56"/>
      </w:rPr>
      <w:t></w:t>
    </w:r>
    <w:r w:rsidRPr="00280D18">
      <w:rPr>
        <w:rFonts w:ascii="C39T30Lfz" w:hAnsi="C39T30Lfz"/>
        <w:sz w:val="56"/>
      </w:rPr>
      <w:t></w:t>
    </w:r>
    <w:r w:rsidRPr="00280D18">
      <w:rPr>
        <w:rFonts w:ascii="C39T30Lfz" w:hAnsi="C39T30Lfz"/>
        <w:sz w:val="56"/>
      </w:rPr>
      <w:t></w:t>
    </w:r>
    <w:r w:rsidRPr="00280D18">
      <w:rPr>
        <w:rFonts w:ascii="C39T30Lfz" w:hAnsi="C39T30Lfz"/>
        <w:sz w:val="56"/>
      </w:rPr>
      <w:t></w:t>
    </w:r>
    <w:r w:rsidRPr="00280D18">
      <w:rPr>
        <w:rFonts w:ascii="C39T30Lfz" w:hAnsi="C39T30Lfz"/>
        <w:sz w:val="56"/>
      </w:rPr>
      <w:t></w:t>
    </w:r>
    <w:r w:rsidRPr="00280D18">
      <w:rPr>
        <w:rFonts w:ascii="C39T30Lfz" w:hAnsi="C39T30Lfz"/>
        <w:sz w:val="56"/>
      </w:rPr>
      <w:t></w:t>
    </w:r>
    <w:r w:rsidRPr="00280D18">
      <w:rPr>
        <w:rFonts w:ascii="C39T30Lfz" w:hAnsi="C39T30Lfz"/>
        <w:sz w:val="56"/>
      </w:rPr>
      <w:t></w:t>
    </w:r>
    <w:r w:rsidRPr="00280D18">
      <w:rPr>
        <w:rFonts w:ascii="C39T30Lfz" w:hAnsi="C39T30Lfz"/>
        <w:sz w:val="56"/>
      </w:rPr>
      <w:t></w:t>
    </w:r>
    <w:r w:rsidRPr="00280D1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PE/2019/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9/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80C" w:rsidRPr="00AC3823" w:rsidRDefault="003C480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480C" w:rsidRPr="00AC3823" w:rsidRDefault="003C480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C480C" w:rsidRPr="00AC3823" w:rsidRDefault="003C480C">
      <w:pPr>
        <w:spacing w:line="240" w:lineRule="auto"/>
        <w:rPr>
          <w:sz w:val="2"/>
          <w:szCs w:val="2"/>
        </w:rPr>
      </w:pPr>
    </w:p>
  </w:footnote>
  <w:footnote w:id="2">
    <w:p w:rsidR="00280D18" w:rsidRPr="00280D18" w:rsidRDefault="00280D18">
      <w:pPr>
        <w:pStyle w:val="FootnoteText"/>
      </w:pPr>
      <w:r>
        <w:rPr>
          <w:rStyle w:val="FootnoteReference"/>
        </w:rPr>
        <w:tab/>
      </w:r>
      <w:r w:rsidRPr="00280D1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54322">
        <w:rPr>
          <w:szCs w:val="18"/>
        </w:rPr>
        <w:t>Conformément au programme de travail du Comité des transports intérieurs pour la pér</w:t>
      </w:r>
      <w:r>
        <w:rPr>
          <w:szCs w:val="18"/>
        </w:rPr>
        <w:t>iode 2014</w:t>
      </w:r>
      <w:r>
        <w:rPr>
          <w:szCs w:val="18"/>
        </w:rPr>
        <w:noBreakHyphen/>
        <w:t>2018 (ECE/TRANS/240, par. </w:t>
      </w:r>
      <w:r w:rsidRPr="00354322">
        <w:rPr>
          <w:szCs w:val="18"/>
        </w:rPr>
        <w:t>105</w:t>
      </w:r>
      <w:r>
        <w:rPr>
          <w:szCs w:val="18"/>
        </w:rPr>
        <w:t xml:space="preserve"> et</w:t>
      </w:r>
      <w:r w:rsidRPr="00354322">
        <w:rPr>
          <w:szCs w:val="18"/>
        </w:rPr>
        <w:t xml:space="preserve"> ECE/TRANS/2014/26, </w:t>
      </w:r>
      <w:r>
        <w:rPr>
          <w:szCs w:val="18"/>
        </w:rPr>
        <w:t>activité</w:t>
      </w:r>
      <w:r w:rsidRPr="00354322">
        <w:rPr>
          <w:szCs w:val="18"/>
        </w:rPr>
        <w:t xml:space="preserve"> 02.4), le Forum mondial a pour mission d’élaborer, d’harmoniser et de mettre à jour les Règlements en vue d’améliorer les caractéristiques fonctionnelles des véhicules.</w:t>
      </w:r>
      <w:r>
        <w:rPr>
          <w:szCs w:val="18"/>
        </w:rPr>
        <w:t xml:space="preserve"> </w:t>
      </w:r>
      <w:r w:rsidRPr="00752830">
        <w:rPr>
          <w:szCs w:val="18"/>
        </w:rPr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18" w:rsidRPr="00280D18" w:rsidRDefault="00BC174E">
    <w:pPr>
      <w:pStyle w:val="Header"/>
    </w:pPr>
    <w:fldSimple w:instr=" TITLE  \* MERGEFORMAT ">
      <w:r w:rsidR="00ED779F">
        <w:t>ECE/TRANS/WP.29/GRPE/2019/7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18" w:rsidRPr="00280D18" w:rsidRDefault="00BC174E" w:rsidP="00280D18">
    <w:pPr>
      <w:pStyle w:val="Header"/>
      <w:jc w:val="right"/>
    </w:pPr>
    <w:fldSimple w:instr=" TITLE  \* MERGEFORMAT ">
      <w:r w:rsidR="00ED779F">
        <w:t>ECE/TRANS/WP.29/GRPE/2019/7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0C"/>
    <w:rsid w:val="00017F94"/>
    <w:rsid w:val="00023842"/>
    <w:rsid w:val="000334F9"/>
    <w:rsid w:val="00045FEB"/>
    <w:rsid w:val="0007796D"/>
    <w:rsid w:val="000A160B"/>
    <w:rsid w:val="000B7790"/>
    <w:rsid w:val="00111F2F"/>
    <w:rsid w:val="00113BF6"/>
    <w:rsid w:val="0014365E"/>
    <w:rsid w:val="00143C66"/>
    <w:rsid w:val="00152EFA"/>
    <w:rsid w:val="00176178"/>
    <w:rsid w:val="001E2BF7"/>
    <w:rsid w:val="001E4979"/>
    <w:rsid w:val="001F525A"/>
    <w:rsid w:val="00223272"/>
    <w:rsid w:val="0024779E"/>
    <w:rsid w:val="00257168"/>
    <w:rsid w:val="002744B8"/>
    <w:rsid w:val="00280D18"/>
    <w:rsid w:val="002832AC"/>
    <w:rsid w:val="002D7C93"/>
    <w:rsid w:val="00305801"/>
    <w:rsid w:val="003916DE"/>
    <w:rsid w:val="003C480C"/>
    <w:rsid w:val="00421996"/>
    <w:rsid w:val="00441C3B"/>
    <w:rsid w:val="00446FE5"/>
    <w:rsid w:val="00452396"/>
    <w:rsid w:val="004837D8"/>
    <w:rsid w:val="004E2EED"/>
    <w:rsid w:val="004E468C"/>
    <w:rsid w:val="00540040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A4619"/>
    <w:rsid w:val="009062D2"/>
    <w:rsid w:val="009446C0"/>
    <w:rsid w:val="009705C8"/>
    <w:rsid w:val="009C1CF4"/>
    <w:rsid w:val="009F6B74"/>
    <w:rsid w:val="00A3029F"/>
    <w:rsid w:val="00A30353"/>
    <w:rsid w:val="00AA60E3"/>
    <w:rsid w:val="00AC3823"/>
    <w:rsid w:val="00AE323C"/>
    <w:rsid w:val="00AF0CB5"/>
    <w:rsid w:val="00B00181"/>
    <w:rsid w:val="00B00B0D"/>
    <w:rsid w:val="00B45F2E"/>
    <w:rsid w:val="00B765F7"/>
    <w:rsid w:val="00BA0CA9"/>
    <w:rsid w:val="00BA3CD3"/>
    <w:rsid w:val="00BC174E"/>
    <w:rsid w:val="00C02897"/>
    <w:rsid w:val="00C456C0"/>
    <w:rsid w:val="00C97039"/>
    <w:rsid w:val="00D3439C"/>
    <w:rsid w:val="00DB1831"/>
    <w:rsid w:val="00DD3BFD"/>
    <w:rsid w:val="00DF6678"/>
    <w:rsid w:val="00E0299A"/>
    <w:rsid w:val="00E85C74"/>
    <w:rsid w:val="00EA6547"/>
    <w:rsid w:val="00ED779F"/>
    <w:rsid w:val="00EF2E22"/>
    <w:rsid w:val="00F35BAF"/>
    <w:rsid w:val="00F660DF"/>
    <w:rsid w:val="00F70A77"/>
    <w:rsid w:val="00F94664"/>
    <w:rsid w:val="00F9573C"/>
    <w:rsid w:val="00F95C08"/>
    <w:rsid w:val="00FA4F58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AC13A06-96A2-46F2-85AC-F794644A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80D1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280D1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280D18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ECE/TRANS/WP.29/GRPE/2019/7</vt:lpstr>
      <vt:lpstr>ECE/TRANS/WP.29/GRPE/2019/7</vt:lpstr>
    </vt:vector>
  </TitlesOfParts>
  <Company>DCM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ECE/TRANS/WP.29/GRPE/2019/7</dc:title>
  <dc:subject/>
  <dc:creator>Isabelle VIGNY</dc:creator>
  <cp:keywords/>
  <cp:lastModifiedBy>Benedicte Boudol</cp:lastModifiedBy>
  <cp:revision>2</cp:revision>
  <cp:lastPrinted>2018-11-13T13:26:00Z</cp:lastPrinted>
  <dcterms:created xsi:type="dcterms:W3CDTF">2018-11-14T16:18:00Z</dcterms:created>
  <dcterms:modified xsi:type="dcterms:W3CDTF">2018-11-14T16:18:00Z</dcterms:modified>
</cp:coreProperties>
</file>