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846F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846F8" w:rsidP="001846F8">
            <w:pPr>
              <w:jc w:val="right"/>
            </w:pPr>
            <w:r w:rsidRPr="001846F8">
              <w:rPr>
                <w:sz w:val="40"/>
              </w:rPr>
              <w:t>ECE</w:t>
            </w:r>
            <w:r>
              <w:t>/TRANS/WP.29/GRPE/2019/5</w:t>
            </w:r>
          </w:p>
        </w:tc>
      </w:tr>
      <w:tr w:rsidR="002D5AAC" w:rsidRPr="001846F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846F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846F8" w:rsidRDefault="001846F8" w:rsidP="001846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October 2018</w:t>
            </w:r>
          </w:p>
          <w:p w:rsidR="001846F8" w:rsidRDefault="001846F8" w:rsidP="001846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846F8" w:rsidRPr="008D53B6" w:rsidRDefault="001846F8" w:rsidP="001846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846F8" w:rsidRPr="001846F8" w:rsidRDefault="001846F8" w:rsidP="001846F8">
      <w:pPr>
        <w:tabs>
          <w:tab w:val="left" w:pos="567"/>
          <w:tab w:val="left" w:pos="1134"/>
        </w:tabs>
        <w:spacing w:before="120"/>
        <w:rPr>
          <w:sz w:val="28"/>
          <w:szCs w:val="28"/>
        </w:rPr>
      </w:pPr>
      <w:r w:rsidRPr="001846F8">
        <w:rPr>
          <w:sz w:val="28"/>
          <w:szCs w:val="28"/>
        </w:rPr>
        <w:t xml:space="preserve">Комитет по внутреннему транспорту </w:t>
      </w:r>
    </w:p>
    <w:p w:rsidR="001846F8" w:rsidRPr="001846F8" w:rsidRDefault="001846F8" w:rsidP="001846F8">
      <w:pPr>
        <w:tabs>
          <w:tab w:val="left" w:pos="567"/>
          <w:tab w:val="left" w:pos="1134"/>
        </w:tabs>
        <w:spacing w:before="120"/>
        <w:rPr>
          <w:b/>
          <w:bCs/>
          <w:sz w:val="24"/>
          <w:szCs w:val="24"/>
        </w:rPr>
      </w:pPr>
      <w:r w:rsidRPr="001846F8">
        <w:rPr>
          <w:b/>
          <w:bCs/>
          <w:sz w:val="24"/>
          <w:szCs w:val="24"/>
        </w:rPr>
        <w:t>Всемирны</w:t>
      </w:r>
      <w:r w:rsidR="00053BA0"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1846F8">
        <w:rPr>
          <w:b/>
          <w:bCs/>
          <w:sz w:val="24"/>
          <w:szCs w:val="24"/>
        </w:rPr>
        <w:t xml:space="preserve">в области транспортных средств </w:t>
      </w:r>
    </w:p>
    <w:p w:rsidR="001846F8" w:rsidRPr="006167B6" w:rsidRDefault="001846F8" w:rsidP="001846F8">
      <w:pPr>
        <w:tabs>
          <w:tab w:val="left" w:pos="567"/>
          <w:tab w:val="left" w:pos="1134"/>
        </w:tabs>
        <w:spacing w:before="120" w:after="120"/>
        <w:rPr>
          <w:b/>
          <w:bCs/>
        </w:rPr>
      </w:pPr>
      <w:r w:rsidRPr="006167B6">
        <w:rPr>
          <w:b/>
          <w:bCs/>
        </w:rPr>
        <w:t xml:space="preserve">Рабочая группа по проблемам энергии </w:t>
      </w:r>
      <w:r>
        <w:rPr>
          <w:b/>
          <w:bCs/>
        </w:rPr>
        <w:br/>
      </w:r>
      <w:r w:rsidRPr="006167B6">
        <w:rPr>
          <w:b/>
          <w:bCs/>
        </w:rPr>
        <w:t xml:space="preserve">и загрязнения окружающей среды </w:t>
      </w:r>
    </w:p>
    <w:p w:rsidR="001846F8" w:rsidRPr="006167B6" w:rsidRDefault="001846F8" w:rsidP="001846F8">
      <w:pPr>
        <w:rPr>
          <w:b/>
        </w:rPr>
      </w:pPr>
      <w:r>
        <w:rPr>
          <w:b/>
          <w:bCs/>
        </w:rPr>
        <w:t>Семьдесят восьмая сессия</w:t>
      </w:r>
    </w:p>
    <w:p w:rsidR="001846F8" w:rsidRPr="006167B6" w:rsidRDefault="001846F8" w:rsidP="001846F8">
      <w:r w:rsidRPr="006167B6">
        <w:t xml:space="preserve">Женева, 8–11 января 2019 года </w:t>
      </w:r>
    </w:p>
    <w:p w:rsidR="001846F8" w:rsidRPr="006167B6" w:rsidRDefault="001846F8" w:rsidP="001846F8">
      <w:r>
        <w:t>Пункт 10 предварительной повестки дня</w:t>
      </w:r>
    </w:p>
    <w:p w:rsidR="001846F8" w:rsidRPr="006167B6" w:rsidRDefault="001846F8" w:rsidP="001846F8">
      <w:pPr>
        <w:rPr>
          <w:b/>
          <w:bCs/>
        </w:rPr>
      </w:pPr>
      <w:r>
        <w:rPr>
          <w:b/>
          <w:bCs/>
        </w:rPr>
        <w:t>Общая резолюция № 2 (ОР.2)</w:t>
      </w:r>
    </w:p>
    <w:p w:rsidR="001846F8" w:rsidRPr="006167B6" w:rsidRDefault="001846F8" w:rsidP="001846F8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Предложение по поправкам к Общей резолюции № 2 (ОР.2)</w:t>
      </w:r>
    </w:p>
    <w:p w:rsidR="001846F8" w:rsidRPr="007E5C8F" w:rsidRDefault="001846F8" w:rsidP="001846F8">
      <w:pPr>
        <w:pStyle w:val="H1G"/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Представлено экспертом от Европейской комиссии</w:t>
      </w:r>
      <w:r w:rsidRPr="001846F8">
        <w:rPr>
          <w:b w:val="0"/>
          <w:sz w:val="20"/>
          <w:lang w:val="ru-RU"/>
        </w:rPr>
        <w:footnoteReference w:customMarkFollows="1" w:id="1"/>
        <w:t>*</w:t>
      </w:r>
    </w:p>
    <w:p w:rsidR="001846F8" w:rsidRPr="006167B6" w:rsidRDefault="001846F8" w:rsidP="001846F8">
      <w:pPr>
        <w:pStyle w:val="SingleTxtG"/>
        <w:ind w:firstLine="567"/>
        <w:rPr>
          <w:lang w:val="ru-RU"/>
        </w:rPr>
      </w:pPr>
      <w:r>
        <w:rPr>
          <w:lang w:val="ru-RU"/>
        </w:rPr>
        <w:t>Приведенный ниже текст был подготовлен экспертом от Европейской комиссии в целях обновления положений Общей резолюции №</w:t>
      </w:r>
      <w:r w:rsidR="002A0DEB" w:rsidRPr="002A0DEB">
        <w:rPr>
          <w:lang w:val="ru-RU"/>
        </w:rPr>
        <w:t xml:space="preserve"> </w:t>
      </w:r>
      <w:r>
        <w:rPr>
          <w:lang w:val="ru-RU"/>
        </w:rPr>
        <w:t>2 (ОР.2), касающихся «периферийных устройств». В его основу положен неофициальный документ GRPE-77-12, который обсуждался в ходе сессии GRPE в июне 2018 года.</w:t>
      </w:r>
      <w:bookmarkStart w:id="1" w:name="_Hlk527989122"/>
      <w:bookmarkStart w:id="2" w:name="_Hlk527989147"/>
      <w:bookmarkEnd w:id="1"/>
      <w:bookmarkEnd w:id="2"/>
    </w:p>
    <w:p w:rsidR="001846F8" w:rsidRPr="006167B6" w:rsidRDefault="001846F8" w:rsidP="001846F8">
      <w:pPr>
        <w:suppressAutoHyphens w:val="0"/>
        <w:spacing w:line="240" w:lineRule="auto"/>
        <w:ind w:left="1134" w:right="1134" w:hanging="425"/>
        <w:rPr>
          <w:b/>
          <w:sz w:val="28"/>
        </w:rPr>
      </w:pPr>
      <w:r w:rsidRPr="006167B6">
        <w:br w:type="page"/>
      </w:r>
    </w:p>
    <w:p w:rsidR="001846F8" w:rsidRPr="006167B6" w:rsidRDefault="001846F8" w:rsidP="001846F8">
      <w:pPr>
        <w:pStyle w:val="HChG"/>
        <w:tabs>
          <w:tab w:val="clear" w:pos="851"/>
        </w:tabs>
        <w:spacing w:before="240"/>
        <w:ind w:hanging="567"/>
        <w:rPr>
          <w:lang w:val="ru-RU"/>
        </w:rPr>
      </w:pPr>
      <w:r>
        <w:rPr>
          <w:lang w:val="ru-RU"/>
        </w:rPr>
        <w:lastRenderedPageBreak/>
        <w:t>I.</w:t>
      </w:r>
      <w:r>
        <w:rPr>
          <w:lang w:val="ru-RU"/>
        </w:rPr>
        <w:tab/>
      </w:r>
      <w:r>
        <w:rPr>
          <w:bCs/>
          <w:lang w:val="ru-RU"/>
        </w:rPr>
        <w:t>Предложение</w:t>
      </w:r>
    </w:p>
    <w:p w:rsidR="001846F8" w:rsidRPr="006167B6" w:rsidRDefault="001846F8" w:rsidP="001846F8">
      <w:pPr>
        <w:pStyle w:val="SingleTxtG"/>
        <w:rPr>
          <w:i/>
          <w:lang w:val="ru-RU"/>
        </w:rPr>
      </w:pPr>
      <w:r>
        <w:rPr>
          <w:i/>
          <w:iCs/>
          <w:lang w:val="ru-RU"/>
        </w:rPr>
        <w:t>Раздел A, пункт 37</w:t>
      </w:r>
      <w:r>
        <w:rPr>
          <w:lang w:val="ru-RU"/>
        </w:rPr>
        <w:t xml:space="preserve"> изменить следующим образом:</w:t>
      </w:r>
    </w:p>
    <w:p w:rsidR="001846F8" w:rsidRPr="006167B6" w:rsidRDefault="001846F8" w:rsidP="001846F8">
      <w:pPr>
        <w:pStyle w:val="SingleTxtG"/>
        <w:rPr>
          <w:lang w:val="ru-RU"/>
        </w:rPr>
      </w:pPr>
      <w:r>
        <w:rPr>
          <w:lang w:val="ru-RU"/>
        </w:rPr>
        <w:t>37.</w:t>
      </w:r>
      <w:r>
        <w:rPr>
          <w:lang w:val="ru-RU"/>
        </w:rPr>
        <w:tab/>
        <w:t xml:space="preserve">Периферийные устройства являются частью силовой передачи. К их числу могут относиться устройства </w:t>
      </w:r>
      <w:r>
        <w:rPr>
          <w:strike/>
          <w:lang w:val="ru-RU"/>
        </w:rPr>
        <w:t>или иные части, системы и блоки управления</w:t>
      </w:r>
      <w:r>
        <w:rPr>
          <w:lang w:val="ru-RU"/>
        </w:rPr>
        <w:t xml:space="preserve">, которые осуществляют хранение, преобразование, передачу или потребление энергии и которые необходимы для работы силовой установки. Они не считаются системами хранения тяговой энергии или преобразователями тяговой энергии в составе силовой установки. Эти устройства не обеспечивают прямую или опосредованную передачу энергии в различных формах для создания тяги. Примерами периферийных устройств служат </w:t>
      </w:r>
      <w:r>
        <w:rPr>
          <w:strike/>
          <w:lang w:val="ru-RU"/>
        </w:rPr>
        <w:t>электрический конденсатор</w:t>
      </w:r>
      <w:r w:rsidRPr="006C5156">
        <w:rPr>
          <w:strike/>
          <w:lang w:val="ru-RU"/>
        </w:rPr>
        <w:t>,</w:t>
      </w:r>
      <w:r>
        <w:rPr>
          <w:lang w:val="ru-RU"/>
        </w:rPr>
        <w:t xml:space="preserve"> 12-вольтный аккумулятор, стартер, система впуска, система подачи топлива, система управления параметрами электропитания, датчик, привод, конденсатор, электронный управляющий блок, турбонагнетатель, система последующей обработки отработавших газов.</w:t>
      </w:r>
    </w:p>
    <w:p w:rsidR="001846F8" w:rsidRPr="006167B6" w:rsidRDefault="001846F8" w:rsidP="001846F8">
      <w:pPr>
        <w:pStyle w:val="SingleTxtG"/>
        <w:rPr>
          <w:i/>
          <w:lang w:val="ru-RU"/>
        </w:rPr>
      </w:pPr>
      <w:r>
        <w:rPr>
          <w:i/>
          <w:iCs/>
          <w:lang w:val="ru-RU"/>
        </w:rPr>
        <w:t>Раздел B, пункт 1.4</w:t>
      </w:r>
      <w:r>
        <w:rPr>
          <w:lang w:val="ru-RU"/>
        </w:rPr>
        <w:t xml:space="preserve"> изменить следующим образом:</w:t>
      </w:r>
    </w:p>
    <w:p w:rsidR="001846F8" w:rsidRPr="006167B6" w:rsidRDefault="001846F8" w:rsidP="001846F8">
      <w:pPr>
        <w:pStyle w:val="SingleTxtG"/>
        <w:rPr>
          <w:lang w:val="ru-RU"/>
        </w:rPr>
      </w:pPr>
      <w:r>
        <w:rPr>
          <w:lang w:val="ru-RU"/>
        </w:rPr>
        <w:t>«1.4</w:t>
      </w:r>
      <w:r>
        <w:rPr>
          <w:lang w:val="ru-RU"/>
        </w:rPr>
        <w:tab/>
        <w:t xml:space="preserve">"Периферийные устройства" означают </w:t>
      </w:r>
      <w:r>
        <w:rPr>
          <w:b/>
          <w:bCs/>
          <w:lang w:val="ru-RU"/>
        </w:rPr>
        <w:t xml:space="preserve">любые </w:t>
      </w:r>
      <w:r>
        <w:rPr>
          <w:lang w:val="ru-RU"/>
        </w:rPr>
        <w:t xml:space="preserve">устройства, потребляющие, преобразующие, хранящие или подающие энергию, в которых эта энергия не используется </w:t>
      </w:r>
      <w:r>
        <w:rPr>
          <w:strike/>
          <w:lang w:val="ru-RU"/>
        </w:rPr>
        <w:t>главным образом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прямо или опосредованно </w:t>
      </w:r>
      <w:r>
        <w:rPr>
          <w:lang w:val="ru-RU"/>
        </w:rPr>
        <w:t xml:space="preserve">для приведения в движение транспортного средства </w:t>
      </w:r>
      <w:r>
        <w:rPr>
          <w:strike/>
          <w:lang w:val="ru-RU"/>
        </w:rPr>
        <w:t>или приведения в действие иных частей, систем и блоков управления</w:t>
      </w:r>
      <w:r>
        <w:rPr>
          <w:lang w:val="ru-RU"/>
        </w:rPr>
        <w:t xml:space="preserve">, </w:t>
      </w:r>
      <w:r>
        <w:rPr>
          <w:b/>
          <w:bCs/>
          <w:lang w:val="ru-RU"/>
        </w:rPr>
        <w:t xml:space="preserve">но </w:t>
      </w:r>
      <w:r>
        <w:rPr>
          <w:lang w:val="ru-RU"/>
        </w:rPr>
        <w:t xml:space="preserve">которые необходимы для работы силовой установки </w:t>
      </w:r>
      <w:r>
        <w:rPr>
          <w:b/>
          <w:bCs/>
          <w:lang w:val="ru-RU"/>
        </w:rPr>
        <w:t>и, следовательно, считаются частью силовой передачи</w:t>
      </w:r>
      <w:r>
        <w:rPr>
          <w:lang w:val="ru-RU"/>
        </w:rPr>
        <w:t xml:space="preserve">». </w:t>
      </w:r>
    </w:p>
    <w:p w:rsidR="001846F8" w:rsidRPr="006167B6" w:rsidRDefault="001846F8" w:rsidP="001846F8">
      <w:pPr>
        <w:pStyle w:val="HChG"/>
        <w:tabs>
          <w:tab w:val="clear" w:pos="851"/>
        </w:tabs>
        <w:ind w:hanging="567"/>
        <w:rPr>
          <w:lang w:val="ru-RU"/>
        </w:rPr>
      </w:pPr>
      <w:r>
        <w:rPr>
          <w:lang w:val="ru-RU"/>
        </w:rPr>
        <w:t>II.</w:t>
      </w:r>
      <w:r>
        <w:rPr>
          <w:lang w:val="ru-RU"/>
        </w:rPr>
        <w:tab/>
      </w:r>
      <w:r>
        <w:rPr>
          <w:bCs/>
          <w:lang w:val="ru-RU"/>
        </w:rPr>
        <w:t>Обоснование</w:t>
      </w:r>
    </w:p>
    <w:p w:rsidR="001846F8" w:rsidRPr="006167B6" w:rsidRDefault="001846F8" w:rsidP="001846F8">
      <w:pPr>
        <w:pStyle w:val="SingleTxtG"/>
        <w:ind w:firstLine="567"/>
        <w:rPr>
          <w:lang w:val="ru-RU"/>
        </w:rPr>
      </w:pPr>
      <w:r>
        <w:rPr>
          <w:lang w:val="ru-RU"/>
        </w:rPr>
        <w:t xml:space="preserve">Поправка к определению термина «периферийные устройства» в пункте 1.4 раздела B ОР.2 отражает принципы, положенные в основу описательных положений, содержащихся в пунктах 37 и 38 раздела А, которые могли бы быть неверно истолкованы в свете определения по пункту 1.4. </w:t>
      </w:r>
    </w:p>
    <w:p w:rsidR="001846F8" w:rsidRPr="006167B6" w:rsidRDefault="001846F8" w:rsidP="001846F8">
      <w:pPr>
        <w:pStyle w:val="SingleTxtG"/>
        <w:ind w:firstLine="567"/>
        <w:rPr>
          <w:lang w:val="ru-RU"/>
        </w:rPr>
      </w:pPr>
      <w:r>
        <w:rPr>
          <w:lang w:val="ru-RU"/>
        </w:rPr>
        <w:t xml:space="preserve">В частности, использование слов «главным образом» (в пункте 1.4) означало отсутствие ясности относительно того, не может ли система, которая задействуется для приведения транспортного средства в движение не в качестве своей первоначальной функции (например, статор/генератор с ременным приводом), ошибочно рассматриваться как периферийное устройство, а не как преобразователь тяговой энергии, иными словами </w:t>
      </w:r>
      <w:r w:rsidRPr="006167B6">
        <w:rPr>
          <w:lang w:val="ru-RU"/>
        </w:rPr>
        <w:t>–</w:t>
      </w:r>
      <w:r>
        <w:rPr>
          <w:lang w:val="ru-RU"/>
        </w:rPr>
        <w:t xml:space="preserve"> как гибридная система. </w:t>
      </w:r>
    </w:p>
    <w:p w:rsidR="001846F8" w:rsidRPr="009B729D" w:rsidRDefault="001846F8" w:rsidP="001846F8">
      <w:pPr>
        <w:pStyle w:val="SingleTxtG"/>
        <w:ind w:firstLine="567"/>
        <w:rPr>
          <w:rFonts w:eastAsia="MS Mincho"/>
          <w:lang w:val="ru-RU"/>
        </w:rPr>
      </w:pPr>
      <w:r>
        <w:rPr>
          <w:lang w:val="ru-RU"/>
        </w:rPr>
        <w:t>Поправка к пункту 37 раздела A отражает принцип, лежащий в основе поправки к определению по пункту 1.4, а также исключает повторное указание на «конденсатор».</w:t>
      </w:r>
    </w:p>
    <w:p w:rsidR="00E12C5F" w:rsidRPr="001846F8" w:rsidRDefault="001846F8" w:rsidP="001846F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1846F8" w:rsidSect="001846F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533" w:rsidRPr="00A312BC" w:rsidRDefault="00181533" w:rsidP="00A312BC"/>
  </w:endnote>
  <w:endnote w:type="continuationSeparator" w:id="0">
    <w:p w:rsidR="00181533" w:rsidRPr="00A312BC" w:rsidRDefault="0018153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6F8" w:rsidRPr="001846F8" w:rsidRDefault="001846F8">
    <w:pPr>
      <w:pStyle w:val="Footer"/>
    </w:pPr>
    <w:r w:rsidRPr="001846F8">
      <w:rPr>
        <w:b/>
        <w:sz w:val="18"/>
      </w:rPr>
      <w:fldChar w:fldCharType="begin"/>
    </w:r>
    <w:r w:rsidRPr="001846F8">
      <w:rPr>
        <w:b/>
        <w:sz w:val="18"/>
      </w:rPr>
      <w:instrText xml:space="preserve"> PAGE  \* MERGEFORMAT </w:instrText>
    </w:r>
    <w:r w:rsidRPr="001846F8">
      <w:rPr>
        <w:b/>
        <w:sz w:val="18"/>
      </w:rPr>
      <w:fldChar w:fldCharType="separate"/>
    </w:r>
    <w:r w:rsidR="00436A3C">
      <w:rPr>
        <w:b/>
        <w:noProof/>
        <w:sz w:val="18"/>
      </w:rPr>
      <w:t>2</w:t>
    </w:r>
    <w:r w:rsidRPr="001846F8">
      <w:rPr>
        <w:b/>
        <w:sz w:val="18"/>
      </w:rPr>
      <w:fldChar w:fldCharType="end"/>
    </w:r>
    <w:r>
      <w:rPr>
        <w:b/>
        <w:sz w:val="18"/>
      </w:rPr>
      <w:tab/>
    </w:r>
    <w:r>
      <w:t>GE.18-17901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6F8" w:rsidRPr="001846F8" w:rsidRDefault="001846F8" w:rsidP="001846F8">
    <w:pPr>
      <w:pStyle w:val="Footer"/>
      <w:tabs>
        <w:tab w:val="clear" w:pos="9639"/>
        <w:tab w:val="right" w:pos="9638"/>
      </w:tabs>
      <w:rPr>
        <w:b/>
        <w:sz w:val="18"/>
      </w:rPr>
    </w:pPr>
    <w:r>
      <w:t>GE.18-17901</w:t>
    </w:r>
    <w:r>
      <w:tab/>
    </w:r>
    <w:r w:rsidRPr="001846F8">
      <w:rPr>
        <w:b/>
        <w:sz w:val="18"/>
      </w:rPr>
      <w:fldChar w:fldCharType="begin"/>
    </w:r>
    <w:r w:rsidRPr="001846F8">
      <w:rPr>
        <w:b/>
        <w:sz w:val="18"/>
      </w:rPr>
      <w:instrText xml:space="preserve"> PAGE  \* MERGEFORMAT </w:instrText>
    </w:r>
    <w:r w:rsidRPr="001846F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846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846F8" w:rsidRDefault="001846F8" w:rsidP="001846F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17901  (</w:t>
    </w:r>
    <w:proofErr w:type="gramEnd"/>
    <w:r>
      <w:t>R)</w:t>
    </w:r>
    <w:r>
      <w:rPr>
        <w:lang w:val="en-US"/>
      </w:rPr>
      <w:t xml:space="preserve">  121118  121118</w:t>
    </w:r>
    <w:r>
      <w:br/>
    </w:r>
    <w:r w:rsidRPr="001846F8">
      <w:rPr>
        <w:rFonts w:ascii="C39T30Lfz" w:hAnsi="C39T30Lfz"/>
        <w:kern w:val="14"/>
        <w:sz w:val="56"/>
      </w:rPr>
      <w:t></w:t>
    </w:r>
    <w:r w:rsidRPr="001846F8">
      <w:rPr>
        <w:rFonts w:ascii="C39T30Lfz" w:hAnsi="C39T30Lfz"/>
        <w:kern w:val="14"/>
        <w:sz w:val="56"/>
      </w:rPr>
      <w:t></w:t>
    </w:r>
    <w:r w:rsidRPr="001846F8">
      <w:rPr>
        <w:rFonts w:ascii="C39T30Lfz" w:hAnsi="C39T30Lfz"/>
        <w:kern w:val="14"/>
        <w:sz w:val="56"/>
      </w:rPr>
      <w:t></w:t>
    </w:r>
    <w:r w:rsidRPr="001846F8">
      <w:rPr>
        <w:rFonts w:ascii="C39T30Lfz" w:hAnsi="C39T30Lfz"/>
        <w:kern w:val="14"/>
        <w:sz w:val="56"/>
      </w:rPr>
      <w:t></w:t>
    </w:r>
    <w:r w:rsidRPr="001846F8">
      <w:rPr>
        <w:rFonts w:ascii="C39T30Lfz" w:hAnsi="C39T30Lfz"/>
        <w:kern w:val="14"/>
        <w:sz w:val="56"/>
      </w:rPr>
      <w:t></w:t>
    </w:r>
    <w:r w:rsidRPr="001846F8">
      <w:rPr>
        <w:rFonts w:ascii="C39T30Lfz" w:hAnsi="C39T30Lfz"/>
        <w:kern w:val="14"/>
        <w:sz w:val="56"/>
      </w:rPr>
      <w:t></w:t>
    </w:r>
    <w:r w:rsidRPr="001846F8">
      <w:rPr>
        <w:rFonts w:ascii="C39T30Lfz" w:hAnsi="C39T30Lfz"/>
        <w:kern w:val="14"/>
        <w:sz w:val="56"/>
      </w:rPr>
      <w:t></w:t>
    </w:r>
    <w:r w:rsidRPr="001846F8">
      <w:rPr>
        <w:rFonts w:ascii="C39T30Lfz" w:hAnsi="C39T30Lfz"/>
        <w:kern w:val="14"/>
        <w:sz w:val="56"/>
      </w:rPr>
      <w:t></w:t>
    </w:r>
    <w:r w:rsidRPr="001846F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PE/2019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9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533" w:rsidRPr="001075E9" w:rsidRDefault="0018153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81533" w:rsidRDefault="0018153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846F8" w:rsidRPr="00A84D55" w:rsidRDefault="001846F8" w:rsidP="001846F8">
      <w:pPr>
        <w:pStyle w:val="FootnoteText"/>
      </w:pPr>
      <w:r>
        <w:tab/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 и Add.1, направление деятельности 3)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6F8" w:rsidRPr="001846F8" w:rsidRDefault="00436A3C">
    <w:pPr>
      <w:pStyle w:val="Header"/>
    </w:pPr>
    <w:fldSimple w:instr=" TITLE  \* MERGEFORMAT ">
      <w:r>
        <w:t>ECE/TRANS/WP.29/GRPE/2019/5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6F8" w:rsidRPr="001846F8" w:rsidRDefault="00436A3C" w:rsidP="001846F8">
    <w:pPr>
      <w:pStyle w:val="Header"/>
      <w:jc w:val="right"/>
    </w:pPr>
    <w:fldSimple w:instr=" TITLE  \* MERGEFORMAT ">
      <w:r>
        <w:t>ECE/TRANS/WP.29/GRPE/2019/5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33"/>
    <w:rsid w:val="00033EE1"/>
    <w:rsid w:val="00042B72"/>
    <w:rsid w:val="00053BA0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1533"/>
    <w:rsid w:val="001846F8"/>
    <w:rsid w:val="0018649F"/>
    <w:rsid w:val="00196389"/>
    <w:rsid w:val="001B3EF6"/>
    <w:rsid w:val="001C7A89"/>
    <w:rsid w:val="00231E13"/>
    <w:rsid w:val="00255343"/>
    <w:rsid w:val="0027151D"/>
    <w:rsid w:val="002A0DEB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36A3C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675F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17C592E-B85F-4701-9B8D-18272A9B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1846F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1846F8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1846F8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1846F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x-none"/>
    </w:rPr>
  </w:style>
  <w:style w:type="character" w:customStyle="1" w:styleId="HChGChar">
    <w:name w:val="_ H _Ch_G Char"/>
    <w:link w:val="HChG"/>
    <w:rsid w:val="001846F8"/>
    <w:rPr>
      <w:b/>
      <w:sz w:val="28"/>
      <w:lang w:val="en-GB" w:eastAsia="en-US"/>
    </w:rPr>
  </w:style>
  <w:style w:type="character" w:customStyle="1" w:styleId="H1GChar">
    <w:name w:val="_ H_1_G Char"/>
    <w:link w:val="H1G"/>
    <w:rsid w:val="001846F8"/>
    <w:rPr>
      <w:b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ECE/TRANS/WP.29/GRPE/2019/5</vt:lpstr>
      <vt:lpstr>ECE/TRANS/WP.29/GRPE/2019/5</vt:lpstr>
      <vt:lpstr>A/</vt:lpstr>
    </vt:vector>
  </TitlesOfParts>
  <Company>DCM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ECE/TRANS/WP.29/GRPE/2019/5</dc:title>
  <dc:subject/>
  <dc:creator>Tatiana SHARKINA</dc:creator>
  <cp:keywords/>
  <cp:lastModifiedBy>Benedicte Boudol</cp:lastModifiedBy>
  <cp:revision>2</cp:revision>
  <cp:lastPrinted>2018-11-12T15:12:00Z</cp:lastPrinted>
  <dcterms:created xsi:type="dcterms:W3CDTF">2018-11-13T14:27:00Z</dcterms:created>
  <dcterms:modified xsi:type="dcterms:W3CDTF">2018-11-13T14:27:00Z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