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1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1FA3" w:rsidP="00E01FA3">
            <w:pPr>
              <w:jc w:val="right"/>
            </w:pPr>
            <w:r w:rsidRPr="00E01FA3">
              <w:rPr>
                <w:sz w:val="40"/>
              </w:rPr>
              <w:t>ECE</w:t>
            </w:r>
            <w:r>
              <w:t>/TRANS/WP.29/GRPE/2019/1</w:t>
            </w:r>
          </w:p>
        </w:tc>
      </w:tr>
      <w:tr w:rsidR="002D5AAC" w:rsidRPr="00E01FA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1F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1FA3" w:rsidRDefault="00E01FA3" w:rsidP="00E01F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2018</w:t>
            </w:r>
          </w:p>
          <w:p w:rsidR="00E01FA3" w:rsidRDefault="00E01FA3" w:rsidP="00E01F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1FA3" w:rsidRPr="008D53B6" w:rsidRDefault="00E01FA3" w:rsidP="00E01F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1FA3" w:rsidRPr="00E01FA3" w:rsidRDefault="00E01FA3" w:rsidP="00E01FA3">
      <w:pPr>
        <w:spacing w:before="120"/>
        <w:rPr>
          <w:sz w:val="28"/>
          <w:szCs w:val="28"/>
        </w:rPr>
      </w:pPr>
      <w:r w:rsidRPr="00E01FA3">
        <w:rPr>
          <w:sz w:val="28"/>
          <w:szCs w:val="28"/>
        </w:rPr>
        <w:t xml:space="preserve">Комитет по внутреннему транспорту </w:t>
      </w:r>
    </w:p>
    <w:p w:rsidR="00E01FA3" w:rsidRPr="00E01FA3" w:rsidRDefault="00E01FA3" w:rsidP="00E01FA3">
      <w:pPr>
        <w:spacing w:before="120"/>
        <w:rPr>
          <w:b/>
          <w:bCs/>
          <w:sz w:val="24"/>
          <w:szCs w:val="24"/>
        </w:rPr>
      </w:pPr>
      <w:r w:rsidRPr="00E01FA3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E01FA3">
        <w:rPr>
          <w:b/>
          <w:bCs/>
          <w:sz w:val="24"/>
          <w:szCs w:val="24"/>
        </w:rPr>
        <w:t xml:space="preserve">в области транспортных средств </w:t>
      </w:r>
    </w:p>
    <w:p w:rsidR="00E01FA3" w:rsidRPr="00E01FA3" w:rsidRDefault="00E01FA3" w:rsidP="00E01FA3">
      <w:pPr>
        <w:spacing w:before="120"/>
        <w:rPr>
          <w:b/>
          <w:bCs/>
        </w:rPr>
      </w:pPr>
      <w:r w:rsidRPr="00E01FA3">
        <w:rPr>
          <w:b/>
          <w:bCs/>
        </w:rPr>
        <w:t xml:space="preserve">Рабочая группа по проблемам энергии и </w:t>
      </w:r>
      <w:r>
        <w:rPr>
          <w:b/>
          <w:bCs/>
        </w:rPr>
        <w:t>загрязнения</w:t>
      </w:r>
      <w:r>
        <w:rPr>
          <w:b/>
          <w:bCs/>
        </w:rPr>
        <w:br/>
      </w:r>
      <w:r w:rsidRPr="00E01FA3">
        <w:rPr>
          <w:b/>
          <w:bCs/>
        </w:rPr>
        <w:t>окружающей среды</w:t>
      </w:r>
    </w:p>
    <w:p w:rsidR="00E01FA3" w:rsidRPr="00E01FA3" w:rsidRDefault="00E01FA3" w:rsidP="00E01FA3">
      <w:pPr>
        <w:spacing w:before="120"/>
        <w:rPr>
          <w:b/>
        </w:rPr>
      </w:pPr>
      <w:r w:rsidRPr="00E01FA3">
        <w:rPr>
          <w:b/>
          <w:bCs/>
        </w:rPr>
        <w:t>Семьдесят восьмая сессия</w:t>
      </w:r>
    </w:p>
    <w:p w:rsidR="00E01FA3" w:rsidRPr="00E01FA3" w:rsidRDefault="00E01FA3" w:rsidP="00E01FA3">
      <w:r w:rsidRPr="00E01FA3">
        <w:t>Женева, 8–11 января 2019 года</w:t>
      </w:r>
    </w:p>
    <w:p w:rsidR="00E01FA3" w:rsidRPr="00E01FA3" w:rsidRDefault="00E01FA3" w:rsidP="00E01FA3">
      <w:pPr>
        <w:rPr>
          <w:bCs/>
        </w:rPr>
      </w:pPr>
      <w:r w:rsidRPr="00E01FA3">
        <w:t>Пункт 1 предварительной повестки дня</w:t>
      </w:r>
    </w:p>
    <w:p w:rsidR="00E01FA3" w:rsidRPr="00E01FA3" w:rsidRDefault="00E01FA3" w:rsidP="00E01FA3">
      <w:pPr>
        <w:rPr>
          <w:b/>
        </w:rPr>
      </w:pPr>
      <w:r w:rsidRPr="00E01FA3">
        <w:rPr>
          <w:b/>
          <w:bCs/>
        </w:rPr>
        <w:t>Утверждение повестки дня</w:t>
      </w:r>
    </w:p>
    <w:p w:rsidR="00E01FA3" w:rsidRPr="00E01FA3" w:rsidRDefault="00E01FA3" w:rsidP="00E01FA3">
      <w:pPr>
        <w:pStyle w:val="HChGR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 w:rsidRPr="00E01FA3">
        <w:tab/>
      </w:r>
      <w:r w:rsidRPr="00E01FA3">
        <w:tab/>
        <w:t>Утверждение предварительной повестки дня семьдесят восьмой сессии</w:t>
      </w:r>
      <w:r w:rsidRPr="00E01FA3">
        <w:rPr>
          <w:b w:val="0"/>
          <w:bCs/>
          <w:sz w:val="18"/>
          <w:szCs w:val="18"/>
          <w:vertAlign w:val="superscript"/>
        </w:rPr>
        <w:footnoteReference w:id="1"/>
      </w:r>
      <w:r w:rsidRPr="00E01FA3">
        <w:rPr>
          <w:b w:val="0"/>
          <w:bCs/>
          <w:sz w:val="18"/>
          <w:szCs w:val="18"/>
          <w:vertAlign w:val="superscript"/>
        </w:rPr>
        <w:t>,</w:t>
      </w:r>
      <w:r>
        <w:rPr>
          <w:b w:val="0"/>
          <w:bCs/>
          <w:sz w:val="18"/>
          <w:szCs w:val="18"/>
          <w:vertAlign w:val="superscript"/>
        </w:rPr>
        <w:t xml:space="preserve"> </w:t>
      </w:r>
      <w:r w:rsidRPr="00E01FA3">
        <w:rPr>
          <w:b w:val="0"/>
          <w:bCs/>
          <w:sz w:val="18"/>
          <w:szCs w:val="18"/>
          <w:vertAlign w:val="superscript"/>
        </w:rPr>
        <w:footnoteReference w:id="2"/>
      </w:r>
      <w:r w:rsidRPr="00E01FA3">
        <w:rPr>
          <w:b w:val="0"/>
          <w:bCs/>
          <w:sz w:val="18"/>
          <w:szCs w:val="18"/>
          <w:vertAlign w:val="superscript"/>
        </w:rPr>
        <w:t>,</w:t>
      </w:r>
      <w:r>
        <w:rPr>
          <w:b w:val="0"/>
          <w:bCs/>
          <w:sz w:val="18"/>
          <w:szCs w:val="18"/>
          <w:vertAlign w:val="superscript"/>
        </w:rPr>
        <w:t xml:space="preserve"> </w:t>
      </w:r>
      <w:r w:rsidRPr="00E01FA3">
        <w:rPr>
          <w:b w:val="0"/>
          <w:sz w:val="18"/>
          <w:szCs w:val="18"/>
          <w:vertAlign w:val="superscript"/>
        </w:rPr>
        <w:footnoteReference w:id="3"/>
      </w:r>
      <w:r w:rsidRPr="009A79B5">
        <w:rPr>
          <w:b w:val="0"/>
          <w:bCs/>
          <w:szCs w:val="28"/>
        </w:rPr>
        <w:t>,</w:t>
      </w:r>
      <w:r w:rsidRPr="00E01FA3">
        <w:t xml:space="preserve"> </w:t>
      </w:r>
    </w:p>
    <w:p w:rsidR="00E01FA3" w:rsidRDefault="00E01FA3" w:rsidP="00E01FA3">
      <w:pPr>
        <w:pStyle w:val="SingleTxtGR"/>
      </w:pPr>
      <w:r w:rsidRPr="00E01FA3">
        <w:t>которая состоится во Дворце Наций в Женеве, начне</w:t>
      </w:r>
      <w:r>
        <w:t>тся в 14 ч 30 мин 8 января 2019 </w:t>
      </w:r>
      <w:r w:rsidRPr="00E01FA3">
        <w:t>года и завершится в 12 ч 30 мин 11 января 2019 года</w:t>
      </w:r>
    </w:p>
    <w:p w:rsidR="00E01FA3" w:rsidRDefault="00E01FA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E01FA3" w:rsidRPr="00E01FA3" w:rsidRDefault="00E01FA3" w:rsidP="00E01FA3">
      <w:pPr>
        <w:pStyle w:val="HChGR"/>
      </w:pPr>
      <w:r w:rsidRPr="00E01FA3">
        <w:lastRenderedPageBreak/>
        <w:tab/>
        <w:t>I.</w:t>
      </w:r>
      <w:r w:rsidRPr="00E01FA3">
        <w:tab/>
        <w:t>Предложение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E01FA3" w:rsidRPr="00E01FA3" w:rsidRDefault="00E01FA3" w:rsidP="005E56CB">
      <w:pPr>
        <w:pStyle w:val="SingleTxtGR"/>
      </w:pPr>
      <w:r w:rsidRPr="00E01FA3">
        <w:t>1.</w:t>
      </w:r>
      <w:r w:rsidRPr="00E01FA3">
        <w:tab/>
        <w:t>Утверждение повестки дня.</w:t>
      </w:r>
    </w:p>
    <w:p w:rsidR="00E01FA3" w:rsidRPr="00E01FA3" w:rsidRDefault="00E01FA3" w:rsidP="005E56CB">
      <w:pPr>
        <w:pStyle w:val="SingleTxtGR"/>
        <w:ind w:left="1701" w:hanging="567"/>
      </w:pPr>
      <w:r w:rsidRPr="00E01FA3">
        <w:t>2.</w:t>
      </w:r>
      <w:r w:rsidRPr="00E01FA3">
        <w:tab/>
        <w:t>Доклад о работе последних сессий Всемирного форума для согласования правил в области транспортных средств (WP.29).</w:t>
      </w:r>
    </w:p>
    <w:p w:rsidR="00E01FA3" w:rsidRPr="00E01FA3" w:rsidRDefault="00E01FA3" w:rsidP="005E56CB">
      <w:pPr>
        <w:pStyle w:val="SingleTxtGR"/>
      </w:pPr>
      <w:r w:rsidRPr="00E01FA3">
        <w:t>3.</w:t>
      </w:r>
      <w:r w:rsidRPr="00E01FA3">
        <w:tab/>
        <w:t>Легкие транспортные средства: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a)</w:t>
      </w:r>
      <w:r w:rsidRPr="00E01FA3">
        <w:tab/>
        <w:t>правила ООН № 68 (измерение максимальной скорости, включая электромобили), № 83 (выбросы загрязняющих веществ транспортными средствами M</w:t>
      </w:r>
      <w:r w:rsidRPr="00E01FA3">
        <w:rPr>
          <w:vertAlign w:val="subscript"/>
        </w:rPr>
        <w:t>1</w:t>
      </w:r>
      <w:r w:rsidRPr="00E01FA3">
        <w:t xml:space="preserve"> и N</w:t>
      </w:r>
      <w:r w:rsidRPr="00E01FA3">
        <w:rPr>
          <w:vertAlign w:val="subscript"/>
        </w:rPr>
        <w:t>1</w:t>
      </w:r>
      <w:r w:rsidRPr="00E01FA3">
        <w:t>), № 101 (выбросы СО</w:t>
      </w:r>
      <w:r w:rsidRPr="00E01FA3">
        <w:rPr>
          <w:vertAlign w:val="subscript"/>
        </w:rPr>
        <w:t>2</w:t>
      </w:r>
      <w:r>
        <w:t>/расход топлива)</w:t>
      </w:r>
      <w:r>
        <w:br/>
      </w:r>
      <w:r w:rsidRPr="00E01FA3">
        <w:t>и № 103 (сменные устройства для предотвращения загрязнения);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b)</w:t>
      </w:r>
      <w:r w:rsidRPr="00E01FA3">
        <w:tab/>
        <w:t>глобальные технические правила ООН № 15 (всемирные согласованные процедуры испытания транспортных средств малой грузоподъемности (ВПИМ)) и №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c)</w:t>
      </w:r>
      <w:r w:rsidRPr="00E01FA3">
        <w:tab/>
        <w:t>всемирная согласованная процедура испытания на выбросы в реальных условиях вождения.</w:t>
      </w:r>
    </w:p>
    <w:p w:rsidR="00E01FA3" w:rsidRPr="00E01FA3" w:rsidRDefault="00E01FA3" w:rsidP="005E56CB">
      <w:pPr>
        <w:pStyle w:val="SingleTxtGR"/>
      </w:pPr>
      <w:r w:rsidRPr="00E01FA3">
        <w:t>4.</w:t>
      </w:r>
      <w:r w:rsidRPr="00E01FA3">
        <w:tab/>
        <w:t>Большегрузные транспортные средства: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a)</w:t>
      </w:r>
      <w:r w:rsidRPr="00E01FA3">
        <w:tab/>
        <w:t>правила ООН № 49 (выбросы загрязняющих веществ двигателями с воспламенением от сжатия и двигателями с принудительным зажиганием (СНГ и КПГ)) и № 132 (модифицированные устройства ограничения выбросов (МУОВ));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b)</w:t>
      </w:r>
      <w:r w:rsidRPr="00E01FA3">
        <w:tab/>
        <w:t>глобальные технические правила ООН № 4 (всемирная согласованная процедура сертификации двига</w:t>
      </w:r>
      <w:r>
        <w:t>телей большой мощности (ВСБМ)),</w:t>
      </w:r>
      <w:r>
        <w:br/>
      </w:r>
      <w:r w:rsidRPr="00E01FA3">
        <w:t>№ 5 (всемирные согласованные бортовые диагностические системы для двигателей большой мощности (ВС-БД)) и № 10 (выбросы вне цикла испытаний (ВВЦ));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c)</w:t>
      </w:r>
      <w:r w:rsidRPr="00E01FA3">
        <w:tab/>
        <w:t>всемирные положения, касающиеся экономии топлива для большегрузных транспортных средств.</w:t>
      </w:r>
    </w:p>
    <w:p w:rsidR="00E01FA3" w:rsidRPr="00E01FA3" w:rsidRDefault="00E01FA3" w:rsidP="005E56CB">
      <w:pPr>
        <w:pStyle w:val="SingleTxtGR"/>
        <w:ind w:left="1701" w:hanging="567"/>
      </w:pPr>
      <w:r w:rsidRPr="00E01FA3">
        <w:t>5.</w:t>
      </w:r>
      <w:r w:rsidRPr="00E01FA3">
        <w:tab/>
        <w:t>Правила ООН № 24 (видимые загрязняющие вещества, измерение мощности двигателей с воспламенением от сжатия (дизельный дым)), № 85 (измерение полезной мощности), № 115 (модиф</w:t>
      </w:r>
      <w:r w:rsidR="003B2FA9">
        <w:t>ицированные системы СНГ и КПГ),</w:t>
      </w:r>
      <w:r w:rsidR="003B2FA9">
        <w:br/>
        <w:t xml:space="preserve">№ </w:t>
      </w:r>
      <w:r w:rsidRPr="00E01FA3">
        <w:t>133 (возможность утили</w:t>
      </w:r>
      <w:r w:rsidR="003B2FA9">
        <w:t>зации автотранспортных средств)</w:t>
      </w:r>
      <w:r w:rsidR="003B2FA9">
        <w:br/>
      </w:r>
      <w:r w:rsidRPr="00E01FA3">
        <w:t>и № 143 (модифицированные системы двухтопливных двигателей большой мощности (МСД-ДТБМ)).</w:t>
      </w:r>
    </w:p>
    <w:p w:rsidR="00E01FA3" w:rsidRPr="00E01FA3" w:rsidRDefault="00E01FA3" w:rsidP="005E56CB">
      <w:pPr>
        <w:pStyle w:val="SingleTxtGR"/>
      </w:pPr>
      <w:r w:rsidRPr="00E01FA3">
        <w:t>6.</w:t>
      </w:r>
      <w:r w:rsidRPr="00E01FA3">
        <w:tab/>
        <w:t>Сельскохозяйственные и лесные тракторы, внедорожная подвижная техника: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a)</w:t>
      </w:r>
      <w:r w:rsidRPr="00E01FA3">
        <w:tab/>
        <w:t>правила ООН № 96 (выбросы дизельными двигателями (сельскохозяйственные тракторы)) и № 120 (полезная мощность тракторов и внедорожной подвижной техники);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b)</w:t>
      </w:r>
      <w:r w:rsidRPr="00E01FA3">
        <w:tab/>
        <w:t>Глобальные технические правила № 11 ООН (двигатели внедорожной подвижной техники).</w:t>
      </w:r>
      <w:r>
        <w:t xml:space="preserve"> </w:t>
      </w:r>
    </w:p>
    <w:p w:rsidR="00E01FA3" w:rsidRPr="00E01FA3" w:rsidRDefault="00E01FA3" w:rsidP="005E56CB">
      <w:pPr>
        <w:pStyle w:val="SingleTxtGR"/>
      </w:pPr>
      <w:r w:rsidRPr="00E01FA3">
        <w:t>7.</w:t>
      </w:r>
      <w:r w:rsidRPr="00E01FA3">
        <w:tab/>
        <w:t>Программа измерения частиц (ПИЧ).</w:t>
      </w:r>
    </w:p>
    <w:p w:rsidR="00E01FA3" w:rsidRPr="00E01FA3" w:rsidRDefault="00E01FA3" w:rsidP="005E56CB">
      <w:pPr>
        <w:pStyle w:val="SingleTxtGR"/>
      </w:pPr>
      <w:r w:rsidRPr="00E01FA3">
        <w:t>8.</w:t>
      </w:r>
      <w:r w:rsidRPr="00E01FA3">
        <w:tab/>
        <w:t>Мотоциклы и мопеды: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a)</w:t>
      </w:r>
      <w:r w:rsidRPr="00E01FA3">
        <w:tab/>
        <w:t xml:space="preserve">правила </w:t>
      </w:r>
      <w:r w:rsidR="00DE061D" w:rsidRPr="00E01FA3">
        <w:t xml:space="preserve">ООН </w:t>
      </w:r>
      <w:r w:rsidRPr="00E01FA3">
        <w:t>№ 40 (выбросы газообразных загрязняющих веществ мотоциклами) и № 47 (выбросы газообразных загрязняющих веществ мопедами);</w:t>
      </w:r>
    </w:p>
    <w:p w:rsidR="00E01FA3" w:rsidRPr="00E01FA3" w:rsidRDefault="00E01FA3" w:rsidP="005E56CB">
      <w:pPr>
        <w:pStyle w:val="SingleTxtGR"/>
        <w:ind w:left="2268" w:hanging="1134"/>
      </w:pPr>
      <w:r>
        <w:tab/>
      </w:r>
      <w:r w:rsidRPr="00E01FA3">
        <w:t>b)</w:t>
      </w:r>
      <w:r w:rsidRPr="00E01FA3">
        <w:tab/>
        <w:t>требования к экологическим и тяговым характеристикам (ТЭТХ) транспортных средств категории L;</w:t>
      </w:r>
    </w:p>
    <w:p w:rsidR="00E01FA3" w:rsidRPr="00E01FA3" w:rsidRDefault="00E01FA3" w:rsidP="005E56CB">
      <w:pPr>
        <w:pStyle w:val="SingleTxtGR"/>
        <w:pageBreakBefore/>
        <w:ind w:left="2268" w:hanging="1134"/>
      </w:pPr>
      <w:r>
        <w:lastRenderedPageBreak/>
        <w:tab/>
      </w:r>
      <w:r w:rsidRPr="00E01FA3">
        <w:t>c)</w:t>
      </w:r>
      <w:r w:rsidRPr="00E01FA3">
        <w:tab/>
        <w:t>глобальные технические правила ООН № 2 (всемирный цикл испытаний мотоциклов на выбросы (ВЦИМ)), № 17 (выбросы картерных газов и выбросы в результате испарения из транспортных средств категории L) и № 18 (бортовые диагностические (БД) системы для транспортных средств категории L).</w:t>
      </w:r>
    </w:p>
    <w:p w:rsidR="00E01FA3" w:rsidRPr="00E01FA3" w:rsidRDefault="00E01FA3" w:rsidP="00E01FA3">
      <w:pPr>
        <w:pStyle w:val="SingleTxtGR"/>
      </w:pPr>
      <w:r w:rsidRPr="00E01FA3">
        <w:t>9.</w:t>
      </w:r>
      <w:r w:rsidRPr="00E01FA3">
        <w:tab/>
        <w:t>Электромобили и окружающая среда (ЭМОС).</w:t>
      </w:r>
    </w:p>
    <w:p w:rsidR="00E01FA3" w:rsidRPr="00E01FA3" w:rsidRDefault="00E01FA3" w:rsidP="00E01FA3">
      <w:pPr>
        <w:pStyle w:val="SingleTxtGR"/>
      </w:pPr>
      <w:r w:rsidRPr="00E01FA3">
        <w:t>10.</w:t>
      </w:r>
      <w:r w:rsidRPr="00E01FA3">
        <w:tab/>
        <w:t>Общая резолюция № 2 (ОР.2).</w:t>
      </w:r>
    </w:p>
    <w:p w:rsidR="00E01FA3" w:rsidRPr="00E01FA3" w:rsidRDefault="00E01FA3" w:rsidP="005E56CB">
      <w:pPr>
        <w:pStyle w:val="SingleTxtGR"/>
        <w:ind w:left="1701" w:hanging="567"/>
      </w:pPr>
      <w:r w:rsidRPr="00E01FA3">
        <w:t>11.</w:t>
      </w:r>
      <w:r w:rsidRPr="00E01FA3">
        <w:tab/>
        <w:t>Международное официальное утверждение типа комплектного транспортного средства (МОУТКТС).</w:t>
      </w:r>
    </w:p>
    <w:p w:rsidR="00E01FA3" w:rsidRPr="00E01FA3" w:rsidRDefault="00E01FA3" w:rsidP="00E01FA3">
      <w:pPr>
        <w:pStyle w:val="SingleTxtGR"/>
      </w:pPr>
      <w:r w:rsidRPr="00E01FA3">
        <w:t>12.</w:t>
      </w:r>
      <w:r w:rsidRPr="00E01FA3">
        <w:tab/>
        <w:t>Качество воздуха внутри транспортных средств (КВТС).</w:t>
      </w:r>
    </w:p>
    <w:p w:rsidR="00E01FA3" w:rsidRPr="00E01FA3" w:rsidRDefault="00E01FA3" w:rsidP="00E01FA3">
      <w:pPr>
        <w:pStyle w:val="SingleTxtGR"/>
      </w:pPr>
      <w:r w:rsidRPr="00E01FA3">
        <w:t>13.</w:t>
      </w:r>
      <w:r w:rsidRPr="00E01FA3">
        <w:tab/>
        <w:t>Обмен информацией о требованиях, касающихся выбросов.</w:t>
      </w:r>
    </w:p>
    <w:p w:rsidR="00E01FA3" w:rsidRPr="00E01FA3" w:rsidRDefault="00E01FA3" w:rsidP="00E01FA3">
      <w:pPr>
        <w:pStyle w:val="SingleTxtGR"/>
      </w:pPr>
      <w:r w:rsidRPr="00E01FA3">
        <w:t>14.</w:t>
      </w:r>
      <w:r w:rsidRPr="00E01FA3">
        <w:tab/>
        <w:t>Выборы должностных лиц.</w:t>
      </w:r>
    </w:p>
    <w:p w:rsidR="00E01FA3" w:rsidRPr="00E01FA3" w:rsidRDefault="00E01FA3" w:rsidP="00E01FA3">
      <w:pPr>
        <w:pStyle w:val="SingleTxtGR"/>
      </w:pPr>
      <w:r w:rsidRPr="00E01FA3">
        <w:t>15.</w:t>
      </w:r>
      <w:r w:rsidRPr="00E01FA3">
        <w:tab/>
        <w:t>Прочие вопросы.</w:t>
      </w:r>
    </w:p>
    <w:p w:rsidR="00E01FA3" w:rsidRPr="00E01FA3" w:rsidRDefault="00E01FA3" w:rsidP="005E56CB">
      <w:pPr>
        <w:pStyle w:val="HChGR"/>
      </w:pPr>
      <w:r w:rsidRPr="00E01FA3">
        <w:tab/>
        <w:t>II.</w:t>
      </w:r>
      <w:r w:rsidRPr="00E01FA3">
        <w:tab/>
        <w:t>Аннотации</w:t>
      </w:r>
    </w:p>
    <w:p w:rsidR="00E01FA3" w:rsidRPr="00E01FA3" w:rsidRDefault="005E56CB" w:rsidP="005E56CB">
      <w:pPr>
        <w:pStyle w:val="H1GR"/>
      </w:pPr>
      <w:r>
        <w:tab/>
      </w:r>
      <w:r w:rsidR="00E01FA3" w:rsidRPr="00E01FA3">
        <w:t>1.</w:t>
      </w:r>
      <w:r w:rsidR="00E01FA3" w:rsidRPr="00E01FA3">
        <w:tab/>
        <w:t>Утверждение повестки дня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ECE/TRANS/WP.29/GRPE/2019/1</w:t>
      </w:r>
    </w:p>
    <w:p w:rsidR="00E01FA3" w:rsidRPr="00E01FA3" w:rsidRDefault="00E01FA3" w:rsidP="005E56CB">
      <w:pPr>
        <w:pStyle w:val="H1GR"/>
      </w:pPr>
      <w:r w:rsidRPr="00E01FA3">
        <w:tab/>
        <w:t>2.</w:t>
      </w:r>
      <w:r w:rsidRPr="00E01FA3">
        <w:tab/>
        <w:t>Доклад о работе последн</w:t>
      </w:r>
      <w:r w:rsidR="005E56CB">
        <w:t>их сессий Всемирного форума для </w:t>
      </w:r>
      <w:r w:rsidRPr="00E01FA3">
        <w:t>согласования правил в области транспортных средств (WP.29)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Рабочая группа по проблемам энергии</w:t>
      </w:r>
      <w:r w:rsidR="00DE061D">
        <w:t xml:space="preserve"> и загрязнения окружающей среды </w:t>
      </w:r>
      <w:r w:rsidR="00E01FA3" w:rsidRPr="00E01FA3">
        <w:t>(GRPE), возможно, пожелает заслушать краткое устное сообщение секретариата по основным вопросам, которые были рассмотрены WP.29 на его сессиях в июне и ноябре 2018 года и имеют отношение к GRPE.</w:t>
      </w:r>
    </w:p>
    <w:p w:rsidR="00E01FA3" w:rsidRPr="00E01FA3" w:rsidRDefault="00E01FA3" w:rsidP="005E56CB">
      <w:pPr>
        <w:pStyle w:val="H1GR"/>
      </w:pPr>
      <w:r w:rsidRPr="00E01FA3">
        <w:tab/>
        <w:t>3.</w:t>
      </w:r>
      <w:r w:rsidRPr="00E01FA3">
        <w:tab/>
        <w:t>Легкие транспортные средства</w:t>
      </w:r>
    </w:p>
    <w:p w:rsidR="00E01FA3" w:rsidRPr="00E01FA3" w:rsidRDefault="00E01FA3" w:rsidP="005E56CB">
      <w:pPr>
        <w:pStyle w:val="H23GR"/>
      </w:pPr>
      <w:r w:rsidRPr="00E01FA3">
        <w:tab/>
        <w:t>a)</w:t>
      </w:r>
      <w:r w:rsidRPr="00E01FA3">
        <w:tab/>
        <w:t>Правила ООН № 68 (измерение максимальной скорости, включая электромобили), № 83 (выбросы загрязняющих веществ транспортными средствами M</w:t>
      </w:r>
      <w:r w:rsidRPr="005E56CB">
        <w:rPr>
          <w:vertAlign w:val="subscript"/>
        </w:rPr>
        <w:t>1</w:t>
      </w:r>
      <w:r w:rsidRPr="00E01FA3">
        <w:t xml:space="preserve"> и N</w:t>
      </w:r>
      <w:r w:rsidRPr="005E56CB">
        <w:rPr>
          <w:vertAlign w:val="subscript"/>
        </w:rPr>
        <w:t>1</w:t>
      </w:r>
      <w:r w:rsidRPr="00E01FA3">
        <w:t>), № 101 (выбросы СО</w:t>
      </w:r>
      <w:r w:rsidRPr="005E56CB">
        <w:rPr>
          <w:vertAlign w:val="subscript"/>
        </w:rPr>
        <w:t>2</w:t>
      </w:r>
      <w:r w:rsidRPr="00E01FA3">
        <w:t>/расход топлива) и № 103 (сменные устройства для предотвращения загрязнения)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предложение, подготовленное экспертом от Международной организации предприятий автомобильной промышленности (МОПАП), для уточнения взаимосвязи между уровнями утверждения, эталонными топливами и предельными значениями КЧ для транспортных средств с двигателями с принудительным зажиганием, а также для изменения формул расчета для определения выбросов в результате испарения в соответствии с поправками, уже согласованными в ГТ</w:t>
      </w:r>
      <w:r w:rsidR="00DE061D" w:rsidRPr="00E01FA3">
        <w:t>П</w:t>
      </w:r>
      <w:r w:rsidR="00E01FA3" w:rsidRPr="00E01FA3">
        <w:t xml:space="preserve"> № 19 ООН.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ECE/TRANS/WP.29/GRPE/2019/8</w:t>
      </w:r>
    </w:p>
    <w:p w:rsidR="00E01FA3" w:rsidRPr="00E01FA3" w:rsidRDefault="00E01FA3" w:rsidP="005E56CB">
      <w:pPr>
        <w:pStyle w:val="H23GR"/>
      </w:pPr>
      <w:r w:rsidRPr="00E01FA3">
        <w:lastRenderedPageBreak/>
        <w:tab/>
        <w:t>b)</w:t>
      </w:r>
      <w:r w:rsidRPr="00E01FA3">
        <w:tab/>
        <w:t>Глобальные технические правила ООН № 15 (всемирные согласованные процедуры испытания транспортных средств малой грузоподъемности (ВПИМ)) и № 19 (процедура испытания на выбросы в результате испарения в рамках всемирной согласованной процедуры испытания транспортных средств малой гру</w:t>
      </w:r>
      <w:r w:rsidR="005E56CB">
        <w:t>зоподъемности (ВПИМ-Испарение))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рассмотрит доклад о ходе работы Неофициальной рабочей группы (НРГ) по ВПИМ в рамках этапа 2 ВПИМ.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рассмотрит также доклад о ходе работы целевой группы, занимающейся транспонированием ГТП № 15 ООН в правила ООН в рамках Соглашения 1958 года, и первый проект, если таковые будут представлены.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предложение по поправкам к Глобальным техническим правилам (ГТП) № 15 ООН в рамках этапа 2А деятельности НРГ по ВПИМ.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ECE/TRANS/WP.29/GRPE/2019/2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предложение по поправкам к Глобальным техническим правилам (ГТП) № 19 ООН в рамках этапа 2А деятельности НРГ по ВПИМ.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ECE/TRANS/WP.29/GRPE/2019/4</w:t>
      </w:r>
    </w:p>
    <w:p w:rsidR="00E01FA3" w:rsidRPr="00E01FA3" w:rsidRDefault="00E01FA3" w:rsidP="005E56CB">
      <w:pPr>
        <w:pStyle w:val="H23GR"/>
      </w:pPr>
      <w:r w:rsidRPr="00E01FA3">
        <w:tab/>
        <w:t>c)</w:t>
      </w:r>
      <w:r w:rsidRPr="00E01FA3">
        <w:tab/>
        <w:t>Всемирная согласованная процедура испытания на выбросы в реальных условиях вождения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будет представлен доклад о ходе деятельности НРГ по ВРУВ.</w:t>
      </w:r>
    </w:p>
    <w:p w:rsidR="00E01FA3" w:rsidRPr="00E01FA3" w:rsidRDefault="00E01FA3" w:rsidP="005E56CB">
      <w:pPr>
        <w:pStyle w:val="H1GR"/>
      </w:pPr>
      <w:r w:rsidRPr="00E01FA3">
        <w:tab/>
        <w:t>4.</w:t>
      </w:r>
      <w:r w:rsidRPr="00E01FA3">
        <w:tab/>
        <w:t>Большегрузные транспортные средства</w:t>
      </w:r>
    </w:p>
    <w:p w:rsidR="00E01FA3" w:rsidRPr="00E01FA3" w:rsidRDefault="00E01FA3" w:rsidP="005E56CB">
      <w:pPr>
        <w:pStyle w:val="H23GR"/>
      </w:pPr>
      <w:r w:rsidRPr="00E01FA3">
        <w:tab/>
        <w:t>a)</w:t>
      </w:r>
      <w:r w:rsidRPr="00E01FA3">
        <w:tab/>
        <w:t>Правила ООН № 49 (выбросы загрязняющих веществ двигателями с воспламенением от сжатия и двигателями с</w:t>
      </w:r>
      <w:r w:rsidR="005E56CB">
        <w:t xml:space="preserve"> принудительным зажиганием (СНГ </w:t>
      </w:r>
      <w:r w:rsidRPr="00E01FA3">
        <w:t>и КПГ)) и № 132 (модифицированные устройства ограничения выбросов (МУОВ))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решила провести обмен информацией о последних изменениях в методах выявления нарушений и стратегиях обеспечения соблюдения требований в отношении манипуляций с грузовыми автомобилями посредством послепродажного блокирования впрыска «адблю», если таковая будет представлена.</w:t>
      </w:r>
    </w:p>
    <w:p w:rsidR="00E01FA3" w:rsidRPr="00E01FA3" w:rsidRDefault="00E01FA3" w:rsidP="005E56CB">
      <w:pPr>
        <w:pStyle w:val="H23GR"/>
      </w:pPr>
      <w:r w:rsidRPr="00E01FA3">
        <w:tab/>
        <w:t>b)</w:t>
      </w:r>
      <w:r w:rsidRPr="00E01FA3">
        <w:tab/>
        <w:t>Глобальные технические правила ООН № 4 (всемирная согласованная процедура сертификации двига</w:t>
      </w:r>
      <w:r w:rsidR="00DE061D">
        <w:t>телей большой мощности (ВСБМ)),</w:t>
      </w:r>
      <w:r w:rsidR="00DE061D">
        <w:br/>
      </w:r>
      <w:r w:rsidRPr="00E01FA3">
        <w:t>№ 5 (всемирные согласованные борто</w:t>
      </w:r>
      <w:r w:rsidR="00DE061D">
        <w:t>вые диагностические системы для </w:t>
      </w:r>
      <w:r w:rsidRPr="00E01FA3">
        <w:t>двигателей большой мощности (ВС-БД)) и № 10 (выбросы вне цикла испытаний (ВВЦ))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</w:t>
      </w:r>
      <w:r w:rsidR="00DE061D">
        <w:t>едложения о поправках к ГТП ООН </w:t>
      </w:r>
      <w:r w:rsidR="00E01FA3" w:rsidRPr="00E01FA3">
        <w:t>№ 4, 5 и 10, если таковые будут представлены.</w:t>
      </w:r>
    </w:p>
    <w:p w:rsidR="00E01FA3" w:rsidRPr="00E01FA3" w:rsidRDefault="00E01FA3" w:rsidP="005E56CB">
      <w:pPr>
        <w:pStyle w:val="H23GR"/>
      </w:pPr>
      <w:r w:rsidRPr="00E01FA3">
        <w:tab/>
        <w:t>c)</w:t>
      </w:r>
      <w:r w:rsidRPr="00E01FA3">
        <w:tab/>
        <w:t>Всемирные положения, касающиеся экономии топлива для большегрузных транспортных средств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будет представлен доклад о ходе работы над согласованным положением об экономии топлива для транспортных средств большой грузоподъемности.</w:t>
      </w:r>
    </w:p>
    <w:p w:rsidR="00E01FA3" w:rsidRPr="00E01FA3" w:rsidRDefault="00E01FA3" w:rsidP="005E56CB">
      <w:pPr>
        <w:pStyle w:val="H1GR"/>
      </w:pPr>
      <w:r w:rsidRPr="00E01FA3">
        <w:lastRenderedPageBreak/>
        <w:tab/>
        <w:t>5.</w:t>
      </w:r>
      <w:r w:rsidRPr="00E01FA3">
        <w:tab/>
        <w:t>Правила ООН № 24 (видимые загрязняющие вещества, измерение мощности двигателей с восп</w:t>
      </w:r>
      <w:r w:rsidR="005E56CB">
        <w:t>ламенением от сжатия (дизельный </w:t>
      </w:r>
      <w:r w:rsidRPr="00E01FA3">
        <w:t xml:space="preserve">дым)), № 85 (измерение полезной мощности), </w:t>
      </w:r>
      <w:r w:rsidR="005E56CB">
        <w:t>№ 115 </w:t>
      </w:r>
      <w:r w:rsidRPr="00E01FA3">
        <w:t xml:space="preserve">(модифицированные системы СНГ и КПГ), </w:t>
      </w:r>
      <w:r w:rsidR="005E56CB">
        <w:t>№ 133 </w:t>
      </w:r>
      <w:r w:rsidRPr="00E01FA3">
        <w:t>(возможность утилиза</w:t>
      </w:r>
      <w:r w:rsidR="005E56CB">
        <w:t>ции автотранспортных средств) и № </w:t>
      </w:r>
      <w:r w:rsidRPr="00E01FA3">
        <w:t>143 (модифицированные системы двухтопливных двигателей большой мощности (МСД-ДТБМ))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решила рассмотреть предложение, подготовленное экспертом от Италии, относительно необходимости введения ссылки на ВПИМ в качестве альтернативы испытаниям на выбросы, предусмотренным в Правилах № 115 ООН.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ECE/TRANS/WP.29/GRPE/2019/3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GRB, возможно, пожелает рассмотреть предложение, подготовленное экспертом от Международной организации предприятий автомобильной промышленности (МОПАП), для дальнейшего согласования положений поправок серии 03 к Правилам № 24 ООН с Правилами № 85 ООН.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ECE/TRANS/WP.29/GRPE/2019/6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предложение, подготовленное экспертом от Международной организации предприятий автомобильной промышленности (МОПАП), об изменении в Правилах № 85 ООН формулировки описания вспомогательных устройств, устанавливаемых для испытаний, с тем чтобы уменьшить потенциальный объем работы в ходе испытаний.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ECE/TRANS/WP.29/GRPE/2019/7</w:t>
      </w:r>
    </w:p>
    <w:p w:rsidR="00E01FA3" w:rsidRPr="00E01FA3" w:rsidRDefault="00E01FA3" w:rsidP="005E56CB">
      <w:pPr>
        <w:pStyle w:val="H1GR"/>
      </w:pPr>
      <w:r w:rsidRPr="00E01FA3">
        <w:tab/>
        <w:t>6.</w:t>
      </w:r>
      <w:r w:rsidRPr="00E01FA3">
        <w:tab/>
        <w:t>Сельскохозяйственные и лесные тракторы, внедорожная подвижная техника</w:t>
      </w:r>
    </w:p>
    <w:p w:rsidR="00E01FA3" w:rsidRPr="00E01FA3" w:rsidRDefault="00E01FA3" w:rsidP="005E56CB">
      <w:pPr>
        <w:pStyle w:val="H23GR"/>
      </w:pPr>
      <w:r w:rsidRPr="00E01FA3">
        <w:tab/>
        <w:t>a)</w:t>
      </w:r>
      <w:r w:rsidRPr="00E01FA3">
        <w:tab/>
        <w:t>Правила ООН № 96 (выбросы дизельными двигателями (сельскохозяйственные тракторы)) и № 120 (полезная мощность тракторов и внедорожной подвижной техники)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предложения о поправках к правилам № 96 и 120 ООН, если таковые будут представлены.</w:t>
      </w:r>
    </w:p>
    <w:p w:rsidR="00E01FA3" w:rsidRPr="00E01FA3" w:rsidRDefault="00E01FA3" w:rsidP="005E56CB">
      <w:pPr>
        <w:pStyle w:val="H23GR"/>
      </w:pPr>
      <w:r w:rsidRPr="00E01FA3">
        <w:tab/>
        <w:t>b)</w:t>
      </w:r>
      <w:r w:rsidRPr="00E01FA3">
        <w:tab/>
        <w:t>Глобальные технические правила № 11 ООН (двигатели внедорожной подвижной техники)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</w:t>
      </w:r>
      <w:r w:rsidR="00DE061D">
        <w:t>мотреть предложения о поправках</w:t>
      </w:r>
      <w:r w:rsidR="00DE061D">
        <w:br/>
      </w:r>
      <w:r w:rsidR="00E01FA3" w:rsidRPr="00E01FA3">
        <w:t>к ГТП № 11 ООН, если таковые будут представлены.</w:t>
      </w:r>
    </w:p>
    <w:p w:rsidR="00E01FA3" w:rsidRPr="00E01FA3" w:rsidRDefault="00E01FA3" w:rsidP="005E56CB">
      <w:pPr>
        <w:pStyle w:val="H1GR"/>
      </w:pPr>
      <w:r w:rsidRPr="00E01FA3">
        <w:tab/>
        <w:t>7.</w:t>
      </w:r>
      <w:r w:rsidRPr="00E01FA3">
        <w:tab/>
        <w:t>Программа измерения частиц (ПИЧ)</w:t>
      </w:r>
    </w:p>
    <w:p w:rsidR="00E01FA3" w:rsidRPr="00E01FA3" w:rsidRDefault="005E56CB" w:rsidP="00E01FA3">
      <w:pPr>
        <w:pStyle w:val="SingleTxtGR"/>
        <w:rPr>
          <w:bCs/>
        </w:rPr>
      </w:pPr>
      <w:r>
        <w:tab/>
      </w:r>
      <w:r w:rsidR="00E01FA3" w:rsidRPr="00E01FA3">
        <w:t>GRPE будет представлен доклад о ходе работы НРГ по ПИЧ.</w:t>
      </w:r>
    </w:p>
    <w:p w:rsidR="00E01FA3" w:rsidRPr="00E01FA3" w:rsidRDefault="00E01FA3" w:rsidP="005E56CB">
      <w:pPr>
        <w:pStyle w:val="H1GR"/>
      </w:pPr>
      <w:r w:rsidRPr="00E01FA3">
        <w:tab/>
        <w:t>8.</w:t>
      </w:r>
      <w:r w:rsidRPr="00E01FA3">
        <w:tab/>
        <w:t>Мотоциклы и мопеды</w:t>
      </w:r>
    </w:p>
    <w:p w:rsidR="00E01FA3" w:rsidRPr="00E01FA3" w:rsidRDefault="00E01FA3" w:rsidP="005E56CB">
      <w:pPr>
        <w:pStyle w:val="H23GR"/>
      </w:pPr>
      <w:r w:rsidRPr="00E01FA3">
        <w:tab/>
        <w:t>a)</w:t>
      </w:r>
      <w:r w:rsidRPr="00E01FA3">
        <w:tab/>
        <w:t>Правила ООН № 40 (выбросы газообразных загрязняющих веществ мотоциклами) и № 47 (выбросы газообразных загрязняющих веществ мопедами)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пре</w:t>
      </w:r>
      <w:r w:rsidR="00DE061D">
        <w:t>дложения о поправках к правилам </w:t>
      </w:r>
      <w:r w:rsidR="00E01FA3" w:rsidRPr="00E01FA3">
        <w:t>№ 40 и 47 ООН, если таковые будут представлены.</w:t>
      </w:r>
    </w:p>
    <w:p w:rsidR="00E01FA3" w:rsidRPr="00E01FA3" w:rsidRDefault="00E01FA3" w:rsidP="005E56CB">
      <w:pPr>
        <w:pStyle w:val="H23GR"/>
      </w:pPr>
      <w:r w:rsidRPr="00E01FA3">
        <w:lastRenderedPageBreak/>
        <w:tab/>
        <w:t>b)</w:t>
      </w:r>
      <w:r w:rsidRPr="00E01FA3">
        <w:tab/>
        <w:t>Требования к экологическим и тяговым характеристикам (ТЭТХ) транспортных средств категории L</w:t>
      </w:r>
    </w:p>
    <w:p w:rsidR="00E01FA3" w:rsidRPr="00E01FA3" w:rsidRDefault="005E56CB" w:rsidP="00E01FA3">
      <w:pPr>
        <w:pStyle w:val="SingleTxtGR"/>
        <w:rPr>
          <w:bCs/>
        </w:rPr>
      </w:pPr>
      <w:r>
        <w:tab/>
      </w:r>
      <w:r w:rsidR="00E01FA3" w:rsidRPr="00E01FA3">
        <w:t>GRPE будет представлен доклад о ходе работы НРГ по ТЭТХ.</w:t>
      </w:r>
    </w:p>
    <w:p w:rsidR="00E01FA3" w:rsidRPr="00E01FA3" w:rsidRDefault="00E01FA3" w:rsidP="005E56CB">
      <w:pPr>
        <w:pStyle w:val="H23GR"/>
      </w:pPr>
      <w:r w:rsidRPr="00E01FA3">
        <w:tab/>
        <w:t>c)</w:t>
      </w:r>
      <w:r w:rsidRPr="00E01FA3">
        <w:tab/>
        <w:t>Глобальные технические правила ООН № 2 (всемирный цикл испытаний мотоциклов на выбросы (ВЦИМ)), № 17 (выбросы картерных газов и выбросы в результате испарения из транспортных средств категории L) и № 18 (бортовые диагностические (БД) системы для транспортных средств категории L)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первый проект предложения НРГ по ТЭТХ для внесения поправок в ГТП № 2, если таковой будет представлен.</w:t>
      </w:r>
    </w:p>
    <w:p w:rsidR="00E01FA3" w:rsidRPr="00E01FA3" w:rsidRDefault="00E01FA3" w:rsidP="005E56CB">
      <w:pPr>
        <w:pStyle w:val="H1GR"/>
      </w:pPr>
      <w:r w:rsidRPr="00E01FA3">
        <w:tab/>
        <w:t>9.</w:t>
      </w:r>
      <w:r w:rsidRPr="00E01FA3">
        <w:tab/>
        <w:t>Электромобили и окружающая среда (ЭМОС)</w:t>
      </w:r>
    </w:p>
    <w:p w:rsidR="00E01FA3" w:rsidRPr="00E01FA3" w:rsidRDefault="005E56CB" w:rsidP="00E01FA3">
      <w:pPr>
        <w:pStyle w:val="SingleTxtGR"/>
        <w:rPr>
          <w:bCs/>
        </w:rPr>
      </w:pPr>
      <w:r>
        <w:tab/>
      </w:r>
      <w:r w:rsidR="00E01FA3" w:rsidRPr="00E01FA3">
        <w:t>GRPE будет представлен доклад о ходе работы НРГ по ЭМОС.</w:t>
      </w:r>
    </w:p>
    <w:p w:rsidR="00E01FA3" w:rsidRPr="00E01FA3" w:rsidRDefault="00E01FA3" w:rsidP="005E56CB">
      <w:pPr>
        <w:pStyle w:val="H1GR"/>
      </w:pPr>
      <w:r w:rsidRPr="00E01FA3">
        <w:tab/>
        <w:t>10.</w:t>
      </w:r>
      <w:r w:rsidRPr="00E01FA3">
        <w:tab/>
        <w:t>Общая резолюция № 2 (ОР.2)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решила рассмотреть предложение эксперта от Европейской комиссии по обновлению Общей резолюции № 2 (ОР.2) в отношении «периферийных устройств».</w:t>
      </w:r>
    </w:p>
    <w:p w:rsidR="00E01FA3" w:rsidRPr="00E01FA3" w:rsidRDefault="00E01FA3" w:rsidP="00E01FA3">
      <w:pPr>
        <w:pStyle w:val="SingleTxtGR"/>
      </w:pPr>
      <w:r w:rsidRPr="00E01FA3">
        <w:rPr>
          <w:b/>
          <w:bCs/>
        </w:rPr>
        <w:t>Документация:</w:t>
      </w:r>
      <w:r w:rsidRPr="00E01FA3">
        <w:tab/>
        <w:t>ECE/TRANS/WP.29/GRPE/2019/5</w:t>
      </w:r>
    </w:p>
    <w:p w:rsidR="00E01FA3" w:rsidRPr="00E01FA3" w:rsidRDefault="00E01FA3" w:rsidP="005E56CB">
      <w:pPr>
        <w:pStyle w:val="H1GR"/>
      </w:pPr>
      <w:r w:rsidRPr="00E01FA3">
        <w:tab/>
        <w:t>11.</w:t>
      </w:r>
      <w:r w:rsidRPr="00E01FA3">
        <w:tab/>
        <w:t>Международное официальное утверждение типа комплектного транспортного средства (МОУТКТС)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 будет представлен доклад ее Специального представителя или Председателя по МОУТКТС.</w:t>
      </w:r>
    </w:p>
    <w:p w:rsidR="00E01FA3" w:rsidRPr="00E01FA3" w:rsidRDefault="005E56CB" w:rsidP="00E01FA3">
      <w:pPr>
        <w:pStyle w:val="SingleTxtGR"/>
        <w:rPr>
          <w:bCs/>
        </w:rPr>
      </w:pPr>
      <w:r>
        <w:tab/>
      </w:r>
      <w:r w:rsidR="00E01FA3" w:rsidRPr="00E01FA3">
        <w:t>GRPE, возможно, пожелает определить дальнейшие действия в связи с новыми положениями Пересмотра 3 Соглашения 1958 года, такими как «уникальный идентификатор», «соответствие производства», «переходные положения», «маркировка» и т.</w:t>
      </w:r>
      <w:r>
        <w:t xml:space="preserve"> </w:t>
      </w:r>
      <w:r w:rsidR="00E01FA3" w:rsidRPr="00E01FA3">
        <w:t>д.</w:t>
      </w:r>
    </w:p>
    <w:p w:rsidR="00E01FA3" w:rsidRPr="00E01FA3" w:rsidRDefault="00E01FA3" w:rsidP="005E56CB">
      <w:pPr>
        <w:pStyle w:val="H1GR"/>
      </w:pPr>
      <w:r w:rsidRPr="00E01FA3">
        <w:tab/>
        <w:t>12.</w:t>
      </w:r>
      <w:r w:rsidRPr="00E01FA3">
        <w:tab/>
        <w:t>Качество воздуха внутри транспортных средств (КВТС)</w:t>
      </w:r>
    </w:p>
    <w:p w:rsidR="00E01FA3" w:rsidRPr="00E01FA3" w:rsidRDefault="005E56CB" w:rsidP="00E01FA3">
      <w:pPr>
        <w:pStyle w:val="SingleTxtGR"/>
        <w:rPr>
          <w:bCs/>
        </w:rPr>
      </w:pPr>
      <w:r>
        <w:tab/>
      </w:r>
      <w:r w:rsidR="00E01FA3" w:rsidRPr="00E01FA3">
        <w:t>GRPE будет представлен доклад о ходе работы НРГ по КВТС.</w:t>
      </w:r>
    </w:p>
    <w:p w:rsidR="00E01FA3" w:rsidRPr="00E01FA3" w:rsidRDefault="005E56CB" w:rsidP="00E01FA3">
      <w:pPr>
        <w:pStyle w:val="SingleTxtGR"/>
        <w:rPr>
          <w:bCs/>
        </w:rPr>
      </w:pPr>
      <w:r>
        <w:tab/>
      </w:r>
      <w:r w:rsidR="00E01FA3" w:rsidRPr="00E01FA3">
        <w:t>После того как на своей последней сессии GRPE одобрила продление мандата НРГ по КВТС до ноября 2020 года, GRPE, возможно, пожелает рассмотреть окончательный вариант положений о круге ведения и правила процедуры неофициальной рабочей группы (НРГ).</w:t>
      </w:r>
    </w:p>
    <w:p w:rsidR="00E01FA3" w:rsidRPr="00E01FA3" w:rsidRDefault="005E56CB" w:rsidP="005E56CB">
      <w:pPr>
        <w:pStyle w:val="H1GR"/>
      </w:pPr>
      <w:r>
        <w:tab/>
      </w:r>
      <w:r w:rsidR="00E01FA3" w:rsidRPr="00E01FA3">
        <w:t>13.</w:t>
      </w:r>
      <w:r w:rsidR="00E01FA3" w:rsidRPr="00E01FA3">
        <w:tab/>
        <w:t>Обмен информацией о требованиях, касающихся выбросов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провести обмен мнениями по вопросам разработки национального или регионального законодательства и международных требований, касающихся выбросов.</w:t>
      </w:r>
    </w:p>
    <w:p w:rsidR="00E01FA3" w:rsidRPr="00E01FA3" w:rsidRDefault="005E56CB" w:rsidP="005E56CB">
      <w:pPr>
        <w:pStyle w:val="H1GR"/>
      </w:pPr>
      <w:r>
        <w:tab/>
      </w:r>
      <w:r w:rsidR="00E01FA3" w:rsidRPr="00E01FA3">
        <w:t>14.</w:t>
      </w:r>
      <w:r w:rsidR="00E01FA3" w:rsidRPr="00E01FA3">
        <w:tab/>
        <w:t>Выборы должностных лиц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В соответствии с решением июньской сессии GRPE 2018 года (ECE/TRANS/WP.29/GRPE/77, пункт 61) выборы заместителя Председателя состоятся в ходе нынешней сессии GRPE.</w:t>
      </w:r>
    </w:p>
    <w:p w:rsidR="00E01FA3" w:rsidRPr="00E01FA3" w:rsidRDefault="005E56CB" w:rsidP="005E56CB">
      <w:pPr>
        <w:pStyle w:val="H1GR"/>
      </w:pPr>
      <w:r>
        <w:lastRenderedPageBreak/>
        <w:tab/>
      </w:r>
      <w:r w:rsidR="00E01FA3" w:rsidRPr="00E01FA3">
        <w:t>15.</w:t>
      </w:r>
      <w:r w:rsidR="00E01FA3" w:rsidRPr="00E01FA3">
        <w:tab/>
        <w:t>Прочие вопросы</w:t>
      </w:r>
    </w:p>
    <w:p w:rsidR="00E01FA3" w:rsidRPr="00E01FA3" w:rsidRDefault="005E56CB" w:rsidP="00E01FA3">
      <w:pPr>
        <w:pStyle w:val="SingleTxtGR"/>
      </w:pPr>
      <w:r>
        <w:tab/>
      </w:r>
      <w:r w:rsidR="00E01FA3" w:rsidRPr="00E01FA3">
        <w:t>GRPE, возможно, пожелает рассмотреть любые другие предложения, если таковые будут представлены.</w:t>
      </w:r>
    </w:p>
    <w:p w:rsidR="00E12C5F" w:rsidRPr="00E01FA3" w:rsidRDefault="00E01FA3" w:rsidP="00E01FA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01FA3" w:rsidSect="00E01F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5D" w:rsidRPr="00A312BC" w:rsidRDefault="007B095D" w:rsidP="00A312BC"/>
  </w:endnote>
  <w:endnote w:type="continuationSeparator" w:id="0">
    <w:p w:rsidR="007B095D" w:rsidRPr="00A312BC" w:rsidRDefault="007B09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A3" w:rsidRPr="00E01FA3" w:rsidRDefault="00E01FA3">
    <w:pPr>
      <w:pStyle w:val="Footer"/>
    </w:pPr>
    <w:r w:rsidRPr="00E01FA3">
      <w:rPr>
        <w:b/>
        <w:sz w:val="18"/>
      </w:rPr>
      <w:fldChar w:fldCharType="begin"/>
    </w:r>
    <w:r w:rsidRPr="00E01FA3">
      <w:rPr>
        <w:b/>
        <w:sz w:val="18"/>
      </w:rPr>
      <w:instrText xml:space="preserve"> PAGE  \* MERGEFORMAT </w:instrText>
    </w:r>
    <w:r w:rsidRPr="00E01FA3">
      <w:rPr>
        <w:b/>
        <w:sz w:val="18"/>
      </w:rPr>
      <w:fldChar w:fldCharType="separate"/>
    </w:r>
    <w:r w:rsidR="007B4B75">
      <w:rPr>
        <w:b/>
        <w:noProof/>
        <w:sz w:val="18"/>
      </w:rPr>
      <w:t>6</w:t>
    </w:r>
    <w:r w:rsidRPr="00E01FA3">
      <w:rPr>
        <w:b/>
        <w:sz w:val="18"/>
      </w:rPr>
      <w:fldChar w:fldCharType="end"/>
    </w:r>
    <w:r>
      <w:rPr>
        <w:b/>
        <w:sz w:val="18"/>
      </w:rPr>
      <w:tab/>
    </w:r>
    <w:r>
      <w:t>GE.18-17898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A3" w:rsidRPr="00E01FA3" w:rsidRDefault="00E01FA3" w:rsidP="00E01FA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GE.18-17898</w:t>
    </w:r>
    <w:r>
      <w:tab/>
    </w:r>
    <w:r w:rsidRPr="00E01FA3">
      <w:rPr>
        <w:b/>
        <w:sz w:val="18"/>
      </w:rPr>
      <w:fldChar w:fldCharType="begin"/>
    </w:r>
    <w:r w:rsidRPr="00E01FA3">
      <w:rPr>
        <w:b/>
        <w:sz w:val="18"/>
      </w:rPr>
      <w:instrText xml:space="preserve"> PAGE  \* MERGEFORMAT </w:instrText>
    </w:r>
    <w:r w:rsidRPr="00E01FA3">
      <w:rPr>
        <w:b/>
        <w:sz w:val="18"/>
      </w:rPr>
      <w:fldChar w:fldCharType="separate"/>
    </w:r>
    <w:r w:rsidR="007B4B75">
      <w:rPr>
        <w:b/>
        <w:noProof/>
        <w:sz w:val="18"/>
      </w:rPr>
      <w:t>7</w:t>
    </w:r>
    <w:r w:rsidRPr="00E01F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01FA3" w:rsidRDefault="00E01FA3" w:rsidP="00E01F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18-17898  (R)  291018  301018</w:t>
    </w:r>
    <w:r>
      <w:br/>
    </w:r>
    <w:r w:rsidRPr="00E01FA3">
      <w:rPr>
        <w:rFonts w:ascii="C39T30Lfz" w:hAnsi="C39T30Lfz"/>
        <w:kern w:val="14"/>
        <w:sz w:val="56"/>
      </w:rPr>
      <w:t></w:t>
    </w:r>
    <w:r w:rsidRPr="00E01FA3">
      <w:rPr>
        <w:rFonts w:ascii="C39T30Lfz" w:hAnsi="C39T30Lfz"/>
        <w:kern w:val="14"/>
        <w:sz w:val="56"/>
      </w:rPr>
      <w:t></w:t>
    </w:r>
    <w:r w:rsidRPr="00E01FA3">
      <w:rPr>
        <w:rFonts w:ascii="C39T30Lfz" w:hAnsi="C39T30Lfz"/>
        <w:kern w:val="14"/>
        <w:sz w:val="56"/>
      </w:rPr>
      <w:t></w:t>
    </w:r>
    <w:r w:rsidRPr="00E01FA3">
      <w:rPr>
        <w:rFonts w:ascii="C39T30Lfz" w:hAnsi="C39T30Lfz"/>
        <w:kern w:val="14"/>
        <w:sz w:val="56"/>
      </w:rPr>
      <w:t></w:t>
    </w:r>
    <w:r w:rsidRPr="00E01FA3">
      <w:rPr>
        <w:rFonts w:ascii="C39T30Lfz" w:hAnsi="C39T30Lfz"/>
        <w:kern w:val="14"/>
        <w:sz w:val="56"/>
      </w:rPr>
      <w:t></w:t>
    </w:r>
    <w:r w:rsidRPr="00E01FA3">
      <w:rPr>
        <w:rFonts w:ascii="C39T30Lfz" w:hAnsi="C39T30Lfz"/>
        <w:kern w:val="14"/>
        <w:sz w:val="56"/>
      </w:rPr>
      <w:t></w:t>
    </w:r>
    <w:r w:rsidRPr="00E01FA3">
      <w:rPr>
        <w:rFonts w:ascii="C39T30Lfz" w:hAnsi="C39T30Lfz"/>
        <w:kern w:val="14"/>
        <w:sz w:val="56"/>
      </w:rPr>
      <w:t></w:t>
    </w:r>
    <w:r w:rsidRPr="00E01FA3">
      <w:rPr>
        <w:rFonts w:ascii="C39T30Lfz" w:hAnsi="C39T30Lfz"/>
        <w:kern w:val="14"/>
        <w:sz w:val="56"/>
      </w:rPr>
      <w:t></w:t>
    </w:r>
    <w:r w:rsidRPr="00E01F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5D" w:rsidRPr="001075E9" w:rsidRDefault="007B09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095D" w:rsidRDefault="007B09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01FA3" w:rsidRPr="00CA1B4E" w:rsidRDefault="00E01FA3" w:rsidP="00E01FA3">
      <w:pPr>
        <w:pStyle w:val="FootnoteText"/>
      </w:pPr>
      <w:r w:rsidRPr="0056209A">
        <w:tab/>
      </w:r>
      <w:r w:rsidRPr="008A1ED5">
        <w:rPr>
          <w:rStyle w:val="FootnoteReference"/>
        </w:rPr>
        <w:footnoteRef/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3175EA" w:rsidRPr="003175EA">
          <w:rPr>
            <w:rStyle w:val="Hyperlink"/>
            <w:color w:val="auto"/>
          </w:rPr>
          <w:t>www.unece.org/trans/</w:t>
        </w:r>
        <w:r w:rsidR="003175EA" w:rsidRPr="003175EA">
          <w:rPr>
            <w:rStyle w:val="Hyperlink"/>
            <w:color w:val="auto"/>
          </w:rPr>
          <w:br/>
          <w:t>main/wp29/wp29wgs/wp29grpe/grpeage.html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E01FA3">
          <w:rPr>
            <w:rStyle w:val="Hyperlink"/>
            <w:color w:val="auto"/>
          </w:rPr>
          <w:t>benedicte.boudol@unece.org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</w:t>
      </w:r>
      <w:r w:rsidR="003175EA">
        <w:t xml:space="preserve"> официальной документации (СОД)</w:t>
      </w:r>
      <w:r w:rsidR="003175EA">
        <w:br/>
      </w:r>
      <w:r>
        <w:t xml:space="preserve">на веб-сайте по следующему адресу: </w:t>
      </w:r>
      <w:hyperlink r:id="rId3" w:history="1">
        <w:r w:rsidRPr="00E01FA3">
          <w:rPr>
            <w:rStyle w:val="Hyperlink"/>
            <w:color w:val="auto"/>
          </w:rPr>
          <w:t>http://documents.un.org/</w:t>
        </w:r>
      </w:hyperlink>
      <w:r>
        <w:t>.</w:t>
      </w:r>
    </w:p>
  </w:footnote>
  <w:footnote w:id="2">
    <w:p w:rsidR="00E01FA3" w:rsidRPr="00113319" w:rsidRDefault="00E01FA3" w:rsidP="00E01FA3">
      <w:pPr>
        <w:pStyle w:val="FootnoteText"/>
      </w:pPr>
      <w:r w:rsidRPr="0056209A">
        <w:tab/>
      </w:r>
      <w:r w:rsidRPr="0056209A">
        <w:rPr>
          <w:rStyle w:val="FootnoteReference"/>
        </w:rPr>
        <w:footnoteRef/>
      </w:r>
      <w:r>
        <w:tab/>
        <w:t>Делегатов просят зарегистрироваться онлайн с по</w:t>
      </w:r>
      <w:r w:rsidR="003175EA">
        <w:t>мощью новой системы регистрации</w:t>
      </w:r>
      <w:r w:rsidR="003175EA">
        <w:br/>
      </w:r>
      <w:r>
        <w:t>на веб-сайте ЕЭК ООН (</w:t>
      </w:r>
      <w:hyperlink r:id="rId4" w:history="1">
        <w:r w:rsidRPr="00E01FA3">
          <w:rPr>
            <w:rStyle w:val="Hyperlink"/>
            <w:color w:val="auto"/>
          </w:rPr>
          <w:t>https://uncdb.unece.org/app/ext/meeting-registration?id=duqbYz</w:t>
        </w:r>
      </w:hyperlink>
      <w:r w:rsidR="003175EA">
        <w:t>). По </w:t>
      </w:r>
      <w:r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 случае затруднений просьба связаться с секретариатом ЕЭК ООН по телефону (внутренний номер 74323). Схему Дворца Нац</w:t>
      </w:r>
      <w:r w:rsidR="003175EA">
        <w:t>ий и другую полезную информацию</w:t>
      </w:r>
      <w:r w:rsidR="003175EA">
        <w:br/>
      </w:r>
      <w:r>
        <w:t xml:space="preserve">см. на веб-сайте </w:t>
      </w:r>
      <w:hyperlink r:id="rId5" w:history="1">
        <w:r w:rsidRPr="00E01FA3">
          <w:rPr>
            <w:rStyle w:val="Hyperlink"/>
            <w:color w:val="auto"/>
          </w:rPr>
          <w:t>www.unece.org/meetings/ practical.html</w:t>
        </w:r>
      </w:hyperlink>
      <w:r>
        <w:t>.</w:t>
      </w:r>
    </w:p>
  </w:footnote>
  <w:footnote w:id="3">
    <w:p w:rsidR="00E01FA3" w:rsidRPr="005110ED" w:rsidRDefault="00E01FA3" w:rsidP="00E01FA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Семьдесят восьмую сессию официально планируется провести 8 (вторая половина дня) – 11 (только первая половина дня) января 2019 года. Однако в ходе своей последней сессии (ECE/TRANS/WP.29/GRPE/77, пункт 63) GRPE решила начать сессию в первой половине дня в понедельник, 7 января 2019 года, с заседания неофициальной группы. Устный перевод будет обеспечен только со второй половины дня во вторник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A3" w:rsidRPr="00E01FA3" w:rsidRDefault="00DC38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B4B75">
      <w:t>ECE/TRANS/WP.29/GRPE/2019/1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A3" w:rsidRPr="00E01FA3" w:rsidRDefault="00DC3820" w:rsidP="00E01F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B4B75">
      <w:t>ECE/TRANS/WP.29/GRPE/2019/1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5EA"/>
    <w:rsid w:val="00322004"/>
    <w:rsid w:val="003402C2"/>
    <w:rsid w:val="00381C24"/>
    <w:rsid w:val="00387CD4"/>
    <w:rsid w:val="003958D0"/>
    <w:rsid w:val="003A0D43"/>
    <w:rsid w:val="003A48CE"/>
    <w:rsid w:val="003B00E5"/>
    <w:rsid w:val="003B2FA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56CB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95D"/>
    <w:rsid w:val="007B4B7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A79B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3820"/>
    <w:rsid w:val="00DD78D1"/>
    <w:rsid w:val="00DE061D"/>
    <w:rsid w:val="00DE32CD"/>
    <w:rsid w:val="00DF5767"/>
    <w:rsid w:val="00DF71B9"/>
    <w:rsid w:val="00E01FA3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08C9FF-81BA-432A-95F7-9193766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%20practical.html" TargetMode="External"/><Relationship Id="rId4" Type="http://schemas.openxmlformats.org/officeDocument/2006/relationships/hyperlink" Target="https://uncdb.unece.org/app/ext/meeting-registration?id=duqbY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ECE/TRANS/WP.29/GRPE/2019/1</vt:lpstr>
      <vt:lpstr>ECE/TRANS/WP.29/GRPE/2019/1</vt:lpstr>
      <vt:lpstr>A/</vt:lpstr>
    </vt:vector>
  </TitlesOfParts>
  <Company>DCM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ECE/TRANS/WP.29/GRPE/2019/1</dc:title>
  <dc:subject/>
  <dc:creator>Uliana ANTIPOVA</dc:creator>
  <cp:keywords/>
  <cp:lastModifiedBy>Benedicte Boudol</cp:lastModifiedBy>
  <cp:revision>2</cp:revision>
  <cp:lastPrinted>2018-10-30T07:46:00Z</cp:lastPrinted>
  <dcterms:created xsi:type="dcterms:W3CDTF">2018-11-02T08:17:00Z</dcterms:created>
  <dcterms:modified xsi:type="dcterms:W3CDTF">2018-11-02T08:17:00Z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