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5164BB11" w14:textId="77777777" w:rsidTr="0041551C">
        <w:trPr>
          <w:cantSplit/>
          <w:trHeight w:hRule="exact" w:val="851"/>
        </w:trPr>
        <w:tc>
          <w:tcPr>
            <w:tcW w:w="1276" w:type="dxa"/>
            <w:tcBorders>
              <w:bottom w:val="single" w:sz="4" w:space="0" w:color="auto"/>
            </w:tcBorders>
            <w:shd w:val="clear" w:color="auto" w:fill="auto"/>
            <w:vAlign w:val="bottom"/>
          </w:tcPr>
          <w:p w14:paraId="638354F3" w14:textId="77777777" w:rsidR="00732AD2" w:rsidRPr="00525E6C" w:rsidRDefault="004749FE" w:rsidP="00732AD2">
            <w:pPr>
              <w:spacing w:after="80"/>
            </w:pPr>
            <w:r w:rsidRPr="00525E6C">
              <w:t xml:space="preserve">  </w:t>
            </w:r>
          </w:p>
        </w:tc>
        <w:tc>
          <w:tcPr>
            <w:tcW w:w="2268" w:type="dxa"/>
            <w:tcBorders>
              <w:bottom w:val="single" w:sz="4" w:space="0" w:color="auto"/>
            </w:tcBorders>
            <w:shd w:val="clear" w:color="auto" w:fill="auto"/>
            <w:vAlign w:val="bottom"/>
          </w:tcPr>
          <w:p w14:paraId="405EE317"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shd w:val="clear" w:color="auto" w:fill="auto"/>
            <w:vAlign w:val="bottom"/>
          </w:tcPr>
          <w:p w14:paraId="133ACA04" w14:textId="735BAD09" w:rsidR="00732AD2" w:rsidRPr="00525E6C" w:rsidRDefault="0025722A" w:rsidP="00E6405F">
            <w:pPr>
              <w:jc w:val="right"/>
            </w:pPr>
            <w:r w:rsidRPr="00EC7CBC">
              <w:rPr>
                <w:sz w:val="40"/>
              </w:rPr>
              <w:t>ECE</w:t>
            </w:r>
            <w:r w:rsidRPr="00EC7CBC">
              <w:t>/TRANS/WP.29/</w:t>
            </w:r>
            <w:r w:rsidR="00FA3078">
              <w:t>GRE/2019</w:t>
            </w:r>
            <w:r w:rsidRPr="008D34DA">
              <w:t>/</w:t>
            </w:r>
            <w:r w:rsidR="00B157F2">
              <w:t>16</w:t>
            </w:r>
          </w:p>
        </w:tc>
      </w:tr>
      <w:tr w:rsidR="00525E6C" w:rsidRPr="00525E6C" w14:paraId="318EBEA4"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20695D2F" w14:textId="77777777" w:rsidR="00732AD2" w:rsidRPr="00525E6C" w:rsidRDefault="00732AD2" w:rsidP="00732AD2">
            <w:pPr>
              <w:spacing w:before="120"/>
            </w:pPr>
            <w:r w:rsidRPr="00525E6C">
              <w:rPr>
                <w:noProof/>
                <w:lang w:eastAsia="zh-CN"/>
              </w:rPr>
              <w:drawing>
                <wp:inline distT="0" distB="0" distL="0" distR="0" wp14:anchorId="7B1B4117" wp14:editId="5F9CF974">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5289E08" w14:textId="77777777" w:rsidR="00732AD2" w:rsidRPr="0053058C" w:rsidRDefault="00732AD2" w:rsidP="00732AD2">
            <w:pPr>
              <w:spacing w:before="120" w:line="420" w:lineRule="exact"/>
              <w:rPr>
                <w:sz w:val="40"/>
                <w:szCs w:val="40"/>
              </w:rPr>
            </w:pPr>
            <w:r w:rsidRPr="0053058C">
              <w:rPr>
                <w:b/>
                <w:sz w:val="40"/>
                <w:szCs w:val="40"/>
              </w:rPr>
              <w:t>Economic and Social Council</w:t>
            </w:r>
          </w:p>
        </w:tc>
        <w:tc>
          <w:tcPr>
            <w:tcW w:w="2835" w:type="dxa"/>
            <w:tcBorders>
              <w:top w:val="single" w:sz="4" w:space="0" w:color="auto"/>
              <w:bottom w:val="single" w:sz="12" w:space="0" w:color="auto"/>
            </w:tcBorders>
            <w:shd w:val="clear" w:color="auto" w:fill="auto"/>
          </w:tcPr>
          <w:p w14:paraId="0243571A" w14:textId="77777777" w:rsidR="00732AD2" w:rsidRPr="0053058C" w:rsidRDefault="00732AD2" w:rsidP="00732AD2">
            <w:pPr>
              <w:spacing w:before="240" w:line="240" w:lineRule="exact"/>
            </w:pPr>
            <w:r w:rsidRPr="0053058C">
              <w:t>Distr.: General</w:t>
            </w:r>
          </w:p>
          <w:p w14:paraId="6C712AC7" w14:textId="3F435F91" w:rsidR="0025722A" w:rsidRPr="0053058C" w:rsidRDefault="0053058C" w:rsidP="0025722A">
            <w:pPr>
              <w:spacing w:line="240" w:lineRule="exact"/>
            </w:pPr>
            <w:r w:rsidRPr="0053058C">
              <w:t>6</w:t>
            </w:r>
            <w:r w:rsidR="00FA3078" w:rsidRPr="0053058C">
              <w:t xml:space="preserve"> August 2019</w:t>
            </w:r>
          </w:p>
          <w:p w14:paraId="4C830630" w14:textId="77777777" w:rsidR="00732AD2" w:rsidRPr="0053058C" w:rsidRDefault="00732AD2" w:rsidP="00732AD2">
            <w:pPr>
              <w:spacing w:line="240" w:lineRule="exact"/>
            </w:pPr>
          </w:p>
          <w:p w14:paraId="59912D96" w14:textId="77777777" w:rsidR="00732AD2" w:rsidRPr="0053058C" w:rsidRDefault="00732AD2" w:rsidP="00732AD2">
            <w:pPr>
              <w:spacing w:line="240" w:lineRule="exact"/>
            </w:pPr>
            <w:r w:rsidRPr="0053058C">
              <w:t>Original: English</w:t>
            </w:r>
          </w:p>
        </w:tc>
      </w:tr>
    </w:tbl>
    <w:p w14:paraId="4C3469AD" w14:textId="77777777" w:rsidR="00732AD2" w:rsidRPr="00525E6C" w:rsidRDefault="00732AD2" w:rsidP="00732AD2">
      <w:pPr>
        <w:spacing w:before="120"/>
        <w:rPr>
          <w:b/>
          <w:sz w:val="28"/>
          <w:szCs w:val="28"/>
        </w:rPr>
      </w:pPr>
      <w:r w:rsidRPr="00525E6C">
        <w:rPr>
          <w:b/>
          <w:sz w:val="28"/>
          <w:szCs w:val="28"/>
        </w:rPr>
        <w:t>Economic Commission for Europe</w:t>
      </w:r>
    </w:p>
    <w:p w14:paraId="11C6F25C" w14:textId="77777777" w:rsidR="00732AD2" w:rsidRPr="00525E6C" w:rsidRDefault="00732AD2" w:rsidP="00732AD2">
      <w:pPr>
        <w:spacing w:before="120"/>
        <w:rPr>
          <w:sz w:val="28"/>
          <w:szCs w:val="28"/>
        </w:rPr>
      </w:pPr>
      <w:r w:rsidRPr="00525E6C">
        <w:rPr>
          <w:sz w:val="28"/>
          <w:szCs w:val="28"/>
        </w:rPr>
        <w:t>Inland Transport Committee</w:t>
      </w:r>
    </w:p>
    <w:p w14:paraId="184C651A"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45CF5A55" w14:textId="77777777" w:rsidR="00732AD2" w:rsidRPr="00525E6C" w:rsidRDefault="00732AD2" w:rsidP="00732AD2">
      <w:pPr>
        <w:spacing w:before="120" w:after="120"/>
        <w:rPr>
          <w:b/>
          <w:bCs/>
        </w:rPr>
      </w:pPr>
      <w:r w:rsidRPr="00525E6C">
        <w:rPr>
          <w:b/>
          <w:bCs/>
        </w:rPr>
        <w:t>Working Party on Lighting and Light-Signalling</w:t>
      </w:r>
    </w:p>
    <w:p w14:paraId="3EC93816" w14:textId="77777777" w:rsidR="00E04EC7" w:rsidRPr="0053058C" w:rsidRDefault="00FA3078" w:rsidP="00E04EC7">
      <w:pPr>
        <w:ind w:right="1134"/>
        <w:rPr>
          <w:b/>
        </w:rPr>
      </w:pPr>
      <w:r w:rsidRPr="0053058C">
        <w:rPr>
          <w:b/>
        </w:rPr>
        <w:t>Eighty-second</w:t>
      </w:r>
      <w:r w:rsidR="00E04EC7" w:rsidRPr="0053058C">
        <w:rPr>
          <w:b/>
        </w:rPr>
        <w:t xml:space="preserve"> session</w:t>
      </w:r>
    </w:p>
    <w:p w14:paraId="4879693A" w14:textId="4A55B8B4" w:rsidR="00E04EC7" w:rsidRPr="00E04EC7" w:rsidRDefault="00FA3078" w:rsidP="00E04EC7">
      <w:pPr>
        <w:ind w:right="1134"/>
      </w:pPr>
      <w:r w:rsidRPr="0053058C">
        <w:t>Geneva, 22</w:t>
      </w:r>
      <w:r w:rsidR="0014056C">
        <w:t>-</w:t>
      </w:r>
      <w:r w:rsidRPr="0053058C">
        <w:t>25 October 2019</w:t>
      </w:r>
    </w:p>
    <w:p w14:paraId="74C6A99D" w14:textId="6D67BC85" w:rsidR="00732AD2" w:rsidRPr="00525E6C" w:rsidRDefault="00732AD2" w:rsidP="00E04EC7">
      <w:pPr>
        <w:ind w:right="1134"/>
        <w:rPr>
          <w:bCs/>
        </w:rPr>
      </w:pPr>
      <w:r w:rsidRPr="00490313">
        <w:rPr>
          <w:bCs/>
        </w:rPr>
        <w:t xml:space="preserve">Item </w:t>
      </w:r>
      <w:r w:rsidR="00490313">
        <w:rPr>
          <w:bCs/>
        </w:rPr>
        <w:t>5</w:t>
      </w:r>
      <w:r w:rsidR="0073646C" w:rsidRPr="00525E6C">
        <w:rPr>
          <w:bCs/>
        </w:rPr>
        <w:t xml:space="preserve"> </w:t>
      </w:r>
      <w:r w:rsidRPr="00525E6C">
        <w:rPr>
          <w:bCs/>
        </w:rPr>
        <w:t>of the provisional agenda</w:t>
      </w:r>
    </w:p>
    <w:p w14:paraId="0465DA2F" w14:textId="77777777" w:rsidR="000A556D" w:rsidRPr="00D912FF" w:rsidRDefault="000A556D" w:rsidP="000A556D">
      <w:pPr>
        <w:ind w:right="1467"/>
        <w:jc w:val="both"/>
        <w:rPr>
          <w:bCs/>
        </w:rPr>
      </w:pPr>
      <w:r w:rsidRPr="00DC35BB">
        <w:rPr>
          <w:b/>
          <w:bCs/>
        </w:rPr>
        <w:t>Regulations Nos. 37 (Filament lamps), 99 (Gas discharge light sources), 128 (Light emitting diodes light sources) and the Consolidated Resolution on the common specification of light source categories</w:t>
      </w:r>
    </w:p>
    <w:p w14:paraId="526FF126" w14:textId="16B61DE3" w:rsidR="00732AD2" w:rsidRPr="00525E6C" w:rsidRDefault="00732AD2" w:rsidP="00382714">
      <w:pPr>
        <w:pStyle w:val="HChG"/>
      </w:pPr>
      <w:r w:rsidRPr="00525E6C">
        <w:tab/>
      </w:r>
      <w:r w:rsidRPr="00525E6C">
        <w:tab/>
      </w:r>
      <w:r w:rsidR="008B2727" w:rsidRPr="00525E6C">
        <w:t xml:space="preserve">Proposal for </w:t>
      </w:r>
      <w:r w:rsidR="00382714">
        <w:t>amendment</w:t>
      </w:r>
      <w:r w:rsidR="00375FAF">
        <w:t xml:space="preserve"> </w:t>
      </w:r>
      <w:r w:rsidR="00FA3078" w:rsidRPr="0053058C">
        <w:t>[</w:t>
      </w:r>
      <w:r w:rsidR="00D242D5" w:rsidRPr="0053058C">
        <w:t>1</w:t>
      </w:r>
      <w:r w:rsidR="00FA3078" w:rsidRPr="0053058C">
        <w:t>]</w:t>
      </w:r>
      <w:r w:rsidR="00382714" w:rsidRPr="0053058C">
        <w:t xml:space="preserve"> </w:t>
      </w:r>
      <w:r w:rsidR="00D242D5" w:rsidRPr="0053058C">
        <w:t xml:space="preserve">to </w:t>
      </w:r>
      <w:r w:rsidR="008B2727" w:rsidRPr="0053058C">
        <w:t xml:space="preserve">version </w:t>
      </w:r>
      <w:r w:rsidR="00D242D5" w:rsidRPr="0053058C">
        <w:t>[2]</w:t>
      </w:r>
      <w:r w:rsidR="00D242D5">
        <w:t xml:space="preserve"> </w:t>
      </w:r>
      <w:r w:rsidR="008B2727" w:rsidRPr="00525E6C">
        <w:t xml:space="preserve">of </w:t>
      </w:r>
      <w:r w:rsidR="00382714">
        <w:t>the Consolidated Resolution on the common specification of light source categories</w:t>
      </w:r>
      <w:r w:rsidR="0053058C">
        <w:t xml:space="preserve"> </w:t>
      </w:r>
      <w:r w:rsidR="0041551C" w:rsidRPr="0041551C">
        <w:t>(R.E.5)</w:t>
      </w:r>
    </w:p>
    <w:p w14:paraId="2B8321DD" w14:textId="77777777" w:rsidR="00732AD2" w:rsidRPr="00525E6C" w:rsidRDefault="0036339F" w:rsidP="00732AD2">
      <w:pPr>
        <w:pStyle w:val="H1G"/>
        <w:ind w:firstLine="0"/>
        <w:rPr>
          <w:szCs w:val="24"/>
        </w:rPr>
      </w:pPr>
      <w:r w:rsidRPr="0036339F">
        <w:rPr>
          <w:szCs w:val="24"/>
        </w:rPr>
        <w:t>Submitted by the expert from the International Automotive Lighting and Light Signalling Expert Group (GTB)</w:t>
      </w:r>
      <w:r w:rsidRPr="00DE7053">
        <w:footnoteReference w:customMarkFollows="1" w:id="2"/>
        <w:t>*</w:t>
      </w:r>
    </w:p>
    <w:p w14:paraId="60B6D3B4" w14:textId="345B1FD4" w:rsidR="00856C69" w:rsidRDefault="00856C69" w:rsidP="00732AD2">
      <w:pPr>
        <w:pStyle w:val="SingleTxtG"/>
        <w:tabs>
          <w:tab w:val="left" w:pos="8505"/>
        </w:tabs>
        <w:ind w:firstLine="567"/>
      </w:pPr>
      <w:r w:rsidRPr="00D241BD">
        <w:t xml:space="preserve">The text reproduced below was prepared by the expert from GTB </w:t>
      </w:r>
      <w:r w:rsidR="00D241BD" w:rsidRPr="00D241BD">
        <w:t>to amend light source categories</w:t>
      </w:r>
      <w:r w:rsidR="00B55866" w:rsidRPr="00D241BD">
        <w:t xml:space="preserve"> </w:t>
      </w:r>
      <w:r w:rsidR="00D241BD" w:rsidRPr="00D241BD">
        <w:t>L1A/6 and</w:t>
      </w:r>
      <w:r w:rsidR="00B55866" w:rsidRPr="00D241BD">
        <w:t xml:space="preserve"> L1B/6 in the Consolidated Resolution on the common specification of l</w:t>
      </w:r>
      <w:r w:rsidR="00851713">
        <w:t>ight source categories (R.E.5)</w:t>
      </w:r>
      <w:r w:rsidR="00B55866" w:rsidRPr="00D241BD">
        <w:t xml:space="preserve">. </w:t>
      </w:r>
      <w:r w:rsidRPr="00D241BD">
        <w:t>It is based upon the original version of the Consolidated Resolution on the common specification of light source categories (R.E.5) (</w:t>
      </w:r>
      <w:r w:rsidR="00851713" w:rsidRPr="00D241BD">
        <w:t>ECE/TRANS/WP.29/1127</w:t>
      </w:r>
      <w:r w:rsidR="008D6304" w:rsidRPr="00D241BD">
        <w:t>)</w:t>
      </w:r>
      <w:r w:rsidR="00FA3078" w:rsidRPr="00D241BD">
        <w:t xml:space="preserve"> as amended by ECE/TRANS/WP.29/2018/33/Rev.1</w:t>
      </w:r>
      <w:r w:rsidR="008D6304" w:rsidRPr="00D241BD">
        <w:t xml:space="preserve">. </w:t>
      </w:r>
      <w:r w:rsidR="00851713" w:rsidRPr="00D241BD">
        <w:t>There is an associated amendment to Regulation No. 128</w:t>
      </w:r>
      <w:r w:rsidR="001F39F1">
        <w:t xml:space="preserve"> </w:t>
      </w:r>
      <w:r w:rsidR="002409E6">
        <w:t>(ECE/TRANS/WP.29/GRE/2019/</w:t>
      </w:r>
      <w:r w:rsidR="0053058C">
        <w:t>15</w:t>
      </w:r>
      <w:r w:rsidR="002409E6">
        <w:t>)</w:t>
      </w:r>
      <w:r w:rsidR="00851713" w:rsidRPr="00D241BD">
        <w:t>.</w:t>
      </w:r>
      <w:r w:rsidR="00851713">
        <w:t xml:space="preserve"> </w:t>
      </w:r>
      <w:r w:rsidRPr="00D241BD">
        <w:t xml:space="preserve">The modifications to the existing text of the </w:t>
      </w:r>
      <w:r w:rsidR="00D040A5" w:rsidRPr="00D241BD">
        <w:t>Resolu</w:t>
      </w:r>
      <w:r w:rsidRPr="00D241BD">
        <w:t>tion are marked in bold for new or strikethrough for deleted characters.</w:t>
      </w:r>
    </w:p>
    <w:p w14:paraId="60E497F9" w14:textId="77777777" w:rsidR="0053129E" w:rsidRPr="00525E6C" w:rsidRDefault="0053129E" w:rsidP="0053129E">
      <w:pPr>
        <w:rPr>
          <w:b/>
          <w:bCs/>
        </w:rPr>
      </w:pPr>
    </w:p>
    <w:p w14:paraId="3CA727C3" w14:textId="77777777" w:rsidR="0053129E" w:rsidRPr="00525E6C" w:rsidRDefault="0053129E" w:rsidP="0053129E">
      <w:pPr>
        <w:rPr>
          <w:lang w:val="en-US"/>
        </w:rPr>
        <w:sectPr w:rsidR="0053129E" w:rsidRPr="00525E6C" w:rsidSect="00607AFA">
          <w:footerReference w:type="even" r:id="rId9"/>
          <w:footerReference w:type="default" r:id="rId10"/>
          <w:footerReference w:type="first" r:id="rId11"/>
          <w:pgSz w:w="11906" w:h="16838"/>
          <w:pgMar w:top="1701" w:right="1134" w:bottom="1618" w:left="1134" w:header="1134" w:footer="1582" w:gutter="0"/>
          <w:cols w:space="720"/>
          <w:docGrid w:linePitch="272"/>
        </w:sectPr>
      </w:pPr>
    </w:p>
    <w:p w14:paraId="73AD4ACA" w14:textId="77777777" w:rsidR="00E048CF" w:rsidRPr="00525E6C" w:rsidRDefault="00914CE3" w:rsidP="00914CE3">
      <w:pPr>
        <w:pStyle w:val="HChG"/>
      </w:pPr>
      <w:r w:rsidRPr="00525E6C">
        <w:lastRenderedPageBreak/>
        <w:tab/>
      </w:r>
      <w:r w:rsidR="00E048CF" w:rsidRPr="00525E6C">
        <w:t>I.</w:t>
      </w:r>
      <w:r w:rsidR="00E048CF" w:rsidRPr="00525E6C">
        <w:tab/>
        <w:t>Proposal</w:t>
      </w:r>
    </w:p>
    <w:p w14:paraId="5A1B1740" w14:textId="77777777" w:rsidR="00885908" w:rsidRPr="00E760F7" w:rsidRDefault="00885908" w:rsidP="00885908">
      <w:pPr>
        <w:spacing w:after="120"/>
        <w:ind w:left="1134" w:right="1134"/>
      </w:pPr>
      <w:r w:rsidRPr="00E760F7">
        <w:rPr>
          <w:i/>
        </w:rPr>
        <w:t xml:space="preserve">The Status </w:t>
      </w:r>
      <w:r w:rsidR="0094012C">
        <w:rPr>
          <w:i/>
        </w:rPr>
        <w:t>t</w:t>
      </w:r>
      <w:r w:rsidRPr="00E760F7">
        <w:rPr>
          <w:i/>
        </w:rPr>
        <w:t>able</w:t>
      </w:r>
      <w:r w:rsidRPr="00E760F7">
        <w:t>, amend</w:t>
      </w:r>
      <w:r w:rsidRPr="00E760F7">
        <w:rPr>
          <w:i/>
        </w:rPr>
        <w:t xml:space="preserve"> </w:t>
      </w:r>
      <w:r w:rsidRPr="00E760F7">
        <w:t>to read:</w:t>
      </w:r>
    </w:p>
    <w:p w14:paraId="5C57D36E" w14:textId="77777777" w:rsidR="00885908" w:rsidRPr="00E760F7" w:rsidRDefault="0034536E" w:rsidP="00885908">
      <w:pPr>
        <w:keepNext/>
        <w:keepLines/>
        <w:tabs>
          <w:tab w:val="right" w:pos="851"/>
        </w:tabs>
        <w:spacing w:after="120"/>
        <w:ind w:left="1134" w:right="1134"/>
        <w:rPr>
          <w:b/>
        </w:rPr>
      </w:pPr>
      <w:r>
        <w:rPr>
          <w:rFonts w:eastAsia="MS Mincho"/>
        </w:rPr>
        <w:t>"</w:t>
      </w:r>
      <w:r w:rsidR="00885908" w:rsidRPr="00E04B89">
        <w:rPr>
          <w:b/>
          <w:sz w:val="24"/>
          <w:szCs w:val="24"/>
        </w:rPr>
        <w:t>Status table</w:t>
      </w:r>
    </w:p>
    <w:p w14:paraId="3057135B" w14:textId="77777777" w:rsidR="00885908" w:rsidRPr="00E760F7" w:rsidRDefault="00885908" w:rsidP="0094012C">
      <w:pPr>
        <w:spacing w:after="120"/>
        <w:ind w:left="1134" w:right="1134" w:firstLine="567"/>
        <w:jc w:val="both"/>
      </w:pPr>
      <w:r w:rsidRPr="00E760F7">
        <w:t>This consolidated version of this Resolution contains all provisions and amendments adopted so far by the World Forum for Harmonization of Vehicle Regulations (WP.29) and is valid from the date as indicated in the following table until the date on which the next revision of this Resolution becomes valid:</w:t>
      </w:r>
    </w:p>
    <w:tbl>
      <w:tblPr>
        <w:tblW w:w="946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0"/>
        <w:gridCol w:w="1272"/>
        <w:gridCol w:w="921"/>
        <w:gridCol w:w="2366"/>
        <w:gridCol w:w="3830"/>
      </w:tblGrid>
      <w:tr w:rsidR="00885908" w:rsidRPr="00E760F7" w14:paraId="158BF8F6" w14:textId="77777777" w:rsidTr="0034536E">
        <w:tc>
          <w:tcPr>
            <w:tcW w:w="1082"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178E4F38" w14:textId="77777777" w:rsidR="00885908" w:rsidRPr="00E760F7" w:rsidRDefault="00885908" w:rsidP="00231FC0">
            <w:pPr>
              <w:spacing w:before="80" w:after="80" w:line="200" w:lineRule="exact"/>
              <w:rPr>
                <w:i/>
                <w:sz w:val="16"/>
                <w:szCs w:val="16"/>
                <w:lang w:val="en-US"/>
              </w:rPr>
            </w:pPr>
          </w:p>
          <w:p w14:paraId="4981E3EC" w14:textId="77777777" w:rsidR="00885908" w:rsidRPr="00E760F7" w:rsidRDefault="00885908" w:rsidP="00231FC0">
            <w:pPr>
              <w:spacing w:before="80" w:after="80" w:line="200" w:lineRule="exact"/>
              <w:rPr>
                <w:i/>
                <w:sz w:val="16"/>
                <w:szCs w:val="16"/>
                <w:lang w:val="en-US"/>
              </w:rPr>
            </w:pPr>
            <w:r w:rsidRPr="00E760F7">
              <w:rPr>
                <w:i/>
                <w:sz w:val="16"/>
                <w:szCs w:val="16"/>
                <w:lang w:val="en-US"/>
              </w:rPr>
              <w:t>Version of the Resolution</w:t>
            </w:r>
          </w:p>
        </w:tc>
        <w:tc>
          <w:tcPr>
            <w:tcW w:w="1275"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1711A0A4" w14:textId="77777777" w:rsidR="00885908" w:rsidRPr="00E760F7" w:rsidRDefault="00885908" w:rsidP="00231FC0">
            <w:pPr>
              <w:spacing w:before="80" w:after="80" w:line="200" w:lineRule="exact"/>
              <w:rPr>
                <w:i/>
                <w:sz w:val="16"/>
                <w:szCs w:val="16"/>
                <w:lang w:val="en-US"/>
              </w:rPr>
            </w:pPr>
          </w:p>
          <w:p w14:paraId="1A4C6722" w14:textId="77777777" w:rsidR="00885908" w:rsidRPr="00E760F7" w:rsidRDefault="00885908" w:rsidP="00231FC0">
            <w:pPr>
              <w:spacing w:before="80" w:after="80" w:line="200" w:lineRule="exact"/>
              <w:rPr>
                <w:i/>
                <w:sz w:val="16"/>
                <w:szCs w:val="16"/>
                <w:lang w:val="en-US"/>
              </w:rPr>
            </w:pPr>
            <w:r w:rsidRPr="00E760F7">
              <w:rPr>
                <w:i/>
                <w:sz w:val="16"/>
                <w:szCs w:val="16"/>
                <w:lang w:val="en-US"/>
              </w:rPr>
              <w:t>Date * as from which the version is valid</w:t>
            </w:r>
          </w:p>
        </w:tc>
        <w:tc>
          <w:tcPr>
            <w:tcW w:w="328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01D35A2" w14:textId="77777777" w:rsidR="00885908" w:rsidRPr="00E760F7" w:rsidRDefault="00885908" w:rsidP="00231FC0">
            <w:pPr>
              <w:spacing w:before="80" w:after="80" w:line="200" w:lineRule="exact"/>
              <w:jc w:val="center"/>
              <w:rPr>
                <w:i/>
                <w:sz w:val="16"/>
                <w:szCs w:val="16"/>
                <w:lang w:val="en-US"/>
              </w:rPr>
            </w:pPr>
            <w:r w:rsidRPr="00E760F7">
              <w:rPr>
                <w:i/>
                <w:sz w:val="16"/>
                <w:szCs w:val="16"/>
                <w:lang w:val="en-US"/>
              </w:rPr>
              <w:t>Adopted by WP.29</w:t>
            </w:r>
          </w:p>
        </w:tc>
        <w:tc>
          <w:tcPr>
            <w:tcW w:w="3851"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7B9F36C1" w14:textId="77777777" w:rsidR="00885908" w:rsidRPr="00E760F7" w:rsidRDefault="00885908" w:rsidP="00231FC0">
            <w:pPr>
              <w:spacing w:before="80" w:after="80" w:line="200" w:lineRule="exact"/>
              <w:jc w:val="center"/>
              <w:rPr>
                <w:i/>
                <w:sz w:val="16"/>
                <w:szCs w:val="16"/>
                <w:lang w:val="en-US"/>
              </w:rPr>
            </w:pPr>
          </w:p>
          <w:p w14:paraId="26047F14" w14:textId="77777777" w:rsidR="00885908" w:rsidRPr="00E760F7" w:rsidRDefault="00885908" w:rsidP="00231FC0">
            <w:pPr>
              <w:spacing w:before="80" w:after="80" w:line="200" w:lineRule="exact"/>
              <w:jc w:val="center"/>
              <w:rPr>
                <w:i/>
                <w:sz w:val="16"/>
                <w:szCs w:val="16"/>
                <w:lang w:val="en-US"/>
              </w:rPr>
            </w:pPr>
            <w:r w:rsidRPr="00E760F7">
              <w:rPr>
                <w:i/>
                <w:sz w:val="16"/>
                <w:szCs w:val="16"/>
                <w:lang w:val="en-US"/>
              </w:rPr>
              <w:t>Clarification</w:t>
            </w:r>
          </w:p>
        </w:tc>
      </w:tr>
      <w:tr w:rsidR="0094012C" w:rsidRPr="00E760F7" w14:paraId="4FF41065" w14:textId="77777777" w:rsidTr="0053058C">
        <w:tc>
          <w:tcPr>
            <w:tcW w:w="1082" w:type="dxa"/>
            <w:vMerge/>
            <w:tcBorders>
              <w:top w:val="single" w:sz="4" w:space="0" w:color="auto"/>
              <w:left w:val="single" w:sz="4" w:space="0" w:color="auto"/>
              <w:bottom w:val="single" w:sz="12" w:space="0" w:color="auto"/>
              <w:right w:val="single" w:sz="4" w:space="0" w:color="auto"/>
            </w:tcBorders>
            <w:vAlign w:val="center"/>
            <w:hideMark/>
          </w:tcPr>
          <w:p w14:paraId="35DAAEEA" w14:textId="77777777" w:rsidR="00885908" w:rsidRPr="00E760F7" w:rsidRDefault="00885908" w:rsidP="00231FC0">
            <w:pPr>
              <w:rPr>
                <w:i/>
                <w:sz w:val="16"/>
                <w:szCs w:val="16"/>
                <w:lang w:val="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21750DAB" w14:textId="77777777" w:rsidR="00885908" w:rsidRPr="00E760F7" w:rsidRDefault="00885908" w:rsidP="00231FC0">
            <w:pPr>
              <w:rPr>
                <w:i/>
                <w:sz w:val="16"/>
                <w:szCs w:val="16"/>
                <w:lang w:val="en-US"/>
              </w:rPr>
            </w:pPr>
          </w:p>
        </w:tc>
        <w:tc>
          <w:tcPr>
            <w:tcW w:w="923"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229A179D" w14:textId="77777777" w:rsidR="00885908" w:rsidRPr="00E760F7" w:rsidRDefault="00885908" w:rsidP="00231FC0">
            <w:pPr>
              <w:spacing w:before="80" w:after="80" w:line="200" w:lineRule="exact"/>
              <w:rPr>
                <w:i/>
                <w:sz w:val="16"/>
                <w:szCs w:val="16"/>
                <w:lang w:val="en-US"/>
              </w:rPr>
            </w:pPr>
            <w:r w:rsidRPr="00E760F7">
              <w:rPr>
                <w:i/>
                <w:sz w:val="16"/>
                <w:szCs w:val="16"/>
                <w:lang w:val="en-US"/>
              </w:rPr>
              <w:t>Session No.</w:t>
            </w:r>
          </w:p>
        </w:tc>
        <w:tc>
          <w:tcPr>
            <w:tcW w:w="2366" w:type="dxa"/>
            <w:tcBorders>
              <w:top w:val="single" w:sz="4" w:space="0" w:color="auto"/>
              <w:left w:val="single" w:sz="4" w:space="0" w:color="auto"/>
              <w:bottom w:val="single" w:sz="12" w:space="0" w:color="auto"/>
              <w:right w:val="single" w:sz="4" w:space="0" w:color="auto"/>
            </w:tcBorders>
            <w:hideMark/>
          </w:tcPr>
          <w:p w14:paraId="0C88A83F" w14:textId="77777777" w:rsidR="00885908" w:rsidRPr="00E760F7" w:rsidRDefault="00885908" w:rsidP="00231FC0">
            <w:pPr>
              <w:spacing w:before="80" w:after="80" w:line="200" w:lineRule="exact"/>
              <w:rPr>
                <w:i/>
                <w:sz w:val="16"/>
                <w:szCs w:val="16"/>
                <w:lang w:val="en-US"/>
              </w:rPr>
            </w:pPr>
            <w:r w:rsidRPr="00E760F7">
              <w:rPr>
                <w:i/>
                <w:sz w:val="16"/>
                <w:szCs w:val="16"/>
                <w:lang w:val="en-US"/>
              </w:rPr>
              <w:t>Amendment document No.</w:t>
            </w:r>
          </w:p>
        </w:tc>
        <w:tc>
          <w:tcPr>
            <w:tcW w:w="3851" w:type="dxa"/>
            <w:vMerge/>
            <w:tcBorders>
              <w:top w:val="single" w:sz="4" w:space="0" w:color="auto"/>
              <w:left w:val="single" w:sz="4" w:space="0" w:color="auto"/>
              <w:bottom w:val="single" w:sz="12" w:space="0" w:color="auto"/>
              <w:right w:val="single" w:sz="4" w:space="0" w:color="auto"/>
            </w:tcBorders>
            <w:vAlign w:val="center"/>
            <w:hideMark/>
          </w:tcPr>
          <w:p w14:paraId="71AB33ED" w14:textId="77777777" w:rsidR="00885908" w:rsidRPr="00E760F7" w:rsidRDefault="00885908" w:rsidP="00231FC0">
            <w:pPr>
              <w:rPr>
                <w:i/>
                <w:sz w:val="16"/>
                <w:szCs w:val="16"/>
                <w:lang w:val="en-US"/>
              </w:rPr>
            </w:pPr>
          </w:p>
        </w:tc>
      </w:tr>
      <w:tr w:rsidR="008D3187" w:rsidRPr="00E760F7" w14:paraId="4BAE0DAE" w14:textId="77777777" w:rsidTr="0053058C">
        <w:tc>
          <w:tcPr>
            <w:tcW w:w="1082"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6125D1EC" w14:textId="77777777" w:rsidR="008D3187" w:rsidRPr="00E760F7" w:rsidRDefault="008D3187" w:rsidP="008D3187">
            <w:pPr>
              <w:rPr>
                <w:sz w:val="18"/>
                <w:szCs w:val="18"/>
                <w:lang w:val="en-US"/>
              </w:rPr>
            </w:pPr>
            <w:r w:rsidRPr="00E760F7">
              <w:rPr>
                <w:b/>
                <w:sz w:val="18"/>
                <w:szCs w:val="18"/>
                <w:lang w:val="en-US"/>
              </w:rPr>
              <w:t>1 (</w:t>
            </w:r>
            <w:r w:rsidRPr="00E760F7">
              <w:rPr>
                <w:sz w:val="18"/>
                <w:szCs w:val="18"/>
                <w:lang w:val="en-US"/>
              </w:rPr>
              <w:t>Original</w:t>
            </w:r>
            <w:r w:rsidRPr="00E760F7">
              <w:rPr>
                <w:b/>
                <w:sz w:val="18"/>
                <w:szCs w:val="18"/>
                <w:lang w:val="en-US"/>
              </w:rPr>
              <w:t>)</w:t>
            </w:r>
          </w:p>
        </w:tc>
        <w:tc>
          <w:tcPr>
            <w:tcW w:w="1275"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02F345C5" w14:textId="77777777" w:rsidR="008D3187" w:rsidRPr="00E760F7" w:rsidRDefault="00742EB6" w:rsidP="008D3187">
            <w:pPr>
              <w:rPr>
                <w:sz w:val="18"/>
                <w:szCs w:val="18"/>
                <w:lang w:val="en-US"/>
              </w:rPr>
            </w:pPr>
            <w:r>
              <w:rPr>
                <w:sz w:val="18"/>
                <w:szCs w:val="18"/>
                <w:lang w:val="en-US"/>
              </w:rPr>
              <w:t>22.06.2017</w:t>
            </w:r>
          </w:p>
        </w:tc>
        <w:tc>
          <w:tcPr>
            <w:tcW w:w="923"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49C853C8" w14:textId="77777777" w:rsidR="008D3187" w:rsidRPr="00E760F7" w:rsidRDefault="008D3187" w:rsidP="008D3187">
            <w:pPr>
              <w:rPr>
                <w:sz w:val="18"/>
                <w:szCs w:val="18"/>
                <w:lang w:val="en-US"/>
              </w:rPr>
            </w:pPr>
            <w:r w:rsidRPr="00E760F7">
              <w:rPr>
                <w:sz w:val="18"/>
                <w:szCs w:val="18"/>
                <w:lang w:val="en-US"/>
              </w:rPr>
              <w:t>170</w:t>
            </w:r>
          </w:p>
        </w:tc>
        <w:tc>
          <w:tcPr>
            <w:tcW w:w="2366" w:type="dxa"/>
            <w:tcBorders>
              <w:top w:val="single" w:sz="12" w:space="0" w:color="auto"/>
              <w:left w:val="single" w:sz="4" w:space="0" w:color="auto"/>
              <w:bottom w:val="single" w:sz="6" w:space="0" w:color="auto"/>
              <w:right w:val="single" w:sz="4" w:space="0" w:color="auto"/>
            </w:tcBorders>
            <w:hideMark/>
          </w:tcPr>
          <w:p w14:paraId="254308DC" w14:textId="77777777" w:rsidR="008D3187" w:rsidRPr="00E760F7" w:rsidRDefault="008D3187" w:rsidP="008D3187">
            <w:pPr>
              <w:rPr>
                <w:sz w:val="18"/>
                <w:szCs w:val="18"/>
                <w:lang w:val="en-US"/>
              </w:rPr>
            </w:pPr>
            <w:r>
              <w:rPr>
                <w:sz w:val="18"/>
                <w:szCs w:val="18"/>
                <w:lang w:val="en-US"/>
              </w:rPr>
              <w:t>ECE/TRANS/</w:t>
            </w:r>
            <w:r w:rsidRPr="00E760F7">
              <w:rPr>
                <w:sz w:val="18"/>
                <w:szCs w:val="18"/>
                <w:lang w:val="en-US"/>
              </w:rPr>
              <w:t>WP.29/2016/111</w:t>
            </w:r>
          </w:p>
        </w:tc>
        <w:tc>
          <w:tcPr>
            <w:tcW w:w="3851" w:type="dxa"/>
            <w:tcBorders>
              <w:top w:val="single" w:sz="12" w:space="0" w:color="auto"/>
              <w:bottom w:val="single" w:sz="4" w:space="0" w:color="auto"/>
            </w:tcBorders>
            <w:shd w:val="clear" w:color="auto" w:fill="auto"/>
            <w:tcMar>
              <w:top w:w="0" w:type="dxa"/>
              <w:left w:w="57" w:type="dxa"/>
              <w:bottom w:w="0" w:type="dxa"/>
              <w:right w:w="57" w:type="dxa"/>
            </w:tcMar>
            <w:hideMark/>
          </w:tcPr>
          <w:p w14:paraId="17B7AB4D" w14:textId="77777777" w:rsidR="008D3187" w:rsidRPr="001829FC" w:rsidRDefault="008D3187" w:rsidP="008D3187">
            <w:pPr>
              <w:rPr>
                <w:sz w:val="18"/>
                <w:szCs w:val="18"/>
              </w:rPr>
            </w:pPr>
            <w:r w:rsidRPr="001829FC">
              <w:rPr>
                <w:sz w:val="18"/>
                <w:szCs w:val="18"/>
              </w:rPr>
              <w:t>Based upon Annexes 1 of Regulations:</w:t>
            </w:r>
          </w:p>
          <w:p w14:paraId="7C337878" w14:textId="56B124DF" w:rsidR="008D3187" w:rsidRPr="00306513" w:rsidRDefault="00306513" w:rsidP="00306513">
            <w:pPr>
              <w:ind w:left="376" w:hanging="283"/>
              <w:rPr>
                <w:sz w:val="18"/>
                <w:szCs w:val="18"/>
              </w:rPr>
            </w:pPr>
            <w:r w:rsidRPr="001829FC">
              <w:rPr>
                <w:rFonts w:ascii="Symbol" w:hAnsi="Symbol"/>
                <w:sz w:val="18"/>
                <w:szCs w:val="18"/>
              </w:rPr>
              <w:t></w:t>
            </w:r>
            <w:r w:rsidRPr="001829FC">
              <w:rPr>
                <w:rFonts w:ascii="Symbol" w:hAnsi="Symbol"/>
                <w:sz w:val="18"/>
                <w:szCs w:val="18"/>
              </w:rPr>
              <w:tab/>
            </w:r>
            <w:r w:rsidR="008D3187" w:rsidRPr="00306513">
              <w:rPr>
                <w:sz w:val="18"/>
                <w:szCs w:val="18"/>
              </w:rPr>
              <w:t>No. 37, up to and including Supplement 44</w:t>
            </w:r>
          </w:p>
          <w:p w14:paraId="5DA18914" w14:textId="1157EC8B" w:rsidR="008D3187" w:rsidRPr="00306513" w:rsidRDefault="00306513" w:rsidP="00306513">
            <w:pPr>
              <w:ind w:left="376" w:hanging="283"/>
              <w:rPr>
                <w:sz w:val="18"/>
                <w:szCs w:val="18"/>
              </w:rPr>
            </w:pPr>
            <w:r w:rsidRPr="001829FC">
              <w:rPr>
                <w:rFonts w:ascii="Symbol" w:hAnsi="Symbol"/>
                <w:sz w:val="18"/>
                <w:szCs w:val="18"/>
              </w:rPr>
              <w:t></w:t>
            </w:r>
            <w:r w:rsidRPr="001829FC">
              <w:rPr>
                <w:rFonts w:ascii="Symbol" w:hAnsi="Symbol"/>
                <w:sz w:val="18"/>
                <w:szCs w:val="18"/>
              </w:rPr>
              <w:tab/>
            </w:r>
            <w:r w:rsidR="008D3187" w:rsidRPr="00306513">
              <w:rPr>
                <w:sz w:val="18"/>
                <w:szCs w:val="18"/>
              </w:rPr>
              <w:t>No. 99, up to and including Supplement 11</w:t>
            </w:r>
          </w:p>
          <w:p w14:paraId="1914BD47" w14:textId="25898521" w:rsidR="008D3187" w:rsidRPr="00306513" w:rsidRDefault="00306513" w:rsidP="00306513">
            <w:pPr>
              <w:spacing w:after="120"/>
              <w:ind w:left="375" w:hanging="284"/>
              <w:rPr>
                <w:sz w:val="18"/>
                <w:szCs w:val="18"/>
                <w:lang w:val="en-US"/>
              </w:rPr>
            </w:pPr>
            <w:r w:rsidRPr="00E25015">
              <w:rPr>
                <w:rFonts w:ascii="Symbol" w:hAnsi="Symbol"/>
                <w:sz w:val="18"/>
                <w:szCs w:val="18"/>
                <w:lang w:val="en-US"/>
              </w:rPr>
              <w:t></w:t>
            </w:r>
            <w:r w:rsidRPr="00E25015">
              <w:rPr>
                <w:rFonts w:ascii="Symbol" w:hAnsi="Symbol"/>
                <w:sz w:val="18"/>
                <w:szCs w:val="18"/>
                <w:lang w:val="en-US"/>
              </w:rPr>
              <w:tab/>
            </w:r>
            <w:r w:rsidR="008D3187" w:rsidRPr="00306513">
              <w:rPr>
                <w:sz w:val="18"/>
                <w:szCs w:val="18"/>
              </w:rPr>
              <w:t>No. 128, up to and including Supplement 5</w:t>
            </w:r>
          </w:p>
        </w:tc>
      </w:tr>
      <w:tr w:rsidR="008D3187" w:rsidRPr="00E760F7" w14:paraId="1F647AA2" w14:textId="77777777" w:rsidTr="0053058C">
        <w:tc>
          <w:tcPr>
            <w:tcW w:w="1082"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6F4FB196" w14:textId="77777777" w:rsidR="008D3187" w:rsidRPr="0094012C" w:rsidRDefault="008D3187" w:rsidP="008D3187">
            <w:pPr>
              <w:rPr>
                <w:b/>
                <w:sz w:val="18"/>
                <w:szCs w:val="18"/>
                <w:lang w:val="en-US"/>
              </w:rPr>
            </w:pPr>
            <w:r w:rsidRPr="0094012C">
              <w:rPr>
                <w:b/>
                <w:sz w:val="18"/>
                <w:szCs w:val="18"/>
                <w:lang w:val="en-US"/>
              </w:rPr>
              <w:t>[2]</w:t>
            </w:r>
          </w:p>
        </w:tc>
        <w:tc>
          <w:tcPr>
            <w:tcW w:w="1275"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5F5CBE7A" w14:textId="77777777" w:rsidR="008D3187" w:rsidRPr="0094012C" w:rsidRDefault="00742EB6" w:rsidP="008D3187">
            <w:pPr>
              <w:rPr>
                <w:b/>
                <w:sz w:val="18"/>
                <w:szCs w:val="18"/>
                <w:lang w:val="en-US"/>
              </w:rPr>
            </w:pPr>
            <w:r>
              <w:rPr>
                <w:b/>
                <w:sz w:val="18"/>
                <w:szCs w:val="18"/>
                <w:lang w:val="en-US"/>
              </w:rPr>
              <w:t>[2020</w:t>
            </w:r>
            <w:r w:rsidR="008D3187" w:rsidRPr="0094012C">
              <w:rPr>
                <w:b/>
                <w:sz w:val="18"/>
                <w:szCs w:val="18"/>
                <w:lang w:val="en-US"/>
              </w:rPr>
              <w:t>-xx-xx]</w:t>
            </w:r>
          </w:p>
        </w:tc>
        <w:tc>
          <w:tcPr>
            <w:tcW w:w="923"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0404393F" w14:textId="77777777" w:rsidR="008D3187" w:rsidRPr="0094012C" w:rsidRDefault="00D241BD" w:rsidP="008D3187">
            <w:pPr>
              <w:rPr>
                <w:b/>
                <w:sz w:val="18"/>
                <w:szCs w:val="18"/>
                <w:lang w:val="en-US"/>
              </w:rPr>
            </w:pPr>
            <w:r>
              <w:rPr>
                <w:b/>
                <w:sz w:val="18"/>
                <w:szCs w:val="18"/>
                <w:lang w:val="en-US"/>
              </w:rPr>
              <w:t>[180</w:t>
            </w:r>
            <w:r w:rsidR="008D3187" w:rsidRPr="0094012C">
              <w:rPr>
                <w:b/>
                <w:sz w:val="18"/>
                <w:szCs w:val="18"/>
                <w:lang w:val="en-US"/>
              </w:rPr>
              <w:t>]</w:t>
            </w:r>
          </w:p>
        </w:tc>
        <w:tc>
          <w:tcPr>
            <w:tcW w:w="2366" w:type="dxa"/>
            <w:tcBorders>
              <w:top w:val="single" w:sz="6" w:space="0" w:color="auto"/>
              <w:left w:val="single" w:sz="4" w:space="0" w:color="auto"/>
              <w:bottom w:val="single" w:sz="12" w:space="0" w:color="auto"/>
              <w:right w:val="single" w:sz="4" w:space="0" w:color="auto"/>
            </w:tcBorders>
          </w:tcPr>
          <w:p w14:paraId="3114E115" w14:textId="77777777" w:rsidR="008D3187" w:rsidRPr="0094012C" w:rsidRDefault="008D3187" w:rsidP="008D3187">
            <w:pPr>
              <w:rPr>
                <w:b/>
                <w:sz w:val="18"/>
                <w:szCs w:val="18"/>
                <w:lang w:val="en-US"/>
              </w:rPr>
            </w:pPr>
            <w:r w:rsidRPr="0094012C">
              <w:rPr>
                <w:b/>
                <w:sz w:val="18"/>
                <w:szCs w:val="18"/>
              </w:rPr>
              <w:t>[</w:t>
            </w:r>
            <w:r>
              <w:rPr>
                <w:b/>
                <w:sz w:val="18"/>
                <w:szCs w:val="18"/>
              </w:rPr>
              <w:t>ECE/TRANS/</w:t>
            </w:r>
            <w:r w:rsidR="00D241BD">
              <w:rPr>
                <w:b/>
                <w:sz w:val="18"/>
                <w:szCs w:val="18"/>
              </w:rPr>
              <w:t>WP.29/2020</w:t>
            </w:r>
            <w:r w:rsidRPr="0094012C">
              <w:rPr>
                <w:b/>
                <w:sz w:val="18"/>
                <w:szCs w:val="18"/>
              </w:rPr>
              <w:t>/xx]</w:t>
            </w:r>
          </w:p>
        </w:tc>
        <w:tc>
          <w:tcPr>
            <w:tcW w:w="3851"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090BA924" w14:textId="77777777" w:rsidR="008D3187" w:rsidRPr="00E760F7" w:rsidRDefault="00D241BD" w:rsidP="0034536E">
            <w:pPr>
              <w:spacing w:after="120"/>
              <w:rPr>
                <w:b/>
                <w:sz w:val="18"/>
                <w:szCs w:val="18"/>
                <w:lang w:val="en-US"/>
              </w:rPr>
            </w:pPr>
            <w:r w:rsidRPr="00D241BD">
              <w:rPr>
                <w:b/>
                <w:sz w:val="18"/>
                <w:szCs w:val="18"/>
                <w:lang w:val="en-US"/>
              </w:rPr>
              <w:t>Amendmen</w:t>
            </w:r>
            <w:r>
              <w:rPr>
                <w:b/>
                <w:sz w:val="18"/>
                <w:szCs w:val="18"/>
                <w:lang w:val="en-US"/>
              </w:rPr>
              <w:t>t to light source categories L1A/6 and L1B/6</w:t>
            </w:r>
            <w:r w:rsidRPr="00D241BD">
              <w:rPr>
                <w:b/>
                <w:sz w:val="18"/>
                <w:szCs w:val="18"/>
                <w:lang w:val="en-US"/>
              </w:rPr>
              <w:t xml:space="preserve"> as a pa</w:t>
            </w:r>
            <w:r>
              <w:rPr>
                <w:b/>
                <w:sz w:val="18"/>
                <w:szCs w:val="18"/>
                <w:lang w:val="en-US"/>
              </w:rPr>
              <w:t xml:space="preserve">ckage with </w:t>
            </w:r>
            <w:r w:rsidRPr="0053058C">
              <w:rPr>
                <w:b/>
                <w:sz w:val="18"/>
                <w:szCs w:val="18"/>
                <w:lang w:val="en-US"/>
              </w:rPr>
              <w:t>Supplement [10]</w:t>
            </w:r>
            <w:r w:rsidRPr="00D241BD">
              <w:rPr>
                <w:b/>
                <w:sz w:val="18"/>
                <w:szCs w:val="18"/>
                <w:lang w:val="en-US"/>
              </w:rPr>
              <w:t xml:space="preserve"> to Regulation No.128</w:t>
            </w:r>
          </w:p>
        </w:tc>
      </w:tr>
    </w:tbl>
    <w:p w14:paraId="6CC1674D" w14:textId="77777777" w:rsidR="00885908" w:rsidRPr="00E760F7" w:rsidRDefault="00885908" w:rsidP="00885908">
      <w:pPr>
        <w:ind w:left="1701" w:right="1134" w:hanging="567"/>
        <w:jc w:val="both"/>
        <w:rPr>
          <w:sz w:val="18"/>
        </w:rPr>
      </w:pPr>
      <w:r w:rsidRPr="00E760F7">
        <w:rPr>
          <w:sz w:val="18"/>
        </w:rPr>
        <w:t>*</w:t>
      </w:r>
      <w:r w:rsidRPr="00E760F7">
        <w:rPr>
          <w:sz w:val="18"/>
        </w:rPr>
        <w:tab/>
        <w:t>This date is the date of adoption of the amendment to the Resolution by WP.29 or the date of entering into force of an amendment to Regulation No. 37, 99 or 128 adopted by AC.1 as a package with the amendment to the Resolution in the same session of WP.29.</w:t>
      </w:r>
    </w:p>
    <w:p w14:paraId="52A4D5A1" w14:textId="77777777" w:rsidR="00885908" w:rsidRPr="00E760F7" w:rsidRDefault="0034536E" w:rsidP="00885908">
      <w:pPr>
        <w:ind w:left="8181" w:right="1134" w:firstLine="459"/>
        <w:jc w:val="both"/>
        <w:rPr>
          <w:sz w:val="18"/>
        </w:rPr>
      </w:pPr>
      <w:r>
        <w:rPr>
          <w:rFonts w:eastAsia="MS Mincho"/>
        </w:rPr>
        <w:t>"</w:t>
      </w:r>
    </w:p>
    <w:p w14:paraId="18A4679E" w14:textId="77777777" w:rsidR="00372546" w:rsidRPr="00372546" w:rsidRDefault="00372546" w:rsidP="00372546">
      <w:pPr>
        <w:keepNext/>
        <w:keepLines/>
        <w:spacing w:after="120"/>
        <w:ind w:leftChars="567" w:left="1134"/>
        <w:rPr>
          <w:rFonts w:eastAsia="MS Mincho"/>
        </w:rPr>
      </w:pPr>
      <w:r w:rsidRPr="00490313">
        <w:rPr>
          <w:rFonts w:eastAsia="MS Mincho"/>
          <w:i/>
          <w:lang w:eastAsia="ja-JP"/>
        </w:rPr>
        <w:t>Sheet L1/2</w:t>
      </w:r>
      <w:r w:rsidRPr="00490313">
        <w:rPr>
          <w:rFonts w:eastAsia="MS Mincho"/>
          <w:i/>
        </w:rPr>
        <w:t>, table,</w:t>
      </w:r>
      <w:r w:rsidRPr="00490313">
        <w:rPr>
          <w:rFonts w:eastAsia="MS Mincho"/>
        </w:rPr>
        <w:t xml:space="preserve"> amend</w:t>
      </w:r>
      <w:r w:rsidRPr="00372546">
        <w:rPr>
          <w:rFonts w:eastAsia="MS Mincho"/>
        </w:rPr>
        <w:t xml:space="preserve"> to read:</w:t>
      </w:r>
    </w:p>
    <w:p w14:paraId="7627E1FA" w14:textId="77777777" w:rsidR="00372546" w:rsidRPr="00372546" w:rsidRDefault="00372546" w:rsidP="00372546">
      <w:pPr>
        <w:keepNext/>
        <w:keepLines/>
        <w:spacing w:after="120"/>
        <w:ind w:leftChars="567" w:left="1134"/>
        <w:rPr>
          <w:rFonts w:eastAsia="MS Mincho"/>
        </w:rPr>
      </w:pPr>
      <w:r w:rsidRPr="00372546">
        <w:rPr>
          <w:rFonts w:eastAsia="MS Mincho"/>
        </w:rPr>
        <w:t>"…</w:t>
      </w:r>
    </w:p>
    <w:tbl>
      <w:tblPr>
        <w:tblStyle w:val="TableGrid210"/>
        <w:tblW w:w="0" w:type="auto"/>
        <w:tblInd w:w="257" w:type="dxa"/>
        <w:tblCellMar>
          <w:left w:w="115" w:type="dxa"/>
          <w:right w:w="115" w:type="dxa"/>
        </w:tblCellMar>
        <w:tblLook w:val="04A0" w:firstRow="1" w:lastRow="0" w:firstColumn="1" w:lastColumn="0" w:noHBand="0" w:noVBand="1"/>
      </w:tblPr>
      <w:tblGrid>
        <w:gridCol w:w="6083"/>
        <w:gridCol w:w="1689"/>
        <w:gridCol w:w="1600"/>
      </w:tblGrid>
      <w:tr w:rsidR="000960D4" w:rsidRPr="00491139" w14:paraId="12CE82BD" w14:textId="77777777" w:rsidTr="0034536E">
        <w:trPr>
          <w:trHeight w:val="213"/>
        </w:trPr>
        <w:tc>
          <w:tcPr>
            <w:tcW w:w="9372" w:type="dxa"/>
            <w:gridSpan w:val="3"/>
            <w:tcBorders>
              <w:top w:val="single" w:sz="12" w:space="0" w:color="auto"/>
              <w:bottom w:val="single" w:sz="12" w:space="0" w:color="auto"/>
            </w:tcBorders>
          </w:tcPr>
          <w:p w14:paraId="0BDC0593" w14:textId="77777777" w:rsidR="000960D4" w:rsidRPr="00491139" w:rsidRDefault="000960D4" w:rsidP="00A8787A">
            <w:pPr>
              <w:jc w:val="center"/>
              <w:rPr>
                <w:rFonts w:ascii="Times New Roman" w:eastAsia="Calibri" w:hAnsi="Times New Roman" w:cs="Times New Roman"/>
                <w:spacing w:val="-1"/>
                <w:sz w:val="16"/>
                <w:szCs w:val="16"/>
              </w:rPr>
            </w:pPr>
            <w:r w:rsidRPr="00491139">
              <w:rPr>
                <w:rFonts w:ascii="Times New Roman" w:eastAsia="Calibri" w:hAnsi="Times New Roman" w:cs="Times New Roman"/>
                <w:i/>
                <w:sz w:val="16"/>
                <w:szCs w:val="16"/>
                <w:lang w:eastAsia="de-DE"/>
              </w:rPr>
              <w:t>Characteristics of the light-emitting</w:t>
            </w:r>
            <w:r w:rsidR="008523C4" w:rsidRPr="00491139">
              <w:rPr>
                <w:rFonts w:ascii="Times New Roman" w:eastAsia="Calibri" w:hAnsi="Times New Roman" w:cs="Times New Roman"/>
                <w:i/>
                <w:sz w:val="16"/>
                <w:szCs w:val="16"/>
                <w:lang w:eastAsia="de-DE"/>
              </w:rPr>
              <w:t xml:space="preserve"> </w:t>
            </w:r>
            <w:r w:rsidRPr="00491139">
              <w:rPr>
                <w:rFonts w:ascii="Times New Roman" w:eastAsia="Calibri" w:hAnsi="Times New Roman" w:cs="Times New Roman"/>
                <w:i/>
                <w:sz w:val="16"/>
                <w:szCs w:val="16"/>
                <w:lang w:eastAsia="de-DE"/>
              </w:rPr>
              <w:t>area</w:t>
            </w:r>
          </w:p>
        </w:tc>
      </w:tr>
      <w:tr w:rsidR="000960D4" w:rsidRPr="00491139" w14:paraId="287ECDB9" w14:textId="77777777" w:rsidTr="003E0C2F">
        <w:trPr>
          <w:trHeight w:val="384"/>
        </w:trPr>
        <w:tc>
          <w:tcPr>
            <w:tcW w:w="6083" w:type="dxa"/>
            <w:tcBorders>
              <w:top w:val="single" w:sz="12" w:space="0" w:color="auto"/>
            </w:tcBorders>
          </w:tcPr>
          <w:p w14:paraId="177A5831" w14:textId="77777777" w:rsidR="000960D4" w:rsidRPr="00491139" w:rsidRDefault="000960D4" w:rsidP="00403CAC">
            <w:pPr>
              <w:spacing w:before="10"/>
              <w:rPr>
                <w:rFonts w:ascii="Times New Roman" w:eastAsia="Calibri" w:hAnsi="Times New Roman" w:cs="Times New Roman"/>
                <w:spacing w:val="-1"/>
                <w:sz w:val="18"/>
                <w:szCs w:val="18"/>
              </w:rPr>
            </w:pPr>
            <w:r w:rsidRPr="00491139">
              <w:rPr>
                <w:rFonts w:ascii="Times New Roman" w:eastAsia="Calibri" w:hAnsi="Times New Roman" w:cs="Times New Roman"/>
                <w:spacing w:val="-1"/>
                <w:sz w:val="18"/>
                <w:szCs w:val="18"/>
              </w:rPr>
              <w:t>Contrast</w:t>
            </w:r>
          </w:p>
        </w:tc>
        <w:tc>
          <w:tcPr>
            <w:tcW w:w="1689" w:type="dxa"/>
            <w:tcBorders>
              <w:top w:val="single" w:sz="12" w:space="0" w:color="auto"/>
            </w:tcBorders>
          </w:tcPr>
          <w:p w14:paraId="4B9606DF" w14:textId="77777777" w:rsidR="000960D4" w:rsidRPr="00491139" w:rsidRDefault="00A40BDD"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pacing w:val="-1"/>
                <w:sz w:val="18"/>
                <w:szCs w:val="18"/>
              </w:rPr>
              <w:t>200</w:t>
            </w:r>
            <w:r w:rsidR="000960D4" w:rsidRPr="00491139">
              <w:rPr>
                <w:rFonts w:ascii="Times New Roman" w:eastAsia="Calibri" w:hAnsi="Times New Roman" w:cs="Times New Roman"/>
                <w:spacing w:val="-1"/>
                <w:sz w:val="18"/>
                <w:szCs w:val="18"/>
              </w:rPr>
              <w:t xml:space="preserve"> min.</w:t>
            </w:r>
          </w:p>
        </w:tc>
        <w:tc>
          <w:tcPr>
            <w:tcW w:w="1600" w:type="dxa"/>
            <w:tcBorders>
              <w:top w:val="single" w:sz="12" w:space="0" w:color="auto"/>
            </w:tcBorders>
          </w:tcPr>
          <w:p w14:paraId="55928642" w14:textId="77777777" w:rsidR="000960D4" w:rsidRPr="00491139" w:rsidRDefault="00A40BDD"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200</w:t>
            </w:r>
            <w:r w:rsidR="000960D4" w:rsidRPr="00491139">
              <w:rPr>
                <w:rFonts w:ascii="Times New Roman" w:eastAsia="Calibri" w:hAnsi="Times New Roman" w:cs="Times New Roman"/>
                <w:sz w:val="18"/>
                <w:szCs w:val="18"/>
              </w:rPr>
              <w:t xml:space="preserve"> min.</w:t>
            </w:r>
          </w:p>
          <w:p w14:paraId="7135655E" w14:textId="77777777" w:rsidR="0041729A" w:rsidRPr="00491139" w:rsidRDefault="00A40BDD"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400</w:t>
            </w:r>
            <w:r w:rsidR="0041729A" w:rsidRPr="00491139">
              <w:rPr>
                <w:rFonts w:ascii="Times New Roman" w:eastAsia="Calibri" w:hAnsi="Times New Roman" w:cs="Times New Roman"/>
                <w:sz w:val="18"/>
                <w:szCs w:val="18"/>
              </w:rPr>
              <w:t xml:space="preserve"> max.</w:t>
            </w:r>
          </w:p>
        </w:tc>
      </w:tr>
      <w:tr w:rsidR="000960D4" w:rsidRPr="00491139" w14:paraId="6DB1C789" w14:textId="77777777" w:rsidTr="003E0C2F">
        <w:tc>
          <w:tcPr>
            <w:tcW w:w="6083" w:type="dxa"/>
          </w:tcPr>
          <w:p w14:paraId="23A6EE60" w14:textId="77777777" w:rsidR="000960D4" w:rsidRPr="00491139" w:rsidRDefault="000960D4" w:rsidP="00403CAC">
            <w:pPr>
              <w:autoSpaceDE w:val="0"/>
              <w:autoSpaceDN w:val="0"/>
              <w:spacing w:before="40" w:after="40"/>
              <w:rPr>
                <w:rFonts w:ascii="Times New Roman" w:eastAsia="Calibri" w:hAnsi="Times New Roman" w:cs="Times New Roman"/>
                <w:spacing w:val="-1"/>
                <w:sz w:val="18"/>
                <w:szCs w:val="18"/>
              </w:rPr>
            </w:pPr>
            <w:r w:rsidRPr="00491139">
              <w:rPr>
                <w:rFonts w:ascii="Times New Roman" w:eastAsia="Calibri" w:hAnsi="Times New Roman" w:cs="Times New Roman"/>
                <w:spacing w:val="-1"/>
                <w:sz w:val="18"/>
                <w:szCs w:val="18"/>
              </w:rPr>
              <w:t xml:space="preserve">Size of light emitting area in relation to size of nominal emitter box </w:t>
            </w:r>
            <w:r w:rsidRPr="00491139">
              <w:rPr>
                <w:rFonts w:ascii="Times New Roman" w:eastAsia="Calibri" w:hAnsi="Times New Roman" w:cs="Times New Roman"/>
                <w:spacing w:val="-1"/>
                <w:sz w:val="18"/>
                <w:szCs w:val="18"/>
                <w:vertAlign w:val="superscript"/>
              </w:rPr>
              <w:t>3</w:t>
            </w:r>
          </w:p>
        </w:tc>
        <w:tc>
          <w:tcPr>
            <w:tcW w:w="1689" w:type="dxa"/>
          </w:tcPr>
          <w:p w14:paraId="5613AD3E" w14:textId="77777777" w:rsidR="000960D4" w:rsidRPr="00491139" w:rsidRDefault="000960D4" w:rsidP="00403CAC">
            <w:pPr>
              <w:spacing w:before="10"/>
              <w:jc w:val="center"/>
              <w:rPr>
                <w:rFonts w:ascii="Times New Roman" w:eastAsia="Calibri" w:hAnsi="Times New Roman" w:cs="Times New Roman"/>
                <w:spacing w:val="-1"/>
                <w:sz w:val="18"/>
                <w:szCs w:val="18"/>
              </w:rPr>
            </w:pPr>
            <w:r w:rsidRPr="00491139">
              <w:rPr>
                <w:rFonts w:ascii="Times New Roman" w:eastAsia="Calibri" w:hAnsi="Times New Roman" w:cs="Times New Roman"/>
                <w:spacing w:val="-1"/>
                <w:sz w:val="18"/>
                <w:szCs w:val="18"/>
              </w:rPr>
              <w:t>75% min.</w:t>
            </w:r>
          </w:p>
        </w:tc>
        <w:tc>
          <w:tcPr>
            <w:tcW w:w="1600" w:type="dxa"/>
          </w:tcPr>
          <w:p w14:paraId="4BEA1198" w14:textId="77777777"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pacing w:val="-1"/>
                <w:sz w:val="18"/>
                <w:szCs w:val="18"/>
              </w:rPr>
              <w:t>75% min.</w:t>
            </w:r>
          </w:p>
        </w:tc>
      </w:tr>
      <w:tr w:rsidR="000960D4" w:rsidRPr="00491139" w14:paraId="1762CABC" w14:textId="77777777" w:rsidTr="003E0C2F">
        <w:tc>
          <w:tcPr>
            <w:tcW w:w="6083" w:type="dxa"/>
            <w:tcBorders>
              <w:bottom w:val="single" w:sz="4" w:space="0" w:color="auto"/>
            </w:tcBorders>
          </w:tcPr>
          <w:p w14:paraId="5840D25F" w14:textId="77777777" w:rsidR="000960D4" w:rsidRPr="00A8787A" w:rsidRDefault="000960D4" w:rsidP="00403CAC">
            <w:pPr>
              <w:spacing w:before="10"/>
              <w:rPr>
                <w:rFonts w:ascii="Times New Roman" w:eastAsia="Calibri" w:hAnsi="Times New Roman" w:cs="Times New Roman"/>
                <w:spacing w:val="-6"/>
                <w:sz w:val="18"/>
                <w:szCs w:val="18"/>
              </w:rPr>
            </w:pPr>
            <w:r w:rsidRPr="00A8787A">
              <w:rPr>
                <w:rFonts w:ascii="Times New Roman" w:eastAsia="Calibri" w:hAnsi="Times New Roman" w:cs="Times New Roman"/>
                <w:spacing w:val="-6"/>
                <w:sz w:val="18"/>
                <w:szCs w:val="18"/>
              </w:rPr>
              <w:t>Uniformity R</w:t>
            </w:r>
            <w:r w:rsidRPr="00A8787A">
              <w:rPr>
                <w:rFonts w:ascii="Times New Roman" w:eastAsia="Calibri" w:hAnsi="Times New Roman" w:cs="Times New Roman"/>
                <w:spacing w:val="-6"/>
                <w:sz w:val="18"/>
                <w:szCs w:val="18"/>
                <w:vertAlign w:val="subscript"/>
              </w:rPr>
              <w:t>0.1</w:t>
            </w:r>
            <w:r w:rsidRPr="00A8787A">
              <w:rPr>
                <w:rFonts w:ascii="Times New Roman" w:eastAsia="Calibri" w:hAnsi="Times New Roman" w:cs="Times New Roman"/>
                <w:spacing w:val="-6"/>
                <w:sz w:val="18"/>
                <w:szCs w:val="18"/>
              </w:rPr>
              <w:t xml:space="preserve"> – surface ratio with luminance exceeding 10% of average luminance</w:t>
            </w:r>
          </w:p>
        </w:tc>
        <w:tc>
          <w:tcPr>
            <w:tcW w:w="1689" w:type="dxa"/>
            <w:tcBorders>
              <w:bottom w:val="single" w:sz="4" w:space="0" w:color="auto"/>
            </w:tcBorders>
          </w:tcPr>
          <w:p w14:paraId="49D36D3D" w14:textId="77777777"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pacing w:val="-1"/>
                <w:sz w:val="18"/>
                <w:szCs w:val="18"/>
              </w:rPr>
              <w:t>75% min.</w:t>
            </w:r>
          </w:p>
        </w:tc>
        <w:tc>
          <w:tcPr>
            <w:tcW w:w="1600" w:type="dxa"/>
            <w:tcBorders>
              <w:bottom w:val="single" w:sz="4" w:space="0" w:color="auto"/>
            </w:tcBorders>
          </w:tcPr>
          <w:p w14:paraId="4F12981F" w14:textId="77777777" w:rsidR="000960D4" w:rsidRPr="00491139" w:rsidRDefault="000960D4" w:rsidP="00403CAC">
            <w:pPr>
              <w:spacing w:before="10"/>
              <w:jc w:val="center"/>
              <w:rPr>
                <w:rFonts w:ascii="Times New Roman" w:eastAsia="Calibri" w:hAnsi="Times New Roman" w:cs="Times New Roman"/>
                <w:sz w:val="18"/>
                <w:szCs w:val="18"/>
              </w:rPr>
            </w:pPr>
            <w:r w:rsidRPr="00491139">
              <w:rPr>
                <w:rFonts w:ascii="Times New Roman" w:eastAsia="Calibri" w:hAnsi="Times New Roman" w:cs="Times New Roman"/>
                <w:sz w:val="18"/>
                <w:szCs w:val="18"/>
              </w:rPr>
              <w:t>85</w:t>
            </w:r>
            <w:r w:rsidRPr="00491139">
              <w:rPr>
                <w:rFonts w:ascii="Times New Roman" w:eastAsia="Calibri" w:hAnsi="Times New Roman" w:cs="Times New Roman"/>
                <w:spacing w:val="-1"/>
                <w:sz w:val="18"/>
                <w:szCs w:val="18"/>
              </w:rPr>
              <w:t>% min.</w:t>
            </w:r>
          </w:p>
        </w:tc>
      </w:tr>
      <w:tr w:rsidR="003E0C2F" w:rsidRPr="00491139" w14:paraId="1873AB9B" w14:textId="77777777" w:rsidTr="003E0C2F">
        <w:tc>
          <w:tcPr>
            <w:tcW w:w="6083" w:type="dxa"/>
            <w:tcBorders>
              <w:bottom w:val="single" w:sz="4" w:space="0" w:color="auto"/>
            </w:tcBorders>
          </w:tcPr>
          <w:p w14:paraId="4408503C" w14:textId="77777777" w:rsidR="003E0C2F" w:rsidRPr="00A8787A" w:rsidRDefault="003E0C2F" w:rsidP="00403CAC">
            <w:pPr>
              <w:spacing w:before="10"/>
              <w:rPr>
                <w:rFonts w:eastAsia="Calibri"/>
                <w:spacing w:val="-6"/>
                <w:sz w:val="18"/>
                <w:szCs w:val="18"/>
              </w:rPr>
            </w:pPr>
            <w:r w:rsidRPr="00A8787A">
              <w:rPr>
                <w:rFonts w:ascii="Times New Roman" w:eastAsia="Calibri" w:hAnsi="Times New Roman" w:cs="Times New Roman"/>
                <w:spacing w:val="-6"/>
                <w:sz w:val="18"/>
                <w:szCs w:val="18"/>
              </w:rPr>
              <w:t>Uniformity R</w:t>
            </w:r>
            <w:r w:rsidRPr="00A8787A">
              <w:rPr>
                <w:rFonts w:ascii="Times New Roman" w:eastAsia="Calibri" w:hAnsi="Times New Roman" w:cs="Times New Roman"/>
                <w:spacing w:val="-6"/>
                <w:sz w:val="18"/>
                <w:szCs w:val="18"/>
                <w:vertAlign w:val="subscript"/>
              </w:rPr>
              <w:t>0.7</w:t>
            </w:r>
            <w:r w:rsidRPr="00A8787A">
              <w:rPr>
                <w:rFonts w:ascii="Times New Roman" w:eastAsia="Calibri" w:hAnsi="Times New Roman" w:cs="Times New Roman"/>
                <w:spacing w:val="-6"/>
                <w:sz w:val="18"/>
                <w:szCs w:val="18"/>
              </w:rPr>
              <w:t xml:space="preserve"> – surface ratio with luminance exceeding 70% of average luminance</w:t>
            </w:r>
          </w:p>
        </w:tc>
        <w:tc>
          <w:tcPr>
            <w:tcW w:w="1689" w:type="dxa"/>
            <w:tcBorders>
              <w:bottom w:val="single" w:sz="4" w:space="0" w:color="auto"/>
            </w:tcBorders>
          </w:tcPr>
          <w:p w14:paraId="0DFAE1A5" w14:textId="77777777" w:rsidR="003E0C2F" w:rsidRPr="00491139" w:rsidRDefault="003E0C2F" w:rsidP="00403CAC">
            <w:pPr>
              <w:spacing w:before="10"/>
              <w:jc w:val="center"/>
              <w:rPr>
                <w:rFonts w:eastAsia="Calibri"/>
                <w:spacing w:val="-1"/>
                <w:sz w:val="18"/>
                <w:szCs w:val="18"/>
              </w:rPr>
            </w:pPr>
            <w:r w:rsidRPr="00491139">
              <w:rPr>
                <w:rFonts w:ascii="Times New Roman" w:eastAsia="Calibri" w:hAnsi="Times New Roman" w:cs="Times New Roman"/>
                <w:spacing w:val="-1"/>
                <w:sz w:val="18"/>
                <w:szCs w:val="18"/>
              </w:rPr>
              <w:t>55% min.</w:t>
            </w:r>
          </w:p>
        </w:tc>
        <w:tc>
          <w:tcPr>
            <w:tcW w:w="1600" w:type="dxa"/>
            <w:tcBorders>
              <w:bottom w:val="single" w:sz="4" w:space="0" w:color="auto"/>
            </w:tcBorders>
          </w:tcPr>
          <w:p w14:paraId="6CAF343B" w14:textId="77777777" w:rsidR="003E0C2F" w:rsidRPr="00491139" w:rsidRDefault="003E0C2F" w:rsidP="00403CAC">
            <w:pPr>
              <w:spacing w:before="10"/>
              <w:jc w:val="center"/>
              <w:rPr>
                <w:rFonts w:eastAsia="Calibri"/>
                <w:sz w:val="18"/>
                <w:szCs w:val="18"/>
              </w:rPr>
            </w:pPr>
            <w:r w:rsidRPr="00491139">
              <w:rPr>
                <w:rFonts w:ascii="Times New Roman" w:eastAsia="Calibri" w:hAnsi="Times New Roman" w:cs="Times New Roman"/>
                <w:spacing w:val="-1"/>
                <w:sz w:val="18"/>
                <w:szCs w:val="18"/>
              </w:rPr>
              <w:t>65% min.</w:t>
            </w:r>
          </w:p>
        </w:tc>
      </w:tr>
      <w:tr w:rsidR="003E0C2F" w:rsidRPr="00491139" w14:paraId="2E075B16" w14:textId="77777777" w:rsidTr="003E0C2F">
        <w:tc>
          <w:tcPr>
            <w:tcW w:w="6083" w:type="dxa"/>
            <w:tcBorders>
              <w:top w:val="single" w:sz="4" w:space="0" w:color="auto"/>
              <w:bottom w:val="single" w:sz="12" w:space="0" w:color="auto"/>
            </w:tcBorders>
          </w:tcPr>
          <w:p w14:paraId="288B09A4" w14:textId="77777777" w:rsidR="003E0C2F" w:rsidRPr="003E0C2F" w:rsidRDefault="005514A3" w:rsidP="003E0C2F">
            <w:pPr>
              <w:spacing w:before="10"/>
              <w:rPr>
                <w:rFonts w:eastAsia="Calibri"/>
                <w:b/>
                <w:spacing w:val="-6"/>
                <w:sz w:val="18"/>
                <w:szCs w:val="18"/>
              </w:rPr>
            </w:pPr>
            <w:r>
              <w:rPr>
                <w:rFonts w:ascii="Times New Roman" w:eastAsia="Calibri" w:hAnsi="Times New Roman" w:cs="Times New Roman"/>
                <w:b/>
                <w:spacing w:val="-6"/>
                <w:sz w:val="18"/>
                <w:szCs w:val="18"/>
              </w:rPr>
              <w:t xml:space="preserve">Maximum </w:t>
            </w:r>
            <w:r w:rsidR="006B1FE7">
              <w:rPr>
                <w:rFonts w:ascii="Times New Roman" w:eastAsia="Calibri" w:hAnsi="Times New Roman" w:cs="Times New Roman"/>
                <w:b/>
                <w:spacing w:val="-6"/>
                <w:sz w:val="18"/>
                <w:szCs w:val="18"/>
              </w:rPr>
              <w:t>l</w:t>
            </w:r>
            <w:r w:rsidR="003E0C2F" w:rsidRPr="003E0C2F">
              <w:rPr>
                <w:rFonts w:ascii="Times New Roman" w:eastAsia="Calibri" w:hAnsi="Times New Roman" w:cs="Times New Roman"/>
                <w:b/>
                <w:spacing w:val="-6"/>
                <w:sz w:val="18"/>
                <w:szCs w:val="18"/>
              </w:rPr>
              <w:t>uminance gradient</w:t>
            </w:r>
            <w:r w:rsidR="003E0C2F" w:rsidRPr="003E0C2F">
              <w:rPr>
                <w:rFonts w:eastAsia="Calibri"/>
                <w:b/>
                <w:spacing w:val="-6"/>
                <w:sz w:val="18"/>
                <w:szCs w:val="18"/>
              </w:rPr>
              <w:t xml:space="preserve"> </w:t>
            </w:r>
            <w:r w:rsidR="003E0C2F" w:rsidRPr="003E0C2F">
              <w:rPr>
                <w:rStyle w:val="fontstyle01"/>
                <w:rFonts w:ascii="Times New Roman" w:hAnsi="Times New Roman" w:cs="Times New Roman"/>
                <w:b/>
                <w:sz w:val="18"/>
                <w:szCs w:val="18"/>
              </w:rPr>
              <w:t>G</w:t>
            </w:r>
            <w:r w:rsidR="003E0C2F" w:rsidRPr="003E0C2F">
              <w:rPr>
                <w:rStyle w:val="fontstyle01"/>
                <w:rFonts w:ascii="Times New Roman" w:hAnsi="Times New Roman" w:cs="Times New Roman"/>
                <w:b/>
                <w:sz w:val="18"/>
                <w:szCs w:val="18"/>
                <w:vertAlign w:val="subscript"/>
              </w:rPr>
              <w:t>50</w:t>
            </w:r>
            <w:r w:rsidR="003E0C2F" w:rsidRPr="003E0C2F">
              <w:rPr>
                <w:rStyle w:val="fontstyle01"/>
                <w:rFonts w:ascii="Symbol" w:hAnsi="Symbol"/>
                <w:b/>
                <w:sz w:val="18"/>
                <w:szCs w:val="18"/>
                <w:vertAlign w:val="subscript"/>
              </w:rPr>
              <w:t></w:t>
            </w:r>
            <w:r w:rsidR="003E0C2F" w:rsidRPr="003E0C2F">
              <w:rPr>
                <w:rStyle w:val="fontstyle01"/>
                <w:rFonts w:ascii="Times New Roman" w:hAnsi="Times New Roman" w:cs="Times New Roman"/>
                <w:b/>
                <w:sz w:val="18"/>
                <w:szCs w:val="18"/>
                <w:vertAlign w:val="subscript"/>
              </w:rPr>
              <w:t>m,max</w:t>
            </w:r>
            <w:r w:rsidR="003E0C2F" w:rsidRPr="003E0C2F">
              <w:rPr>
                <w:rStyle w:val="fontstyle01"/>
                <w:b/>
                <w:vertAlign w:val="subscript"/>
              </w:rPr>
              <w:t xml:space="preserve"> </w:t>
            </w:r>
            <w:r w:rsidR="003E0C2F" w:rsidRPr="003E0C2F">
              <w:rPr>
                <w:rFonts w:ascii="Times New Roman" w:eastAsia="Calibri" w:hAnsi="Times New Roman" w:cs="Times New Roman"/>
                <w:b/>
                <w:spacing w:val="-6"/>
                <w:sz w:val="18"/>
                <w:szCs w:val="18"/>
              </w:rPr>
              <w:t xml:space="preserve">on the "Cut-off" generating side </w:t>
            </w:r>
            <w:r w:rsidR="003E0C2F" w:rsidRPr="003E0C2F">
              <w:rPr>
                <w:rFonts w:ascii="Times New Roman" w:eastAsia="Calibri" w:hAnsi="Times New Roman" w:cs="Times New Roman"/>
                <w:b/>
                <w:spacing w:val="-6"/>
                <w:sz w:val="18"/>
                <w:szCs w:val="18"/>
                <w:vertAlign w:val="superscript"/>
              </w:rPr>
              <w:t>11</w:t>
            </w:r>
          </w:p>
        </w:tc>
        <w:tc>
          <w:tcPr>
            <w:tcW w:w="1689" w:type="dxa"/>
            <w:tcBorders>
              <w:top w:val="single" w:sz="4" w:space="0" w:color="auto"/>
              <w:bottom w:val="single" w:sz="12" w:space="0" w:color="auto"/>
            </w:tcBorders>
          </w:tcPr>
          <w:p w14:paraId="78FD921F" w14:textId="77777777" w:rsidR="003E0C2F" w:rsidRPr="003E0C2F" w:rsidRDefault="003E0C2F" w:rsidP="003E0C2F">
            <w:pPr>
              <w:spacing w:before="10"/>
              <w:jc w:val="center"/>
              <w:rPr>
                <w:rFonts w:eastAsia="Calibri"/>
                <w:b/>
                <w:spacing w:val="-1"/>
                <w:sz w:val="18"/>
                <w:szCs w:val="18"/>
              </w:rPr>
            </w:pPr>
            <w:r>
              <w:rPr>
                <w:rFonts w:ascii="Times New Roman" w:eastAsia="Calibri" w:hAnsi="Times New Roman" w:cs="Times New Roman"/>
                <w:b/>
                <w:spacing w:val="-1"/>
                <w:sz w:val="18"/>
                <w:szCs w:val="18"/>
              </w:rPr>
              <w:t>0.</w:t>
            </w:r>
            <w:r w:rsidRPr="003E0C2F">
              <w:rPr>
                <w:rFonts w:ascii="Times New Roman" w:eastAsia="Calibri" w:hAnsi="Times New Roman" w:cs="Times New Roman"/>
                <w:b/>
                <w:spacing w:val="-1"/>
                <w:sz w:val="18"/>
                <w:szCs w:val="18"/>
              </w:rPr>
              <w:t>20 min.</w:t>
            </w:r>
          </w:p>
        </w:tc>
        <w:tc>
          <w:tcPr>
            <w:tcW w:w="1600" w:type="dxa"/>
            <w:tcBorders>
              <w:top w:val="single" w:sz="4" w:space="0" w:color="auto"/>
              <w:bottom w:val="single" w:sz="12" w:space="0" w:color="auto"/>
            </w:tcBorders>
          </w:tcPr>
          <w:p w14:paraId="32DB9C49" w14:textId="77777777" w:rsidR="003E0C2F" w:rsidRPr="003E0C2F" w:rsidRDefault="00F72922" w:rsidP="003E0C2F">
            <w:pPr>
              <w:spacing w:before="10"/>
              <w:jc w:val="center"/>
              <w:rPr>
                <w:rFonts w:eastAsia="Calibri"/>
                <w:b/>
                <w:spacing w:val="-1"/>
                <w:sz w:val="18"/>
                <w:szCs w:val="18"/>
              </w:rPr>
            </w:pPr>
            <w:r>
              <w:rPr>
                <w:rFonts w:ascii="Times New Roman" w:eastAsia="Calibri" w:hAnsi="Times New Roman" w:cs="Times New Roman"/>
                <w:b/>
                <w:spacing w:val="-1"/>
                <w:sz w:val="18"/>
                <w:szCs w:val="18"/>
              </w:rPr>
              <w:t>0.</w:t>
            </w:r>
            <w:r w:rsidR="003E0C2F" w:rsidRPr="003E0C2F">
              <w:rPr>
                <w:rFonts w:ascii="Times New Roman" w:eastAsia="Calibri" w:hAnsi="Times New Roman" w:cs="Times New Roman"/>
                <w:b/>
                <w:spacing w:val="-1"/>
                <w:sz w:val="18"/>
                <w:szCs w:val="18"/>
              </w:rPr>
              <w:t>20 min.</w:t>
            </w:r>
          </w:p>
        </w:tc>
      </w:tr>
      <w:tr w:rsidR="003E0C2F" w:rsidRPr="00491139" w14:paraId="4A97D6E8" w14:textId="77777777" w:rsidTr="00A8787A">
        <w:trPr>
          <w:trHeight w:val="249"/>
        </w:trPr>
        <w:tc>
          <w:tcPr>
            <w:tcW w:w="9372" w:type="dxa"/>
            <w:gridSpan w:val="3"/>
            <w:tcBorders>
              <w:top w:val="single" w:sz="12" w:space="0" w:color="auto"/>
              <w:bottom w:val="single" w:sz="12" w:space="0" w:color="auto"/>
            </w:tcBorders>
          </w:tcPr>
          <w:p w14:paraId="6B3E282B" w14:textId="77777777" w:rsidR="003E0C2F" w:rsidRPr="00491139" w:rsidRDefault="003E0C2F" w:rsidP="003E0C2F">
            <w:pPr>
              <w:jc w:val="center"/>
              <w:rPr>
                <w:rFonts w:ascii="Times New Roman" w:eastAsia="Calibri" w:hAnsi="Times New Roman" w:cs="Times New Roman"/>
                <w:spacing w:val="-1"/>
                <w:sz w:val="18"/>
                <w:szCs w:val="18"/>
              </w:rPr>
            </w:pPr>
            <w:r w:rsidRPr="00491139">
              <w:rPr>
                <w:rFonts w:ascii="Times New Roman" w:eastAsia="Calibri" w:hAnsi="Times New Roman" w:cs="Times New Roman"/>
                <w:i/>
                <w:sz w:val="16"/>
                <w:szCs w:val="16"/>
                <w:lang w:eastAsia="de-DE"/>
              </w:rPr>
              <w:t>Specific thermal test conditions</w:t>
            </w:r>
          </w:p>
        </w:tc>
      </w:tr>
      <w:tr w:rsidR="003E0C2F" w:rsidRPr="00491139" w14:paraId="0A4F6F37" w14:textId="77777777" w:rsidTr="003E0C2F">
        <w:tc>
          <w:tcPr>
            <w:tcW w:w="6083" w:type="dxa"/>
            <w:tcBorders>
              <w:top w:val="single" w:sz="12" w:space="0" w:color="auto"/>
              <w:bottom w:val="single" w:sz="12" w:space="0" w:color="auto"/>
            </w:tcBorders>
          </w:tcPr>
          <w:p w14:paraId="3E1C61AA" w14:textId="77777777" w:rsidR="003E0C2F" w:rsidRPr="00491139" w:rsidRDefault="003E0C2F" w:rsidP="003E0C2F">
            <w:pPr>
              <w:spacing w:before="10"/>
              <w:rPr>
                <w:rFonts w:ascii="Times New Roman" w:eastAsia="Calibri" w:hAnsi="Times New Roman" w:cs="Times New Roman"/>
                <w:spacing w:val="-1"/>
                <w:sz w:val="18"/>
                <w:szCs w:val="18"/>
              </w:rPr>
            </w:pPr>
            <w:r w:rsidRPr="00491139">
              <w:rPr>
                <w:rFonts w:ascii="Times New Roman" w:eastAsia="Calibri" w:hAnsi="Times New Roman" w:cs="Times New Roman"/>
                <w:spacing w:val="-1"/>
                <w:sz w:val="18"/>
                <w:szCs w:val="18"/>
              </w:rPr>
              <w:t>Maximum test temperature</w:t>
            </w:r>
          </w:p>
        </w:tc>
        <w:tc>
          <w:tcPr>
            <w:tcW w:w="1689" w:type="dxa"/>
            <w:tcBorders>
              <w:top w:val="single" w:sz="12" w:space="0" w:color="auto"/>
              <w:bottom w:val="single" w:sz="12" w:space="0" w:color="auto"/>
            </w:tcBorders>
          </w:tcPr>
          <w:p w14:paraId="61DB995D" w14:textId="77777777" w:rsidR="003E0C2F" w:rsidRPr="00491139" w:rsidRDefault="003E0C2F" w:rsidP="003E0C2F">
            <w:pPr>
              <w:spacing w:before="10"/>
              <w:jc w:val="center"/>
              <w:rPr>
                <w:rFonts w:ascii="Times New Roman" w:eastAsia="Calibri" w:hAnsi="Times New Roman" w:cs="Times New Roman"/>
                <w:spacing w:val="-1"/>
                <w:sz w:val="18"/>
                <w:szCs w:val="18"/>
              </w:rPr>
            </w:pPr>
            <w:r w:rsidRPr="003E0C2F">
              <w:rPr>
                <w:rFonts w:ascii="Times New Roman" w:eastAsia="Calibri" w:hAnsi="Times New Roman" w:cs="Times New Roman"/>
                <w:spacing w:val="-1"/>
                <w:sz w:val="18"/>
                <w:szCs w:val="18"/>
              </w:rPr>
              <w:t>…</w:t>
            </w:r>
          </w:p>
        </w:tc>
        <w:tc>
          <w:tcPr>
            <w:tcW w:w="1600" w:type="dxa"/>
            <w:tcBorders>
              <w:top w:val="single" w:sz="12" w:space="0" w:color="auto"/>
              <w:bottom w:val="single" w:sz="12" w:space="0" w:color="auto"/>
            </w:tcBorders>
          </w:tcPr>
          <w:p w14:paraId="4097601F" w14:textId="77777777" w:rsidR="003E0C2F" w:rsidRPr="00491139" w:rsidRDefault="003E0C2F" w:rsidP="003E0C2F">
            <w:pPr>
              <w:spacing w:before="10"/>
              <w:jc w:val="center"/>
              <w:rPr>
                <w:rFonts w:ascii="Times New Roman" w:eastAsia="Calibri" w:hAnsi="Times New Roman" w:cs="Times New Roman"/>
                <w:spacing w:val="-1"/>
                <w:sz w:val="18"/>
                <w:szCs w:val="18"/>
              </w:rPr>
            </w:pPr>
            <w:r w:rsidRPr="003E0C2F">
              <w:rPr>
                <w:rFonts w:ascii="Times New Roman" w:eastAsia="Calibri" w:hAnsi="Times New Roman" w:cs="Times New Roman"/>
                <w:spacing w:val="-1"/>
                <w:sz w:val="18"/>
                <w:szCs w:val="18"/>
              </w:rPr>
              <w:t>…</w:t>
            </w:r>
          </w:p>
        </w:tc>
      </w:tr>
    </w:tbl>
    <w:p w14:paraId="246A3E50" w14:textId="77777777" w:rsidR="000960D4" w:rsidRPr="00491139" w:rsidRDefault="000960D4" w:rsidP="0034536E">
      <w:pPr>
        <w:widowControl w:val="0"/>
        <w:spacing w:before="60"/>
        <w:ind w:right="1134"/>
        <w:rPr>
          <w:b/>
          <w:sz w:val="18"/>
          <w:szCs w:val="18"/>
        </w:rPr>
      </w:pPr>
      <w:bookmarkStart w:id="0" w:name="Failure_condition_behaviour:"/>
      <w:bookmarkEnd w:id="0"/>
      <w:r w:rsidRPr="00491139">
        <w:rPr>
          <w:b/>
          <w:sz w:val="18"/>
          <w:szCs w:val="18"/>
        </w:rPr>
        <w:t>Notes</w:t>
      </w:r>
      <w:r w:rsidR="00E15E3D" w:rsidRPr="00491139">
        <w:rPr>
          <w:b/>
          <w:sz w:val="18"/>
          <w:szCs w:val="18"/>
        </w:rPr>
        <w:t>:</w:t>
      </w:r>
    </w:p>
    <w:p w14:paraId="1AE558C8" w14:textId="77777777" w:rsidR="000960D4" w:rsidRPr="00491139" w:rsidRDefault="000960D4" w:rsidP="0033713D">
      <w:pPr>
        <w:widowControl w:val="0"/>
        <w:ind w:left="284" w:right="141" w:hanging="142"/>
        <w:jc w:val="both"/>
        <w:rPr>
          <w:spacing w:val="-1"/>
          <w:sz w:val="18"/>
          <w:szCs w:val="18"/>
        </w:rPr>
      </w:pPr>
      <w:r w:rsidRPr="00491139">
        <w:rPr>
          <w:spacing w:val="-1"/>
          <w:sz w:val="18"/>
          <w:szCs w:val="18"/>
          <w:vertAlign w:val="superscript"/>
        </w:rPr>
        <w:t xml:space="preserve">1 </w:t>
      </w:r>
      <w:r w:rsidRPr="00491139">
        <w:rPr>
          <w:spacing w:val="-1"/>
          <w:sz w:val="18"/>
          <w:szCs w:val="18"/>
        </w:rPr>
        <w:t>The</w:t>
      </w:r>
      <w:r w:rsidRPr="00491139">
        <w:rPr>
          <w:sz w:val="18"/>
          <w:szCs w:val="18"/>
        </w:rPr>
        <w:t xml:space="preserve"> </w:t>
      </w:r>
      <w:r w:rsidRPr="00491139">
        <w:rPr>
          <w:spacing w:val="-1"/>
          <w:sz w:val="18"/>
          <w:szCs w:val="18"/>
        </w:rPr>
        <w:t>reference plane</w:t>
      </w:r>
      <w:r w:rsidRPr="00491139">
        <w:rPr>
          <w:sz w:val="18"/>
          <w:szCs w:val="18"/>
        </w:rPr>
        <w:t xml:space="preserve"> is defined on</w:t>
      </w:r>
      <w:r w:rsidRPr="00491139">
        <w:rPr>
          <w:spacing w:val="-1"/>
          <w:sz w:val="18"/>
          <w:szCs w:val="18"/>
        </w:rPr>
        <w:t xml:space="preserve"> </w:t>
      </w:r>
      <w:r w:rsidRPr="00491139">
        <w:rPr>
          <w:sz w:val="18"/>
          <w:szCs w:val="18"/>
        </w:rPr>
        <w:t>the</w:t>
      </w:r>
      <w:r w:rsidRPr="00491139">
        <w:rPr>
          <w:spacing w:val="-1"/>
          <w:sz w:val="18"/>
          <w:szCs w:val="18"/>
        </w:rPr>
        <w:t xml:space="preserve"> cap and holder fit system according the IEC Publication 60061.</w:t>
      </w:r>
    </w:p>
    <w:p w14:paraId="6B8BC2B3" w14:textId="77777777" w:rsidR="000960D4" w:rsidRPr="00491139" w:rsidRDefault="000960D4" w:rsidP="0033713D">
      <w:pPr>
        <w:widowControl w:val="0"/>
        <w:ind w:left="284" w:right="141" w:hanging="142"/>
        <w:jc w:val="both"/>
        <w:rPr>
          <w:spacing w:val="-1"/>
          <w:sz w:val="18"/>
          <w:szCs w:val="18"/>
        </w:rPr>
      </w:pPr>
      <w:r w:rsidRPr="00491139">
        <w:rPr>
          <w:sz w:val="18"/>
          <w:szCs w:val="18"/>
          <w:vertAlign w:val="superscript"/>
        </w:rPr>
        <w:t xml:space="preserve">2 </w:t>
      </w:r>
      <w:r w:rsidRPr="00491139">
        <w:rPr>
          <w:spacing w:val="-1"/>
          <w:sz w:val="18"/>
          <w:szCs w:val="18"/>
        </w:rPr>
        <w:t>The</w:t>
      </w:r>
      <w:r w:rsidRPr="00491139">
        <w:rPr>
          <w:sz w:val="18"/>
          <w:szCs w:val="18"/>
        </w:rPr>
        <w:t xml:space="preserve"> </w:t>
      </w:r>
      <w:r w:rsidRPr="00491139">
        <w:rPr>
          <w:spacing w:val="-1"/>
          <w:sz w:val="18"/>
          <w:szCs w:val="18"/>
        </w:rPr>
        <w:t xml:space="preserve">reference </w:t>
      </w:r>
      <w:r w:rsidRPr="00491139">
        <w:rPr>
          <w:sz w:val="18"/>
          <w:szCs w:val="18"/>
        </w:rPr>
        <w:t>axis is perpendicular</w:t>
      </w:r>
      <w:r w:rsidRPr="00491139">
        <w:rPr>
          <w:spacing w:val="-1"/>
          <w:sz w:val="18"/>
          <w:szCs w:val="18"/>
        </w:rPr>
        <w:t xml:space="preserve"> to the reference plane and concentric with the reference diameter c of the cap, intended passing through the centre of the nominal emitter box in figure 3.</w:t>
      </w:r>
    </w:p>
    <w:p w14:paraId="6BB94942" w14:textId="77777777" w:rsidR="000960D4" w:rsidRPr="00491139" w:rsidRDefault="000960D4" w:rsidP="0033713D">
      <w:pPr>
        <w:widowControl w:val="0"/>
        <w:ind w:left="284" w:right="141" w:hanging="142"/>
        <w:jc w:val="both"/>
        <w:rPr>
          <w:sz w:val="18"/>
          <w:szCs w:val="18"/>
        </w:rPr>
      </w:pPr>
      <w:r w:rsidRPr="00491139">
        <w:rPr>
          <w:sz w:val="18"/>
          <w:szCs w:val="18"/>
          <w:vertAlign w:val="superscript"/>
        </w:rPr>
        <w:t xml:space="preserve">3 </w:t>
      </w:r>
      <w:r w:rsidRPr="00491139">
        <w:rPr>
          <w:sz w:val="18"/>
          <w:szCs w:val="18"/>
        </w:rPr>
        <w:t>To be</w:t>
      </w:r>
      <w:r w:rsidRPr="00491139">
        <w:rPr>
          <w:spacing w:val="-1"/>
          <w:sz w:val="18"/>
          <w:szCs w:val="18"/>
        </w:rPr>
        <w:t xml:space="preserve"> checked</w:t>
      </w:r>
      <w:r w:rsidRPr="00491139">
        <w:rPr>
          <w:sz w:val="18"/>
          <w:szCs w:val="18"/>
        </w:rPr>
        <w:t xml:space="preserve"> </w:t>
      </w:r>
      <w:r w:rsidRPr="00491139">
        <w:rPr>
          <w:spacing w:val="2"/>
          <w:sz w:val="18"/>
          <w:szCs w:val="18"/>
        </w:rPr>
        <w:t>by</w:t>
      </w:r>
      <w:r w:rsidRPr="00491139">
        <w:rPr>
          <w:spacing w:val="-5"/>
          <w:sz w:val="18"/>
          <w:szCs w:val="18"/>
        </w:rPr>
        <w:t xml:space="preserve"> </w:t>
      </w:r>
      <w:r w:rsidRPr="00491139">
        <w:rPr>
          <w:sz w:val="18"/>
          <w:szCs w:val="18"/>
        </w:rPr>
        <w:t>means of</w:t>
      </w:r>
      <w:r w:rsidRPr="00491139">
        <w:rPr>
          <w:spacing w:val="-1"/>
          <w:sz w:val="18"/>
          <w:szCs w:val="18"/>
        </w:rPr>
        <w:t xml:space="preserve"> </w:t>
      </w:r>
      <w:r w:rsidRPr="00491139">
        <w:rPr>
          <w:sz w:val="18"/>
          <w:szCs w:val="18"/>
        </w:rPr>
        <w:t>the</w:t>
      </w:r>
      <w:r w:rsidRPr="00491139">
        <w:rPr>
          <w:spacing w:val="-1"/>
          <w:sz w:val="18"/>
          <w:szCs w:val="18"/>
        </w:rPr>
        <w:t xml:space="preserve"> </w:t>
      </w:r>
      <w:r w:rsidRPr="00491139">
        <w:rPr>
          <w:sz w:val="18"/>
          <w:szCs w:val="18"/>
        </w:rPr>
        <w:t>box</w:t>
      </w:r>
      <w:r w:rsidRPr="00491139">
        <w:rPr>
          <w:spacing w:val="2"/>
          <w:sz w:val="18"/>
          <w:szCs w:val="18"/>
        </w:rPr>
        <w:t xml:space="preserve"> </w:t>
      </w:r>
      <w:r w:rsidRPr="00491139">
        <w:rPr>
          <w:spacing w:val="-2"/>
          <w:sz w:val="18"/>
          <w:szCs w:val="18"/>
        </w:rPr>
        <w:t>system</w:t>
      </w:r>
      <w:r w:rsidRPr="00491139">
        <w:rPr>
          <w:sz w:val="18"/>
          <w:szCs w:val="18"/>
        </w:rPr>
        <w:t xml:space="preserve"> in</w:t>
      </w:r>
      <w:r w:rsidRPr="00491139">
        <w:rPr>
          <w:spacing w:val="2"/>
          <w:sz w:val="18"/>
          <w:szCs w:val="18"/>
        </w:rPr>
        <w:t xml:space="preserve"> </w:t>
      </w:r>
      <w:r w:rsidRPr="00491139">
        <w:rPr>
          <w:spacing w:val="-1"/>
          <w:sz w:val="18"/>
          <w:szCs w:val="18"/>
        </w:rPr>
        <w:t>Figure</w:t>
      </w:r>
      <w:r w:rsidRPr="00491139">
        <w:rPr>
          <w:spacing w:val="1"/>
          <w:sz w:val="18"/>
          <w:szCs w:val="18"/>
        </w:rPr>
        <w:t xml:space="preserve"> </w:t>
      </w:r>
      <w:r w:rsidRPr="00491139">
        <w:rPr>
          <w:sz w:val="18"/>
          <w:szCs w:val="18"/>
        </w:rPr>
        <w:t>3.</w:t>
      </w:r>
    </w:p>
    <w:p w14:paraId="3E3C491C" w14:textId="77777777" w:rsidR="000960D4" w:rsidRPr="00491139" w:rsidRDefault="000960D4" w:rsidP="0033713D">
      <w:pPr>
        <w:widowControl w:val="0"/>
        <w:ind w:left="284" w:right="141" w:hanging="142"/>
        <w:jc w:val="both"/>
        <w:rPr>
          <w:spacing w:val="-1"/>
          <w:sz w:val="18"/>
          <w:szCs w:val="18"/>
        </w:rPr>
      </w:pPr>
      <w:r w:rsidRPr="00491139">
        <w:rPr>
          <w:sz w:val="18"/>
          <w:szCs w:val="18"/>
          <w:vertAlign w:val="superscript"/>
        </w:rPr>
        <w:t>4</w:t>
      </w:r>
      <w:r w:rsidRPr="00491139">
        <w:rPr>
          <w:sz w:val="18"/>
          <w:szCs w:val="18"/>
        </w:rPr>
        <w:t xml:space="preserve"> </w:t>
      </w:r>
      <w:r w:rsidRPr="00491139">
        <w:rPr>
          <w:spacing w:val="-1"/>
          <w:sz w:val="18"/>
          <w:szCs w:val="18"/>
        </w:rPr>
        <w:t xml:space="preserve">A minimum free air space of </w:t>
      </w:r>
      <w:r w:rsidR="0041729A" w:rsidRPr="00491139">
        <w:rPr>
          <w:spacing w:val="-1"/>
          <w:sz w:val="18"/>
          <w:szCs w:val="18"/>
        </w:rPr>
        <w:t>5</w:t>
      </w:r>
      <w:r w:rsidRPr="00491139">
        <w:rPr>
          <w:spacing w:val="-1"/>
          <w:sz w:val="18"/>
          <w:szCs w:val="18"/>
        </w:rPr>
        <w:t xml:space="preserve"> mm around the light source shall be respected for convection; the connector interface can be neglected.</w:t>
      </w:r>
    </w:p>
    <w:p w14:paraId="29CD92D0" w14:textId="77777777" w:rsidR="000960D4" w:rsidRPr="00491139" w:rsidRDefault="000960D4" w:rsidP="0033713D">
      <w:pPr>
        <w:widowControl w:val="0"/>
        <w:ind w:left="284" w:right="141" w:hanging="142"/>
        <w:jc w:val="both"/>
        <w:rPr>
          <w:spacing w:val="-1"/>
          <w:sz w:val="18"/>
          <w:szCs w:val="18"/>
        </w:rPr>
      </w:pPr>
      <w:r w:rsidRPr="00491139">
        <w:rPr>
          <w:sz w:val="18"/>
          <w:szCs w:val="18"/>
          <w:vertAlign w:val="superscript"/>
        </w:rPr>
        <w:t xml:space="preserve">5 </w:t>
      </w:r>
      <w:r w:rsidRPr="00491139">
        <w:rPr>
          <w:spacing w:val="-1"/>
          <w:sz w:val="18"/>
          <w:szCs w:val="18"/>
        </w:rPr>
        <w:t>The</w:t>
      </w:r>
      <w:r w:rsidRPr="00491139">
        <w:rPr>
          <w:spacing w:val="-2"/>
          <w:sz w:val="18"/>
          <w:szCs w:val="18"/>
        </w:rPr>
        <w:t xml:space="preserve"> </w:t>
      </w:r>
      <w:r w:rsidRPr="00491139">
        <w:rPr>
          <w:spacing w:val="-1"/>
          <w:sz w:val="18"/>
          <w:szCs w:val="18"/>
        </w:rPr>
        <w:t>emitted</w:t>
      </w:r>
      <w:r w:rsidRPr="00491139">
        <w:rPr>
          <w:sz w:val="18"/>
          <w:szCs w:val="18"/>
        </w:rPr>
        <w:t xml:space="preserve"> </w:t>
      </w:r>
      <w:r w:rsidRPr="00491139">
        <w:rPr>
          <w:spacing w:val="-1"/>
          <w:sz w:val="18"/>
          <w:szCs w:val="18"/>
        </w:rPr>
        <w:t>light</w:t>
      </w:r>
      <w:r w:rsidRPr="00491139">
        <w:rPr>
          <w:sz w:val="18"/>
          <w:szCs w:val="18"/>
        </w:rPr>
        <w:t xml:space="preserve"> </w:t>
      </w:r>
      <w:r w:rsidRPr="00491139">
        <w:rPr>
          <w:spacing w:val="-1"/>
          <w:sz w:val="18"/>
          <w:szCs w:val="18"/>
        </w:rPr>
        <w:t>shall</w:t>
      </w:r>
      <w:r w:rsidRPr="00491139">
        <w:rPr>
          <w:sz w:val="18"/>
          <w:szCs w:val="18"/>
        </w:rPr>
        <w:t xml:space="preserve"> be</w:t>
      </w:r>
      <w:r w:rsidRPr="00491139">
        <w:rPr>
          <w:spacing w:val="-2"/>
          <w:sz w:val="18"/>
          <w:szCs w:val="18"/>
        </w:rPr>
        <w:t xml:space="preserve"> </w:t>
      </w:r>
      <w:r w:rsidRPr="00491139">
        <w:rPr>
          <w:spacing w:val="-1"/>
          <w:sz w:val="18"/>
          <w:szCs w:val="18"/>
        </w:rPr>
        <w:t>white.</w:t>
      </w:r>
    </w:p>
    <w:p w14:paraId="4E85EEA8" w14:textId="77777777" w:rsidR="000960D4" w:rsidRPr="00491139" w:rsidRDefault="000960D4" w:rsidP="0033713D">
      <w:pPr>
        <w:widowControl w:val="0"/>
        <w:ind w:left="284" w:right="141" w:hanging="142"/>
        <w:jc w:val="both"/>
        <w:rPr>
          <w:spacing w:val="-1"/>
          <w:sz w:val="18"/>
          <w:szCs w:val="18"/>
        </w:rPr>
      </w:pPr>
      <w:r w:rsidRPr="00491139">
        <w:rPr>
          <w:sz w:val="18"/>
          <w:szCs w:val="18"/>
          <w:vertAlign w:val="superscript"/>
        </w:rPr>
        <w:t>6</w:t>
      </w:r>
      <w:r w:rsidRPr="00491139">
        <w:rPr>
          <w:spacing w:val="-1"/>
          <w:sz w:val="18"/>
          <w:szCs w:val="18"/>
        </w:rPr>
        <w:t xml:space="preserve"> After continuous</w:t>
      </w:r>
      <w:r w:rsidRPr="00491139">
        <w:rPr>
          <w:sz w:val="18"/>
          <w:szCs w:val="18"/>
        </w:rPr>
        <w:t xml:space="preserve"> </w:t>
      </w:r>
      <w:r w:rsidRPr="00491139">
        <w:rPr>
          <w:spacing w:val="-1"/>
          <w:sz w:val="18"/>
          <w:szCs w:val="18"/>
        </w:rPr>
        <w:t>operation</w:t>
      </w:r>
      <w:r w:rsidRPr="00491139">
        <w:rPr>
          <w:sz w:val="18"/>
          <w:szCs w:val="18"/>
        </w:rPr>
        <w:t xml:space="preserve"> </w:t>
      </w:r>
      <w:r w:rsidRPr="00491139">
        <w:rPr>
          <w:spacing w:val="-1"/>
          <w:sz w:val="18"/>
          <w:szCs w:val="18"/>
        </w:rPr>
        <w:t xml:space="preserve">for </w:t>
      </w:r>
      <w:r w:rsidRPr="00491139">
        <w:rPr>
          <w:sz w:val="18"/>
          <w:szCs w:val="18"/>
        </w:rPr>
        <w:t xml:space="preserve">30 </w:t>
      </w:r>
      <w:r w:rsidRPr="00491139">
        <w:rPr>
          <w:spacing w:val="-1"/>
          <w:sz w:val="18"/>
          <w:szCs w:val="18"/>
        </w:rPr>
        <w:t>minutes</w:t>
      </w:r>
      <w:r w:rsidRPr="00491139">
        <w:rPr>
          <w:sz w:val="18"/>
          <w:szCs w:val="18"/>
        </w:rPr>
        <w:t xml:space="preserve"> </w:t>
      </w:r>
      <w:r w:rsidRPr="00491139">
        <w:rPr>
          <w:spacing w:val="-1"/>
          <w:sz w:val="18"/>
          <w:szCs w:val="18"/>
        </w:rPr>
        <w:t>at</w:t>
      </w:r>
      <w:r w:rsidRPr="00491139">
        <w:rPr>
          <w:sz w:val="18"/>
          <w:szCs w:val="18"/>
        </w:rPr>
        <w:t xml:space="preserve"> 23 ± 2.5</w:t>
      </w:r>
      <w:r w:rsidR="00683445" w:rsidRPr="00491139">
        <w:rPr>
          <w:sz w:val="18"/>
          <w:szCs w:val="18"/>
        </w:rPr>
        <w:t xml:space="preserve"> </w:t>
      </w:r>
      <w:r w:rsidRPr="00491139">
        <w:rPr>
          <w:sz w:val="18"/>
          <w:szCs w:val="18"/>
        </w:rPr>
        <w:t>°C.</w:t>
      </w:r>
    </w:p>
    <w:p w14:paraId="03218C9C" w14:textId="77777777" w:rsidR="000960D4" w:rsidRPr="00491139" w:rsidRDefault="000960D4" w:rsidP="0033713D">
      <w:pPr>
        <w:widowControl w:val="0"/>
        <w:ind w:left="284" w:right="141" w:hanging="142"/>
        <w:jc w:val="both"/>
        <w:rPr>
          <w:sz w:val="18"/>
          <w:szCs w:val="18"/>
        </w:rPr>
      </w:pPr>
      <w:r w:rsidRPr="00491139">
        <w:rPr>
          <w:sz w:val="18"/>
          <w:szCs w:val="18"/>
          <w:vertAlign w:val="superscript"/>
        </w:rPr>
        <w:t>7</w:t>
      </w:r>
      <w:r w:rsidRPr="00491139">
        <w:rPr>
          <w:spacing w:val="-1"/>
          <w:sz w:val="18"/>
          <w:szCs w:val="18"/>
        </w:rPr>
        <w:t xml:space="preserve"> </w:t>
      </w:r>
      <w:r w:rsidRPr="00491139">
        <w:rPr>
          <w:sz w:val="18"/>
          <w:szCs w:val="18"/>
        </w:rPr>
        <w:t>The measured value shall be in between 100 per cent and 90 per cent of the value measured after 1 minute.</w:t>
      </w:r>
    </w:p>
    <w:p w14:paraId="391BED87" w14:textId="77777777" w:rsidR="000960D4" w:rsidRPr="00491139" w:rsidRDefault="000960D4" w:rsidP="0033713D">
      <w:pPr>
        <w:widowControl w:val="0"/>
        <w:ind w:left="284" w:right="141" w:hanging="142"/>
        <w:jc w:val="both"/>
        <w:rPr>
          <w:sz w:val="18"/>
          <w:szCs w:val="18"/>
        </w:rPr>
      </w:pPr>
      <w:r w:rsidRPr="00491139">
        <w:rPr>
          <w:sz w:val="18"/>
          <w:szCs w:val="18"/>
          <w:vertAlign w:val="superscript"/>
        </w:rPr>
        <w:t xml:space="preserve">8 </w:t>
      </w:r>
      <w:r w:rsidRPr="00491139">
        <w:rPr>
          <w:sz w:val="18"/>
          <w:szCs w:val="18"/>
        </w:rPr>
        <w:t xml:space="preserve">The Light source shall be rotated in the (measuring) holder until the reference lug contacts the plane as defined with dimension </w:t>
      </w:r>
      <w:r w:rsidRPr="00491139">
        <w:rPr>
          <w:sz w:val="18"/>
          <w:szCs w:val="18"/>
        </w:rPr>
        <w:lastRenderedPageBreak/>
        <w:t>h from the (measuring) holder.</w:t>
      </w:r>
    </w:p>
    <w:p w14:paraId="7F741800" w14:textId="5C69C0C6" w:rsidR="000960D4" w:rsidRPr="00491139" w:rsidRDefault="000960D4" w:rsidP="0033713D">
      <w:pPr>
        <w:widowControl w:val="0"/>
        <w:tabs>
          <w:tab w:val="left" w:pos="1005"/>
        </w:tabs>
        <w:ind w:left="284" w:right="141" w:hanging="142"/>
        <w:jc w:val="both"/>
        <w:rPr>
          <w:sz w:val="18"/>
          <w:szCs w:val="18"/>
        </w:rPr>
      </w:pPr>
      <w:r w:rsidRPr="00491139">
        <w:rPr>
          <w:sz w:val="18"/>
          <w:szCs w:val="18"/>
          <w:vertAlign w:val="superscript"/>
        </w:rPr>
        <w:t xml:space="preserve">9 </w:t>
      </w:r>
      <w:r w:rsidR="0053058C">
        <w:rPr>
          <w:sz w:val="18"/>
          <w:szCs w:val="18"/>
          <w:vertAlign w:val="superscript"/>
        </w:rPr>
        <w:t xml:space="preserve"> </w:t>
      </w:r>
      <w:r w:rsidRPr="00491139">
        <w:rPr>
          <w:sz w:val="18"/>
          <w:szCs w:val="18"/>
        </w:rPr>
        <w:t>The bounded area defined with the dimensions c, k and m defines the maximum outline in relation to the reference system.</w:t>
      </w:r>
    </w:p>
    <w:p w14:paraId="23C9C58B" w14:textId="77777777" w:rsidR="00EE2D28" w:rsidRDefault="008F7B12" w:rsidP="0033713D">
      <w:pPr>
        <w:widowControl w:val="0"/>
        <w:tabs>
          <w:tab w:val="left" w:pos="1005"/>
        </w:tabs>
        <w:ind w:left="284" w:right="141" w:hanging="142"/>
        <w:jc w:val="both"/>
        <w:rPr>
          <w:sz w:val="18"/>
          <w:szCs w:val="18"/>
        </w:rPr>
      </w:pPr>
      <w:r>
        <w:rPr>
          <w:sz w:val="18"/>
          <w:szCs w:val="18"/>
          <w:vertAlign w:val="superscript"/>
        </w:rPr>
        <w:t>10</w:t>
      </w:r>
      <w:r w:rsidR="00EE2D28" w:rsidRPr="00491139">
        <w:rPr>
          <w:sz w:val="18"/>
          <w:szCs w:val="18"/>
        </w:rPr>
        <w:t xml:space="preserve"> LED light source L1A/6 shall be equipped with the right-angle cap and LED light source L1B/6 with the straight cap.</w:t>
      </w:r>
    </w:p>
    <w:p w14:paraId="0EAC1D9F" w14:textId="77777777" w:rsidR="003E0C2F" w:rsidRPr="00674862" w:rsidRDefault="003E0C2F" w:rsidP="003E0C2F">
      <w:pPr>
        <w:widowControl w:val="0"/>
        <w:tabs>
          <w:tab w:val="left" w:pos="1005"/>
        </w:tabs>
        <w:ind w:left="284" w:right="141" w:hanging="142"/>
        <w:jc w:val="both"/>
        <w:rPr>
          <w:b/>
          <w:sz w:val="18"/>
          <w:szCs w:val="18"/>
          <w:lang w:val="en-US"/>
        </w:rPr>
      </w:pPr>
      <w:r w:rsidRPr="003E0C2F">
        <w:rPr>
          <w:b/>
          <w:sz w:val="18"/>
          <w:szCs w:val="18"/>
          <w:vertAlign w:val="superscript"/>
          <w:lang w:val="en-US"/>
        </w:rPr>
        <w:t>11</w:t>
      </w:r>
      <w:r w:rsidRPr="003E0C2F">
        <w:rPr>
          <w:b/>
          <w:sz w:val="18"/>
          <w:szCs w:val="18"/>
          <w:lang w:val="en-US"/>
        </w:rPr>
        <w:t xml:space="preserve"> Determined</w:t>
      </w:r>
      <w:r>
        <w:rPr>
          <w:b/>
          <w:sz w:val="18"/>
          <w:szCs w:val="18"/>
          <w:lang w:val="en-US"/>
        </w:rPr>
        <w:t xml:space="preserve"> according the Annex L</w:t>
      </w:r>
      <w:r w:rsidRPr="003E0C2F">
        <w:rPr>
          <w:b/>
          <w:sz w:val="18"/>
          <w:szCs w:val="18"/>
          <w:lang w:val="en-US"/>
        </w:rPr>
        <w:t xml:space="preserve"> of IEC </w:t>
      </w:r>
      <w:r w:rsidR="00742EB6">
        <w:rPr>
          <w:b/>
          <w:sz w:val="18"/>
          <w:szCs w:val="18"/>
          <w:lang w:val="en-US"/>
        </w:rPr>
        <w:t xml:space="preserve">Publication </w:t>
      </w:r>
      <w:r w:rsidRPr="003E0C2F">
        <w:rPr>
          <w:b/>
          <w:sz w:val="18"/>
          <w:szCs w:val="18"/>
          <w:lang w:val="en-US"/>
        </w:rPr>
        <w:t>60809</w:t>
      </w:r>
      <w:r w:rsidR="00742EB6">
        <w:rPr>
          <w:b/>
          <w:sz w:val="18"/>
          <w:szCs w:val="18"/>
          <w:lang w:val="en-US"/>
        </w:rPr>
        <w:t xml:space="preserve">, Edition </w:t>
      </w:r>
      <w:r w:rsidR="005514A3">
        <w:rPr>
          <w:b/>
          <w:sz w:val="18"/>
          <w:szCs w:val="18"/>
          <w:lang w:val="en-US"/>
        </w:rPr>
        <w:t>4</w:t>
      </w:r>
      <w:r w:rsidRPr="003E0C2F">
        <w:rPr>
          <w:b/>
          <w:sz w:val="18"/>
          <w:szCs w:val="18"/>
          <w:lang w:val="en-US"/>
        </w:rPr>
        <w:t>.</w:t>
      </w:r>
    </w:p>
    <w:p w14:paraId="1D38A29A" w14:textId="77777777" w:rsidR="0041729A" w:rsidRPr="00491139" w:rsidRDefault="0041729A" w:rsidP="0033713D">
      <w:pPr>
        <w:widowControl w:val="0"/>
        <w:outlineLvl w:val="1"/>
        <w:rPr>
          <w:b/>
          <w:bCs/>
          <w:spacing w:val="-1"/>
          <w:sz w:val="18"/>
          <w:szCs w:val="18"/>
        </w:rPr>
      </w:pPr>
    </w:p>
    <w:p w14:paraId="20C2AD1D" w14:textId="5C11C97F" w:rsidR="0033713D" w:rsidRPr="00491139" w:rsidRDefault="000960D4" w:rsidP="0053058C">
      <w:pPr>
        <w:widowControl w:val="0"/>
        <w:ind w:firstLine="284"/>
        <w:outlineLvl w:val="1"/>
        <w:rPr>
          <w:b/>
          <w:bCs/>
          <w:spacing w:val="-1"/>
          <w:sz w:val="18"/>
          <w:szCs w:val="18"/>
        </w:rPr>
      </w:pPr>
      <w:r w:rsidRPr="00491139">
        <w:rPr>
          <w:b/>
          <w:bCs/>
          <w:spacing w:val="-1"/>
          <w:sz w:val="18"/>
          <w:szCs w:val="18"/>
        </w:rPr>
        <w:t xml:space="preserve">Electrical characteristics, </w:t>
      </w:r>
      <w:r w:rsidR="00E15E3D" w:rsidRPr="00491139">
        <w:rPr>
          <w:b/>
          <w:bCs/>
          <w:spacing w:val="-1"/>
          <w:sz w:val="18"/>
          <w:szCs w:val="18"/>
        </w:rPr>
        <w:t>f</w:t>
      </w:r>
      <w:r w:rsidRPr="00491139">
        <w:rPr>
          <w:b/>
          <w:bCs/>
          <w:spacing w:val="-1"/>
          <w:sz w:val="18"/>
          <w:szCs w:val="18"/>
        </w:rPr>
        <w:t>ailure condition</w:t>
      </w:r>
      <w:r w:rsidRPr="00491139">
        <w:rPr>
          <w:b/>
          <w:bCs/>
          <w:sz w:val="18"/>
          <w:szCs w:val="18"/>
        </w:rPr>
        <w:t xml:space="preserve"> </w:t>
      </w:r>
      <w:r w:rsidRPr="00491139">
        <w:rPr>
          <w:b/>
          <w:bCs/>
          <w:spacing w:val="-1"/>
          <w:sz w:val="18"/>
          <w:szCs w:val="18"/>
        </w:rPr>
        <w:t>behaviour:</w:t>
      </w:r>
    </w:p>
    <w:p w14:paraId="6777E9BB" w14:textId="77777777" w:rsidR="000960D4" w:rsidRDefault="000960D4" w:rsidP="00F76865">
      <w:pPr>
        <w:widowControl w:val="0"/>
        <w:ind w:left="284"/>
        <w:outlineLvl w:val="1"/>
        <w:rPr>
          <w:spacing w:val="-1"/>
          <w:sz w:val="18"/>
          <w:szCs w:val="18"/>
        </w:rPr>
      </w:pPr>
      <w:r w:rsidRPr="00491139">
        <w:rPr>
          <w:spacing w:val="-1"/>
          <w:sz w:val="18"/>
          <w:szCs w:val="18"/>
        </w:rPr>
        <w:t>In case of LED light source failure (no light emitted) the maximum electrical current draw, when operated between 12 V and 14 V,</w:t>
      </w:r>
      <w:r w:rsidRPr="0033713D">
        <w:rPr>
          <w:spacing w:val="-1"/>
          <w:sz w:val="18"/>
          <w:szCs w:val="18"/>
        </w:rPr>
        <w:t xml:space="preserve"> shall be less than 20 mA (open circuit condition).</w:t>
      </w:r>
      <w:r w:rsidR="00851713" w:rsidRPr="00851713">
        <w:t xml:space="preserve"> </w:t>
      </w:r>
      <w:r w:rsidR="00851713">
        <w:rPr>
          <w:spacing w:val="-1"/>
          <w:sz w:val="18"/>
          <w:szCs w:val="18"/>
        </w:rPr>
        <w:t>"</w:t>
      </w:r>
    </w:p>
    <w:p w14:paraId="61CF7B64" w14:textId="77777777" w:rsidR="00575D2C" w:rsidRDefault="00914CE3" w:rsidP="009F73FA">
      <w:pPr>
        <w:pStyle w:val="HChG"/>
      </w:pPr>
      <w:r w:rsidRPr="00525E6C">
        <w:tab/>
      </w:r>
      <w:r w:rsidR="00575D2C" w:rsidRPr="00525E6C">
        <w:t>II.</w:t>
      </w:r>
      <w:r w:rsidR="00575D2C" w:rsidRPr="00525E6C">
        <w:tab/>
        <w:t>Justification</w:t>
      </w:r>
    </w:p>
    <w:p w14:paraId="6FBDA3E3" w14:textId="73FA602D" w:rsidR="009E47EE" w:rsidRPr="00306513" w:rsidRDefault="00306513" w:rsidP="00306513">
      <w:pPr>
        <w:spacing w:after="120"/>
        <w:ind w:left="1134" w:right="1134"/>
        <w:jc w:val="both"/>
        <w:rPr>
          <w:bCs/>
        </w:rPr>
      </w:pPr>
      <w:r>
        <w:rPr>
          <w:bCs/>
        </w:rPr>
        <w:t>1.</w:t>
      </w:r>
      <w:r>
        <w:rPr>
          <w:bCs/>
        </w:rPr>
        <w:tab/>
      </w:r>
      <w:r w:rsidR="007D0D24" w:rsidRPr="00306513">
        <w:rPr>
          <w:bCs/>
          <w:lang w:eastAsia="it-IT"/>
        </w:rPr>
        <w:t>This proposal is part of a package with a related proposal for amendment to Regulation No. 128 to LED f</w:t>
      </w:r>
      <w:r w:rsidR="0034536E" w:rsidRPr="00306513">
        <w:rPr>
          <w:bCs/>
          <w:lang w:eastAsia="it-IT"/>
        </w:rPr>
        <w:t>orward lighting light sources.</w:t>
      </w:r>
    </w:p>
    <w:p w14:paraId="59451F45" w14:textId="37355939" w:rsidR="009E47EE" w:rsidRPr="00306513" w:rsidRDefault="00306513" w:rsidP="00306513">
      <w:pPr>
        <w:spacing w:after="120"/>
        <w:ind w:left="1134" w:right="1134"/>
        <w:jc w:val="both"/>
        <w:rPr>
          <w:bCs/>
        </w:rPr>
      </w:pPr>
      <w:r w:rsidRPr="009E47EE">
        <w:rPr>
          <w:bCs/>
        </w:rPr>
        <w:t>2.</w:t>
      </w:r>
      <w:r w:rsidRPr="009E47EE">
        <w:rPr>
          <w:bCs/>
        </w:rPr>
        <w:tab/>
      </w:r>
      <w:r w:rsidR="009E47EE" w:rsidRPr="009E47EE">
        <w:t>In document ECE/TRANS/WP.29/GRE/2019/</w:t>
      </w:r>
      <w:r w:rsidR="0053058C">
        <w:t>15</w:t>
      </w:r>
      <w:r w:rsidR="009E47EE">
        <w:t xml:space="preserve"> GTB proposes </w:t>
      </w:r>
      <w:r w:rsidR="009E47EE" w:rsidRPr="009E47EE">
        <w:t>to insert a minimum luminance gradient as an alternative, more direct, requirement</w:t>
      </w:r>
      <w:r w:rsidR="00F72922">
        <w:t xml:space="preserve"> on the cut-off generating side of the Light Emitting Area (LEA)</w:t>
      </w:r>
      <w:r w:rsidR="009E47EE" w:rsidRPr="009E47EE">
        <w:t>. Consequently, the category sheet for L1A/6 and L1B/6 needs to be amended to include the associated required minimum values of the luminance gradient</w:t>
      </w:r>
      <w:r w:rsidR="009E47EE">
        <w:t>.</w:t>
      </w:r>
    </w:p>
    <w:p w14:paraId="4BCD71CF" w14:textId="6082270E" w:rsidR="00F72922" w:rsidRPr="00306513" w:rsidRDefault="00306513" w:rsidP="00306513">
      <w:pPr>
        <w:spacing w:after="120"/>
        <w:ind w:left="1134" w:right="1134"/>
        <w:jc w:val="both"/>
        <w:rPr>
          <w:bCs/>
        </w:rPr>
      </w:pPr>
      <w:r>
        <w:rPr>
          <w:bCs/>
        </w:rPr>
        <w:t>3.</w:t>
      </w:r>
      <w:r>
        <w:rPr>
          <w:bCs/>
        </w:rPr>
        <w:tab/>
      </w:r>
      <w:r w:rsidR="00F62A04" w:rsidRPr="00ED240E">
        <w:t xml:space="preserve">GTB </w:t>
      </w:r>
      <w:r w:rsidR="00927853" w:rsidRPr="00ED240E">
        <w:t xml:space="preserve">proposes </w:t>
      </w:r>
      <w:r w:rsidR="009E47EE" w:rsidRPr="00306513">
        <w:rPr>
          <w:bCs/>
        </w:rPr>
        <w:t>to insert minimum values of the luminance gradient in the table of</w:t>
      </w:r>
      <w:r w:rsidR="009E47EE" w:rsidRPr="009E47EE">
        <w:t xml:space="preserve"> </w:t>
      </w:r>
      <w:r w:rsidR="009E47EE" w:rsidRPr="00306513">
        <w:rPr>
          <w:bCs/>
        </w:rPr>
        <w:t>Sheet L1/2, together with the addition of associated footnote 11</w:t>
      </w:r>
      <w:r w:rsidR="00F72922" w:rsidRPr="00306513">
        <w:rPr>
          <w:bCs/>
        </w:rPr>
        <w:t>.</w:t>
      </w:r>
    </w:p>
    <w:p w14:paraId="2393E094" w14:textId="097B2AE2" w:rsidR="002F0860" w:rsidRPr="00525E6C" w:rsidRDefault="002F0860" w:rsidP="00306513">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bookmarkStart w:id="1" w:name="_GoBack"/>
      <w:bookmarkEnd w:id="1"/>
    </w:p>
    <w:sectPr w:rsidR="002F0860" w:rsidRPr="00525E6C" w:rsidSect="005D68A6">
      <w:headerReference w:type="even" r:id="rId12"/>
      <w:headerReference w:type="default" r:id="rId13"/>
      <w:footerReference w:type="default" r:id="rId14"/>
      <w:headerReference w:type="first" r:id="rId1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F9ABB" w14:textId="77777777" w:rsidR="000049B0" w:rsidRDefault="000049B0"/>
  </w:endnote>
  <w:endnote w:type="continuationSeparator" w:id="0">
    <w:p w14:paraId="7791052B" w14:textId="77777777" w:rsidR="000049B0" w:rsidRDefault="000049B0"/>
  </w:endnote>
  <w:endnote w:type="continuationNotice" w:id="1">
    <w:p w14:paraId="00AD291C" w14:textId="77777777" w:rsidR="000049B0" w:rsidRDefault="00004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85C47" w14:textId="0F97BF88" w:rsidR="0034536E" w:rsidRDefault="0034536E">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306513">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6DCF" w14:textId="3DC985F9" w:rsidR="00DC3AE1" w:rsidRDefault="00DC3AE1" w:rsidP="00DC3AE1">
    <w:pPr>
      <w:pStyle w:val="Footer"/>
    </w:pPr>
    <w:r>
      <w:rPr>
        <w:rFonts w:ascii="C39T30Lfz" w:hAnsi="C39T30Lfz"/>
        <w:noProof/>
        <w:sz w:val="56"/>
        <w:lang w:eastAsia="zh-CN"/>
      </w:rPr>
      <w:drawing>
        <wp:anchor distT="0" distB="0" distL="114300" distR="114300" simplePos="0" relativeHeight="251693568" behindDoc="0" locked="0" layoutInCell="1" allowOverlap="1" wp14:anchorId="71144E48" wp14:editId="723624FC">
          <wp:simplePos x="0" y="0"/>
          <wp:positionH relativeFrom="margin">
            <wp:posOffset>5396230</wp:posOffset>
          </wp:positionH>
          <wp:positionV relativeFrom="margin">
            <wp:posOffset>7880350</wp:posOffset>
          </wp:positionV>
          <wp:extent cx="638175" cy="638175"/>
          <wp:effectExtent l="0" t="0" r="9525" b="9525"/>
          <wp:wrapNone/>
          <wp:docPr id="1" name="Picture 1" descr="https://undocs.org/m2/QRCode.ashx?DS=ECE/TRANS/WP.29/GRE/2019/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34AFD" w14:textId="7DF7EC21" w:rsidR="00DC3AE1" w:rsidRDefault="00DC3AE1" w:rsidP="00DC3AE1">
    <w:pPr>
      <w:pStyle w:val="Footer"/>
    </w:pPr>
  </w:p>
  <w:p w14:paraId="27098774" w14:textId="5E94F1A3" w:rsidR="00DC3AE1" w:rsidRDefault="00DC3AE1" w:rsidP="00DC3AE1">
    <w:pPr>
      <w:pStyle w:val="Footer"/>
      <w:rPr>
        <w:sz w:val="20"/>
      </w:rPr>
    </w:pPr>
    <w:r>
      <w:rPr>
        <w:noProof/>
        <w:lang w:eastAsia="zh-CN"/>
      </w:rPr>
      <w:drawing>
        <wp:anchor distT="0" distB="0" distL="114300" distR="114300" simplePos="0" relativeHeight="251688448" behindDoc="1" locked="1" layoutInCell="1" allowOverlap="1" wp14:anchorId="12FEB637" wp14:editId="1EF4DC2A">
          <wp:simplePos x="0" y="0"/>
          <wp:positionH relativeFrom="margin">
            <wp:posOffset>4358640</wp:posOffset>
          </wp:positionH>
          <wp:positionV relativeFrom="margin">
            <wp:posOffset>8192770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GE.19-13433(E)</w:t>
    </w:r>
  </w:p>
  <w:p w14:paraId="5A78CD2B" w14:textId="6C3EBC45" w:rsidR="00DC3AE1" w:rsidRPr="00DC3AE1" w:rsidRDefault="00DC3AE1" w:rsidP="00DC3AE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A465" w14:textId="77777777" w:rsidR="0034536E" w:rsidRPr="00003B38" w:rsidRDefault="0034536E"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34536E" w:rsidRPr="002C0FEE" w14:paraId="1CB591A2" w14:textId="77777777" w:rsidTr="00732AD2">
      <w:tc>
        <w:tcPr>
          <w:tcW w:w="3346" w:type="dxa"/>
        </w:tcPr>
        <w:p w14:paraId="490F8BCF" w14:textId="77777777" w:rsidR="0034536E" w:rsidRPr="00503D4F" w:rsidRDefault="0034536E" w:rsidP="00732AD2">
          <w:pPr>
            <w:pStyle w:val="Footer"/>
          </w:pPr>
          <w:r>
            <w:rPr>
              <w:noProof/>
              <w:lang w:eastAsia="zh-CN"/>
            </w:rPr>
            <w:drawing>
              <wp:inline distT="0" distB="0" distL="0" distR="0" wp14:anchorId="164248A2" wp14:editId="07E93DFB">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74736B39" w14:textId="77777777" w:rsidR="0034536E" w:rsidRPr="00503D4F" w:rsidRDefault="0034536E"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0AE5608C" w14:textId="77777777" w:rsidR="0034536E" w:rsidRPr="004E78A5" w:rsidRDefault="0034536E" w:rsidP="00732AD2">
          <w:pPr>
            <w:pStyle w:val="Footer"/>
          </w:pPr>
          <w:r w:rsidRPr="004E78A5">
            <w:rPr>
              <w:rFonts w:ascii="Arial" w:hAnsi="Arial" w:cs="Arial"/>
              <w:sz w:val="20"/>
            </w:rPr>
            <w:t xml:space="preserve">Submitted by: </w:t>
          </w:r>
          <w:r>
            <w:rPr>
              <w:rFonts w:ascii="Arial" w:hAnsi="Arial" w:cs="Arial"/>
              <w:sz w:val="20"/>
            </w:rPr>
            <w:t>Ad de Visser</w:t>
          </w:r>
        </w:p>
      </w:tc>
    </w:tr>
  </w:tbl>
  <w:p w14:paraId="7CA0C538" w14:textId="77777777" w:rsidR="0034536E" w:rsidRDefault="003453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3F473" w14:textId="1C3DCFF0" w:rsidR="0034536E" w:rsidRPr="00A330CE" w:rsidRDefault="0034536E"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306513">
      <w:rPr>
        <w:b/>
        <w:noProof/>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12907" w14:textId="77777777" w:rsidR="000049B0" w:rsidRPr="000B175B" w:rsidRDefault="000049B0" w:rsidP="000B175B">
      <w:pPr>
        <w:tabs>
          <w:tab w:val="right" w:pos="2155"/>
        </w:tabs>
        <w:spacing w:after="80"/>
        <w:ind w:left="680"/>
        <w:rPr>
          <w:u w:val="single"/>
        </w:rPr>
      </w:pPr>
      <w:r>
        <w:rPr>
          <w:u w:val="single"/>
        </w:rPr>
        <w:tab/>
      </w:r>
    </w:p>
  </w:footnote>
  <w:footnote w:type="continuationSeparator" w:id="0">
    <w:p w14:paraId="314D1BE5" w14:textId="77777777" w:rsidR="000049B0" w:rsidRPr="00FC68B7" w:rsidRDefault="000049B0" w:rsidP="00FC68B7">
      <w:pPr>
        <w:tabs>
          <w:tab w:val="left" w:pos="2155"/>
        </w:tabs>
        <w:spacing w:after="80"/>
        <w:ind w:left="680"/>
        <w:rPr>
          <w:u w:val="single"/>
        </w:rPr>
      </w:pPr>
      <w:r>
        <w:rPr>
          <w:u w:val="single"/>
        </w:rPr>
        <w:tab/>
      </w:r>
    </w:p>
  </w:footnote>
  <w:footnote w:type="continuationNotice" w:id="1">
    <w:p w14:paraId="403A570A" w14:textId="77777777" w:rsidR="000049B0" w:rsidRDefault="000049B0"/>
  </w:footnote>
  <w:footnote w:id="2">
    <w:p w14:paraId="19FB7278" w14:textId="31449B71" w:rsidR="0034536E" w:rsidRPr="00706101" w:rsidRDefault="0034536E" w:rsidP="0036339F">
      <w:pPr>
        <w:pStyle w:val="FootnoteText"/>
      </w:pPr>
      <w:r w:rsidRPr="00A90EA8">
        <w:tab/>
      </w:r>
      <w:r w:rsidRPr="00DE7053">
        <w:rPr>
          <w:rStyle w:val="FootnoteReference"/>
          <w:sz w:val="20"/>
          <w:lang w:val="en-US"/>
        </w:rPr>
        <w:t>*</w:t>
      </w:r>
      <w:r w:rsidRPr="002232AF">
        <w:rPr>
          <w:sz w:val="20"/>
          <w:lang w:val="en-US"/>
        </w:rPr>
        <w:tab/>
      </w:r>
      <w:r w:rsidR="007018E3"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BFC47" w14:textId="6B686722" w:rsidR="0034536E" w:rsidRPr="006C395D" w:rsidRDefault="003E0C2F" w:rsidP="008D34DA">
    <w:pPr>
      <w:pStyle w:val="Header"/>
    </w:pPr>
    <w:r>
      <w:t>ECE/TRANS/WP.29/GRE/2019/</w:t>
    </w:r>
    <w:r w:rsidR="0053058C">
      <w:t>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5CC66" w14:textId="0041E18E" w:rsidR="0034536E" w:rsidRPr="006C395D" w:rsidRDefault="003E0C2F" w:rsidP="008D34DA">
    <w:pPr>
      <w:pStyle w:val="Header"/>
      <w:jc w:val="right"/>
    </w:pPr>
    <w:r>
      <w:t>ECE/TRANS/WP.29/GRE/2019</w:t>
    </w:r>
    <w:r w:rsidR="0034536E" w:rsidRPr="008D34DA">
      <w:t>/</w:t>
    </w:r>
    <w:r w:rsidR="0053058C">
      <w:t>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5C9BE" w14:textId="77777777" w:rsidR="0034536E" w:rsidRPr="007B4C72" w:rsidRDefault="0034536E"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C96728"/>
    <w:multiLevelType w:val="hybridMultilevel"/>
    <w:tmpl w:val="663A433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9" w15:restartNumberingAfterBreak="0">
    <w:nsid w:val="2D304AE9"/>
    <w:multiLevelType w:val="hybridMultilevel"/>
    <w:tmpl w:val="A73646A0"/>
    <w:lvl w:ilvl="0" w:tplc="FA7E3CAA">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1"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4" w15:restartNumberingAfterBreak="0">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5"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EF3E6C"/>
    <w:multiLevelType w:val="hybridMultilevel"/>
    <w:tmpl w:val="5F582AF4"/>
    <w:lvl w:ilvl="0" w:tplc="22AED99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574D7136"/>
    <w:multiLevelType w:val="hybridMultilevel"/>
    <w:tmpl w:val="C87E2824"/>
    <w:lvl w:ilvl="0" w:tplc="FA7E3CAA">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9"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0" w15:restartNumberingAfterBreak="0">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15:restartNumberingAfterBreak="0">
    <w:nsid w:val="62117AB8"/>
    <w:multiLevelType w:val="hybridMultilevel"/>
    <w:tmpl w:val="8236CC40"/>
    <w:lvl w:ilvl="0" w:tplc="67E66250">
      <w:start w:val="1"/>
      <w:numFmt w:val="decimal"/>
      <w:lvlText w:val="%1."/>
      <w:lvlJc w:val="left"/>
      <w:pPr>
        <w:ind w:left="1137" w:hanging="360"/>
      </w:pPr>
      <w:rPr>
        <w:rFonts w:ascii="Times New Roman" w:eastAsia="Times New Roman" w:hAnsi="Times New Roman" w:cs="Times New Roman"/>
      </w:rPr>
    </w:lvl>
    <w:lvl w:ilvl="1" w:tplc="04090003">
      <w:start w:val="1"/>
      <w:numFmt w:val="bullet"/>
      <w:lvlText w:val="o"/>
      <w:lvlJc w:val="left"/>
      <w:pPr>
        <w:ind w:left="1857" w:hanging="360"/>
      </w:pPr>
      <w:rPr>
        <w:rFonts w:ascii="Courier New" w:hAnsi="Courier New" w:cs="Courier New"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32" w15:restartNumberingAfterBreak="0">
    <w:nsid w:val="649D2EE9"/>
    <w:multiLevelType w:val="hybridMultilevel"/>
    <w:tmpl w:val="167035AC"/>
    <w:lvl w:ilvl="0" w:tplc="311EDC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9"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1"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34"/>
  </w:num>
  <w:num w:numId="3">
    <w:abstractNumId w:val="21"/>
  </w:num>
  <w:num w:numId="4">
    <w:abstractNumId w:val="42"/>
  </w:num>
  <w:num w:numId="5">
    <w:abstractNumId w:val="18"/>
  </w:num>
  <w:num w:numId="6">
    <w:abstractNumId w:val="15"/>
  </w:num>
  <w:num w:numId="7">
    <w:abstractNumId w:val="9"/>
  </w:num>
  <w:num w:numId="8">
    <w:abstractNumId w:val="38"/>
  </w:num>
  <w:num w:numId="9">
    <w:abstractNumId w:val="39"/>
  </w:num>
  <w:num w:numId="10">
    <w:abstractNumId w:val="23"/>
  </w:num>
  <w:num w:numId="11">
    <w:abstractNumId w:val="13"/>
  </w:num>
  <w:num w:numId="12">
    <w:abstractNumId w:val="28"/>
  </w:num>
  <w:num w:numId="13">
    <w:abstractNumId w:val="40"/>
  </w:num>
  <w:num w:numId="14">
    <w:abstractNumId w:val="22"/>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41"/>
  </w:num>
  <w:num w:numId="24">
    <w:abstractNumId w:val="16"/>
  </w:num>
  <w:num w:numId="25">
    <w:abstractNumId w:val="25"/>
  </w:num>
  <w:num w:numId="26">
    <w:abstractNumId w:val="35"/>
  </w:num>
  <w:num w:numId="27">
    <w:abstractNumId w:val="36"/>
  </w:num>
  <w:num w:numId="28">
    <w:abstractNumId w:val="30"/>
  </w:num>
  <w:num w:numId="29">
    <w:abstractNumId w:val="20"/>
  </w:num>
  <w:num w:numId="30">
    <w:abstractNumId w:val="8"/>
  </w:num>
  <w:num w:numId="31">
    <w:abstractNumId w:val="29"/>
  </w:num>
  <w:num w:numId="32">
    <w:abstractNumId w:val="14"/>
  </w:num>
  <w:num w:numId="33">
    <w:abstractNumId w:val="11"/>
  </w:num>
  <w:num w:numId="34">
    <w:abstractNumId w:val="33"/>
  </w:num>
  <w:num w:numId="35">
    <w:abstractNumId w:val="37"/>
  </w:num>
  <w:num w:numId="36">
    <w:abstractNumId w:val="24"/>
  </w:num>
  <w:num w:numId="37">
    <w:abstractNumId w:val="12"/>
  </w:num>
  <w:num w:numId="38">
    <w:abstractNumId w:val="17"/>
  </w:num>
  <w:num w:numId="39">
    <w:abstractNumId w:val="26"/>
  </w:num>
  <w:num w:numId="40">
    <w:abstractNumId w:val="31"/>
  </w:num>
  <w:num w:numId="41">
    <w:abstractNumId w:val="32"/>
  </w:num>
  <w:num w:numId="42">
    <w:abstractNumId w:val="19"/>
  </w:num>
  <w:num w:numId="43">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49B0"/>
    <w:rsid w:val="000051ED"/>
    <w:rsid w:val="000055BF"/>
    <w:rsid w:val="000060A0"/>
    <w:rsid w:val="000067BC"/>
    <w:rsid w:val="00007723"/>
    <w:rsid w:val="00007899"/>
    <w:rsid w:val="00010344"/>
    <w:rsid w:val="0001103D"/>
    <w:rsid w:val="00011528"/>
    <w:rsid w:val="000115EB"/>
    <w:rsid w:val="000119CA"/>
    <w:rsid w:val="00013B6E"/>
    <w:rsid w:val="00013F24"/>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106"/>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D72"/>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D49"/>
    <w:rsid w:val="00133D6D"/>
    <w:rsid w:val="00134F58"/>
    <w:rsid w:val="00136B25"/>
    <w:rsid w:val="0013745B"/>
    <w:rsid w:val="001403B9"/>
    <w:rsid w:val="0014056C"/>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D6A"/>
    <w:rsid w:val="001E17F1"/>
    <w:rsid w:val="001E1A91"/>
    <w:rsid w:val="001E2152"/>
    <w:rsid w:val="001E3838"/>
    <w:rsid w:val="001E4F38"/>
    <w:rsid w:val="001E5B15"/>
    <w:rsid w:val="001E5EBF"/>
    <w:rsid w:val="001E5FF2"/>
    <w:rsid w:val="001E6A29"/>
    <w:rsid w:val="001E6BD6"/>
    <w:rsid w:val="001E6CF2"/>
    <w:rsid w:val="001E71CC"/>
    <w:rsid w:val="001F05DD"/>
    <w:rsid w:val="001F13D6"/>
    <w:rsid w:val="001F154E"/>
    <w:rsid w:val="001F39F1"/>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9E6"/>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960"/>
    <w:rsid w:val="00295F2E"/>
    <w:rsid w:val="00297687"/>
    <w:rsid w:val="00297A0F"/>
    <w:rsid w:val="002A0E47"/>
    <w:rsid w:val="002A102F"/>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13"/>
    <w:rsid w:val="00306566"/>
    <w:rsid w:val="00307ED1"/>
    <w:rsid w:val="003107FA"/>
    <w:rsid w:val="003108B9"/>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B8A"/>
    <w:rsid w:val="0034536E"/>
    <w:rsid w:val="0034544A"/>
    <w:rsid w:val="00345A98"/>
    <w:rsid w:val="00346885"/>
    <w:rsid w:val="00347100"/>
    <w:rsid w:val="0035085A"/>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29A"/>
    <w:rsid w:val="003715A2"/>
    <w:rsid w:val="00372546"/>
    <w:rsid w:val="00373117"/>
    <w:rsid w:val="003744EA"/>
    <w:rsid w:val="00374E29"/>
    <w:rsid w:val="00375DF9"/>
    <w:rsid w:val="00375FAF"/>
    <w:rsid w:val="00376D59"/>
    <w:rsid w:val="00376F99"/>
    <w:rsid w:val="003770E3"/>
    <w:rsid w:val="00377D3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0C2F"/>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0B66"/>
    <w:rsid w:val="003F0C20"/>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F1B"/>
    <w:rsid w:val="00412D3F"/>
    <w:rsid w:val="00413AAC"/>
    <w:rsid w:val="0041551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3CB"/>
    <w:rsid w:val="00483909"/>
    <w:rsid w:val="00485227"/>
    <w:rsid w:val="0048560F"/>
    <w:rsid w:val="00485638"/>
    <w:rsid w:val="0048637F"/>
    <w:rsid w:val="0048638C"/>
    <w:rsid w:val="00486A6B"/>
    <w:rsid w:val="00490313"/>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58C"/>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4A3"/>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AC9"/>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1FE7"/>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8E3"/>
    <w:rsid w:val="00701C3E"/>
    <w:rsid w:val="007035A8"/>
    <w:rsid w:val="00703DE2"/>
    <w:rsid w:val="00703F50"/>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2EB6"/>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76F3"/>
    <w:rsid w:val="007D0179"/>
    <w:rsid w:val="007D0825"/>
    <w:rsid w:val="007D0A5D"/>
    <w:rsid w:val="007D0D24"/>
    <w:rsid w:val="007D0D98"/>
    <w:rsid w:val="007D1FEA"/>
    <w:rsid w:val="007D25CC"/>
    <w:rsid w:val="007D2FE3"/>
    <w:rsid w:val="007D3078"/>
    <w:rsid w:val="007D3508"/>
    <w:rsid w:val="007D3EFF"/>
    <w:rsid w:val="007D44A9"/>
    <w:rsid w:val="007D4E44"/>
    <w:rsid w:val="007D4E68"/>
    <w:rsid w:val="007D633B"/>
    <w:rsid w:val="007D66C6"/>
    <w:rsid w:val="007D747C"/>
    <w:rsid w:val="007E0651"/>
    <w:rsid w:val="007E1056"/>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1716"/>
    <w:rsid w:val="007F1CDA"/>
    <w:rsid w:val="007F3BA5"/>
    <w:rsid w:val="007F41F7"/>
    <w:rsid w:val="007F561B"/>
    <w:rsid w:val="007F601B"/>
    <w:rsid w:val="007F6611"/>
    <w:rsid w:val="007F6AF0"/>
    <w:rsid w:val="00800FFD"/>
    <w:rsid w:val="008017DB"/>
    <w:rsid w:val="00801AEC"/>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713"/>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4DA"/>
    <w:rsid w:val="008D3EEC"/>
    <w:rsid w:val="008D55E0"/>
    <w:rsid w:val="008D6304"/>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7EE"/>
    <w:rsid w:val="009E489E"/>
    <w:rsid w:val="009E54EE"/>
    <w:rsid w:val="009E5A0E"/>
    <w:rsid w:val="009E71F6"/>
    <w:rsid w:val="009E7DA7"/>
    <w:rsid w:val="009F138C"/>
    <w:rsid w:val="009F21E9"/>
    <w:rsid w:val="009F230C"/>
    <w:rsid w:val="009F2EF0"/>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87A"/>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031"/>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0C"/>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57F2"/>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456C"/>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8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2945"/>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078CF"/>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BD"/>
    <w:rsid w:val="00D241FA"/>
    <w:rsid w:val="00D242D5"/>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3AE1"/>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05F"/>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2922"/>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078"/>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7AA"/>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fillcolor="white" stroke="f">
      <v:fill color="white"/>
      <v:stroke on="f"/>
    </o:shapedefaults>
    <o:shapelayout v:ext="edit">
      <o:idmap v:ext="edit" data="1"/>
    </o:shapelayout>
  </w:shapeDefaults>
  <w:decimalSymbol w:val="."/>
  <w:listSeparator w:val=","/>
  <w14:docId w14:val="44CF906F"/>
  <w15:docId w15:val="{0EBF2828-654B-4F75-AC29-4202FBF9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1"/>
      </w:num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E0C2F"/>
    <w:rPr>
      <w:rFonts w:ascii="ArialMT" w:hAnsi="ArialMT"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A12F4-C32D-4D1F-85D9-2EE51EB3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828</Words>
  <Characters>4363</Characters>
  <Application>Microsoft Office Word</Application>
  <DocSecurity>0</DocSecurity>
  <Lines>128</Lines>
  <Paragraphs>83</Paragraphs>
  <ScaleCrop>false</ScaleCrop>
  <HeadingPairs>
    <vt:vector size="2" baseType="variant">
      <vt:variant>
        <vt:lpstr>Title</vt:lpstr>
      </vt:variant>
      <vt:variant>
        <vt:i4>1</vt:i4>
      </vt:variant>
    </vt:vector>
  </HeadingPairs>
  <TitlesOfParts>
    <vt:vector size="1" baseType="lpstr">
      <vt:lpstr>1700714</vt:lpstr>
    </vt:vector>
  </TitlesOfParts>
  <Company>CSD</Company>
  <LinksUpToDate>false</LinksUpToDate>
  <CharactersWithSpaces>5122</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ECE/TRANS/WP.29/GRE/2019/16</dc:title>
  <dc:subject>1913433</dc:subject>
  <dc:creator>AFTER JUNE</dc:creator>
  <cp:keywords/>
  <dc:description/>
  <cp:lastModifiedBy>Generic Desk Anglais</cp:lastModifiedBy>
  <cp:revision>2</cp:revision>
  <cp:lastPrinted>2017-03-03T03:28:00Z</cp:lastPrinted>
  <dcterms:created xsi:type="dcterms:W3CDTF">2019-08-07T06:23:00Z</dcterms:created>
  <dcterms:modified xsi:type="dcterms:W3CDTF">2019-08-07T06:23:00Z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8e0fde-d954-47be-ab67-d16694a3feef_Enabled">
    <vt:lpwstr>True</vt:lpwstr>
  </property>
  <property fmtid="{D5CDD505-2E9C-101B-9397-08002B2CF9AE}" pid="3" name="MSIP_Label_1c8e0fde-d954-47be-ab67-d16694a3feef_SiteId">
    <vt:lpwstr>ec1ca250-c234-4d56-a76b-7dfb9eee0c46</vt:lpwstr>
  </property>
  <property fmtid="{D5CDD505-2E9C-101B-9397-08002B2CF9AE}" pid="4" name="MSIP_Label_1c8e0fde-d954-47be-ab67-d16694a3feef_Owner">
    <vt:lpwstr>Bart.Terburg@osram.com</vt:lpwstr>
  </property>
  <property fmtid="{D5CDD505-2E9C-101B-9397-08002B2CF9AE}" pid="5" name="MSIP_Label_1c8e0fde-d954-47be-ab67-d16694a3feef_SetDate">
    <vt:lpwstr>2019-04-24T17:59:17.7668207Z</vt:lpwstr>
  </property>
  <property fmtid="{D5CDD505-2E9C-101B-9397-08002B2CF9AE}" pid="6" name="MSIP_Label_1c8e0fde-d954-47be-ab67-d16694a3feef_Name">
    <vt:lpwstr>Internal Use</vt:lpwstr>
  </property>
  <property fmtid="{D5CDD505-2E9C-101B-9397-08002B2CF9AE}" pid="7" name="MSIP_Label_1c8e0fde-d954-47be-ab67-d16694a3feef_Application">
    <vt:lpwstr>Microsoft Azure Information Protection</vt:lpwstr>
  </property>
  <property fmtid="{D5CDD505-2E9C-101B-9397-08002B2CF9AE}" pid="8" name="MSIP_Label_1c8e0fde-d954-47be-ab67-d16694a3feef_Extended_MSFT_Method">
    <vt:lpwstr>Automatic</vt:lpwstr>
  </property>
  <property fmtid="{D5CDD505-2E9C-101B-9397-08002B2CF9AE}" pid="9" name="MSIP_Label_f9dda1df-3fca-45c7-91be-5629a3733338_Enabled">
    <vt:lpwstr>True</vt:lpwstr>
  </property>
  <property fmtid="{D5CDD505-2E9C-101B-9397-08002B2CF9AE}" pid="10" name="MSIP_Label_f9dda1df-3fca-45c7-91be-5629a3733338_SiteId">
    <vt:lpwstr>ec1ca250-c234-4d56-a76b-7dfb9eee0c46</vt:lpwstr>
  </property>
  <property fmtid="{D5CDD505-2E9C-101B-9397-08002B2CF9AE}" pid="11" name="MSIP_Label_f9dda1df-3fca-45c7-91be-5629a3733338_Owner">
    <vt:lpwstr>Bart.Terburg@osram.com</vt:lpwstr>
  </property>
  <property fmtid="{D5CDD505-2E9C-101B-9397-08002B2CF9AE}" pid="12" name="MSIP_Label_f9dda1df-3fca-45c7-91be-5629a3733338_SetDate">
    <vt:lpwstr>2019-04-24T17:59:17.7668207Z</vt:lpwstr>
  </property>
  <property fmtid="{D5CDD505-2E9C-101B-9397-08002B2CF9AE}" pid="13" name="MSIP_Label_f9dda1df-3fca-45c7-91be-5629a3733338_Name">
    <vt:lpwstr>All employees (unprotected)</vt:lpwstr>
  </property>
  <property fmtid="{D5CDD505-2E9C-101B-9397-08002B2CF9AE}" pid="14" name="MSIP_Label_f9dda1df-3fca-45c7-91be-5629a3733338_Application">
    <vt:lpwstr>Microsoft Azure Information Protection</vt:lpwstr>
  </property>
  <property fmtid="{D5CDD505-2E9C-101B-9397-08002B2CF9AE}" pid="15" name="MSIP_Label_f9dda1df-3fca-45c7-91be-5629a3733338_Parent">
    <vt:lpwstr>1c8e0fde-d954-47be-ab67-d16694a3feef</vt:lpwstr>
  </property>
  <property fmtid="{D5CDD505-2E9C-101B-9397-08002B2CF9AE}" pid="16" name="MSIP_Label_f9dda1df-3fca-45c7-91be-5629a3733338_Extended_MSFT_Method">
    <vt:lpwstr>Automatic</vt:lpwstr>
  </property>
  <property fmtid="{D5CDD505-2E9C-101B-9397-08002B2CF9AE}" pid="17" name="Sensitivity">
    <vt:lpwstr>Internal Use All employees (unprotected)</vt:lpwstr>
  </property>
</Properties>
</file>