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07EC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07EC4" w:rsidP="00707EC4">
            <w:pPr>
              <w:jc w:val="right"/>
            </w:pPr>
            <w:r w:rsidRPr="00707EC4">
              <w:rPr>
                <w:sz w:val="40"/>
              </w:rPr>
              <w:t>ECE</w:t>
            </w:r>
            <w:r>
              <w:t>/TRANS/WP.29/GRE/2019/13</w:t>
            </w:r>
          </w:p>
        </w:tc>
      </w:tr>
      <w:tr w:rsidR="002D5A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07EC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07EC4" w:rsidRDefault="00707EC4" w:rsidP="00707E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August 2019</w:t>
            </w:r>
          </w:p>
          <w:p w:rsidR="00707EC4" w:rsidRDefault="00707EC4" w:rsidP="00707E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07EC4" w:rsidRPr="008D53B6" w:rsidRDefault="00707EC4" w:rsidP="00707EC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707EC4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  <w:bookmarkStart w:id="0" w:name="_GoBack"/>
      <w:bookmarkEnd w:id="0"/>
    </w:p>
    <w:p w:rsidR="00707EC4" w:rsidRPr="00707EC4" w:rsidRDefault="00707EC4" w:rsidP="00707EC4">
      <w:pPr>
        <w:spacing w:before="120"/>
        <w:rPr>
          <w:sz w:val="28"/>
          <w:szCs w:val="28"/>
        </w:rPr>
      </w:pPr>
      <w:r w:rsidRPr="00707EC4">
        <w:rPr>
          <w:sz w:val="28"/>
          <w:szCs w:val="28"/>
        </w:rPr>
        <w:t>Комитет по внутреннему транспорту</w:t>
      </w:r>
    </w:p>
    <w:p w:rsidR="00707EC4" w:rsidRPr="00707EC4" w:rsidRDefault="00707EC4" w:rsidP="00707EC4">
      <w:pPr>
        <w:spacing w:before="120"/>
        <w:rPr>
          <w:b/>
          <w:sz w:val="24"/>
          <w:szCs w:val="24"/>
        </w:rPr>
      </w:pPr>
      <w:r w:rsidRPr="00707EC4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07EC4">
        <w:rPr>
          <w:b/>
          <w:bCs/>
          <w:sz w:val="24"/>
          <w:szCs w:val="24"/>
        </w:rPr>
        <w:t>в области транспортных средств</w:t>
      </w:r>
    </w:p>
    <w:p w:rsidR="00707EC4" w:rsidRPr="00901234" w:rsidRDefault="00707EC4" w:rsidP="00707EC4">
      <w:pPr>
        <w:spacing w:before="120"/>
        <w:rPr>
          <w:b/>
        </w:rPr>
      </w:pPr>
      <w:r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  <w:t>и световой сигнализации</w:t>
      </w:r>
    </w:p>
    <w:p w:rsidR="00707EC4" w:rsidRPr="00901234" w:rsidRDefault="00707EC4" w:rsidP="00707EC4">
      <w:pPr>
        <w:spacing w:before="120"/>
        <w:rPr>
          <w:b/>
        </w:rPr>
      </w:pPr>
      <w:r>
        <w:rPr>
          <w:b/>
          <w:bCs/>
        </w:rPr>
        <w:t>Восемьдесят вторая сессия</w:t>
      </w:r>
    </w:p>
    <w:p w:rsidR="00707EC4" w:rsidRPr="00901234" w:rsidRDefault="00707EC4" w:rsidP="00707EC4">
      <w:r>
        <w:t>Женева, 22–25 октября 2019 года</w:t>
      </w:r>
    </w:p>
    <w:p w:rsidR="00707EC4" w:rsidRPr="00901234" w:rsidRDefault="00707EC4" w:rsidP="00707EC4">
      <w:r>
        <w:t>Пункт 1 предварительной повестки дня</w:t>
      </w:r>
    </w:p>
    <w:p w:rsidR="00707EC4" w:rsidRPr="00901234" w:rsidRDefault="00707EC4" w:rsidP="00707EC4">
      <w:pPr>
        <w:rPr>
          <w:b/>
        </w:rPr>
      </w:pPr>
      <w:r>
        <w:rPr>
          <w:b/>
          <w:bCs/>
        </w:rPr>
        <w:t>Утверждение повестки дня</w:t>
      </w:r>
    </w:p>
    <w:p w:rsidR="00707EC4" w:rsidRPr="00901234" w:rsidRDefault="00707EC4" w:rsidP="00707EC4">
      <w:pPr>
        <w:pStyle w:val="HChG"/>
      </w:pPr>
      <w:bookmarkStart w:id="1" w:name="OLE_LINK2"/>
      <w:r>
        <w:tab/>
      </w:r>
      <w:r>
        <w:tab/>
        <w:t>Аннотированная предварительная повестка дня шестьдесят второй сессии</w:t>
      </w:r>
      <w:r w:rsidRPr="00707EC4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707EC4">
        <w:t xml:space="preserve"> </w:t>
      </w:r>
      <w:r w:rsidRPr="00707EC4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3336D5">
        <w:rPr>
          <w:b w:val="0"/>
          <w:bCs/>
        </w:rPr>
        <w:t>,</w:t>
      </w:r>
      <w:r>
        <w:t xml:space="preserve"> </w:t>
      </w:r>
      <w:bookmarkEnd w:id="1"/>
    </w:p>
    <w:p w:rsidR="00707EC4" w:rsidRPr="00901234" w:rsidRDefault="00707EC4" w:rsidP="00707EC4">
      <w:pPr>
        <w:pStyle w:val="SingleTxtG"/>
      </w:pPr>
      <w:r>
        <w:t>которая состоится во Дворце Наций в Женеве, начнется в 09 ч 30 мин 22 октября 2019</w:t>
      </w:r>
      <w:r>
        <w:rPr>
          <w:lang w:val="en-US"/>
        </w:rPr>
        <w:t> </w:t>
      </w:r>
      <w:r>
        <w:t>года и завершится в 12 ч 30 мин 25 октября 2019 года</w:t>
      </w:r>
    </w:p>
    <w:p w:rsidR="00707EC4" w:rsidRPr="00901234" w:rsidRDefault="00707EC4" w:rsidP="00707EC4">
      <w:pPr>
        <w:pStyle w:val="HChG"/>
      </w:pPr>
      <w:r>
        <w:tab/>
        <w:t>I.</w:t>
      </w:r>
      <w:r>
        <w:tab/>
      </w:r>
      <w:r>
        <w:rPr>
          <w:bCs/>
        </w:rPr>
        <w:t>Предварительная повестка дня</w:t>
      </w:r>
    </w:p>
    <w:p w:rsidR="00707EC4" w:rsidRPr="00901234" w:rsidRDefault="00707EC4" w:rsidP="00707EC4">
      <w:pPr>
        <w:pStyle w:val="SingleTxtG"/>
      </w:pPr>
      <w:r>
        <w:t>1.</w:t>
      </w:r>
      <w:r>
        <w:tab/>
        <w:t>Утверждение повестки дня.</w:t>
      </w:r>
    </w:p>
    <w:p w:rsidR="00707EC4" w:rsidRPr="00901234" w:rsidRDefault="00707EC4" w:rsidP="00707EC4">
      <w:pPr>
        <w:pStyle w:val="SingleTxtG"/>
      </w:pPr>
      <w:r>
        <w:t>2.</w:t>
      </w:r>
      <w:r>
        <w:tab/>
        <w:t>Соглашение 1998 года − глобальные технические правила ООН: разработка.</w:t>
      </w:r>
    </w:p>
    <w:p w:rsidR="00707EC4" w:rsidRPr="00901234" w:rsidRDefault="00707EC4" w:rsidP="00707EC4">
      <w:pPr>
        <w:pStyle w:val="SingleTxtG"/>
      </w:pPr>
      <w:r>
        <w:t>3.</w:t>
      </w:r>
      <w:r>
        <w:tab/>
        <w:t>Соглашение 1997 года – предписания: разработка.</w:t>
      </w:r>
    </w:p>
    <w:p w:rsidR="00707EC4" w:rsidRPr="00901234" w:rsidRDefault="00707EC4" w:rsidP="00707EC4">
      <w:pPr>
        <w:pStyle w:val="SingleTxtG"/>
      </w:pPr>
      <w:r>
        <w:t>4.</w:t>
      </w:r>
      <w:r>
        <w:tab/>
        <w:t>Упрощение правил ООН, касающихся освещения и световой сигнализации.</w:t>
      </w:r>
    </w:p>
    <w:p w:rsidR="00707EC4" w:rsidRPr="00901234" w:rsidRDefault="00707EC4" w:rsidP="00707EC4">
      <w:pPr>
        <w:pStyle w:val="SingleTxtG"/>
        <w:ind w:left="1701" w:hanging="567"/>
      </w:pPr>
      <w:r>
        <w:lastRenderedPageBreak/>
        <w:t>5.</w:t>
      </w:r>
      <w:r>
        <w:tab/>
        <w:t>Правила ООН № 37 (лампы накаливания), 99 (газоразрядные источники света), 128 (источники света на светоизлучающих диодах) и Сводная резолюция по общей спецификации для категорий источников света.</w:t>
      </w:r>
    </w:p>
    <w:p w:rsidR="00707EC4" w:rsidRPr="00901234" w:rsidRDefault="00707EC4" w:rsidP="00707EC4">
      <w:pPr>
        <w:pStyle w:val="SingleTxtG"/>
      </w:pPr>
      <w:r>
        <w:t>6.</w:t>
      </w:r>
      <w:r>
        <w:tab/>
        <w:t>Правила № 48 ООН (установка устройств освещения и световой сигнализации):</w:t>
      </w:r>
    </w:p>
    <w:p w:rsidR="00707EC4" w:rsidRPr="00901234" w:rsidRDefault="00707EC4" w:rsidP="00707EC4">
      <w:pPr>
        <w:spacing w:after="120"/>
        <w:ind w:left="1134" w:right="1134"/>
        <w:jc w:val="both"/>
      </w:pPr>
      <w:r>
        <w:tab/>
      </w:r>
      <w:r>
        <w:tab/>
        <w:t>a)</w:t>
      </w:r>
      <w:r>
        <w:tab/>
        <w:t>предложения по поправкам к поправкам серии 05 и 06;</w:t>
      </w:r>
    </w:p>
    <w:p w:rsidR="00707EC4" w:rsidRPr="00901234" w:rsidRDefault="00707EC4" w:rsidP="00707EC4">
      <w:pPr>
        <w:spacing w:after="120"/>
        <w:ind w:left="1134" w:right="1134"/>
        <w:jc w:val="both"/>
      </w:pPr>
      <w:r>
        <w:tab/>
      </w:r>
      <w:r>
        <w:tab/>
        <w:t>b)</w:t>
      </w:r>
      <w:r>
        <w:tab/>
        <w:t>предложения по поправкам новой серии к Правилам № 48 ООН.</w:t>
      </w:r>
    </w:p>
    <w:p w:rsidR="00707EC4" w:rsidRPr="00901234" w:rsidRDefault="00707EC4" w:rsidP="00707EC4">
      <w:pPr>
        <w:pStyle w:val="SingleTxtG"/>
      </w:pPr>
      <w:r>
        <w:t>7.</w:t>
      </w:r>
      <w:r>
        <w:tab/>
        <w:t>Другие правила ООН:</w:t>
      </w:r>
    </w:p>
    <w:p w:rsidR="00707EC4" w:rsidRPr="00901234" w:rsidRDefault="00707EC4" w:rsidP="00707EC4">
      <w:pPr>
        <w:pStyle w:val="SingleTxtG"/>
        <w:ind w:left="2265" w:hanging="564"/>
      </w:pPr>
      <w:r>
        <w:t>a)</w:t>
      </w:r>
      <w:r>
        <w:tab/>
        <w:t>Правила № 10 ООН (электромагнитная совместимость);</w:t>
      </w:r>
    </w:p>
    <w:p w:rsidR="00707EC4" w:rsidRPr="00901234" w:rsidRDefault="00707EC4" w:rsidP="00707EC4">
      <w:pPr>
        <w:pStyle w:val="SingleTxtG"/>
        <w:ind w:left="2268" w:hanging="558"/>
      </w:pPr>
      <w:r>
        <w:t>b)</w:t>
      </w:r>
      <w:r>
        <w:tab/>
        <w:t>Правила № 53 ООН (установка устройств освещения и световой сигнализации для транспортных средств категории L</w:t>
      </w:r>
      <w:r w:rsidRPr="00B26F87">
        <w:rPr>
          <w:vertAlign w:val="subscript"/>
        </w:rPr>
        <w:t>3</w:t>
      </w:r>
      <w:r>
        <w:t>);</w:t>
      </w:r>
    </w:p>
    <w:p w:rsidR="00707EC4" w:rsidRPr="00B26F87" w:rsidRDefault="00707EC4" w:rsidP="00707EC4">
      <w:pPr>
        <w:pStyle w:val="SingleTxtG"/>
        <w:ind w:left="2265" w:hanging="564"/>
      </w:pPr>
      <w:r>
        <w:t>с)</w:t>
      </w:r>
      <w:r>
        <w:tab/>
        <w:t>Правила № 65 ООН (специальные предупреждающие огни).</w:t>
      </w:r>
    </w:p>
    <w:p w:rsidR="00707EC4" w:rsidRPr="00901234" w:rsidRDefault="00707EC4" w:rsidP="00707EC4">
      <w:pPr>
        <w:pStyle w:val="SingleTxtG"/>
      </w:pPr>
      <w:r>
        <w:t>8.</w:t>
      </w:r>
      <w:r>
        <w:tab/>
        <w:t>Прочие вопросы:</w:t>
      </w:r>
    </w:p>
    <w:p w:rsidR="00707EC4" w:rsidRPr="00901234" w:rsidRDefault="00707EC4" w:rsidP="00707EC4">
      <w:pPr>
        <w:pStyle w:val="SingleTxtG"/>
        <w:ind w:left="2263" w:right="1138" w:hanging="562"/>
      </w:pPr>
      <w:r>
        <w:t>a)</w:t>
      </w:r>
      <w:r>
        <w:tab/>
        <w:t>разработка международной системы официального утверждения типа комплектного транспортного средства;</w:t>
      </w:r>
    </w:p>
    <w:p w:rsidR="00707EC4" w:rsidRPr="00901234" w:rsidRDefault="00707EC4" w:rsidP="00707EC4">
      <w:pPr>
        <w:pStyle w:val="SingleTxtG"/>
      </w:pPr>
      <w:r>
        <w:tab/>
      </w:r>
      <w:r>
        <w:tab/>
        <w:t>b)</w:t>
      </w:r>
      <w:r>
        <w:tab/>
        <w:t>поправки к Конвенции о дорожном движении (Вена, 1968 год);</w:t>
      </w:r>
    </w:p>
    <w:p w:rsidR="00707EC4" w:rsidRPr="00901234" w:rsidRDefault="00707EC4" w:rsidP="00707EC4">
      <w:pPr>
        <w:pStyle w:val="SingleTxtG"/>
        <w:ind w:left="2263" w:right="1138" w:hanging="562"/>
      </w:pPr>
      <w:r>
        <w:t>с)</w:t>
      </w:r>
      <w:r>
        <w:tab/>
        <w:t>Десятилетие действий по обеспечению безопасности дорожного движения на 2011−2020 годы;</w:t>
      </w:r>
    </w:p>
    <w:p w:rsidR="00707EC4" w:rsidRPr="00901234" w:rsidRDefault="00707EC4" w:rsidP="00707EC4">
      <w:pPr>
        <w:pStyle w:val="SingleTxtG"/>
      </w:pPr>
      <w:r>
        <w:tab/>
      </w:r>
      <w:r>
        <w:tab/>
        <w:t>d)</w:t>
      </w:r>
      <w:r>
        <w:tab/>
        <w:t>просьбы Комитета по внутреннему транспорту;</w:t>
      </w:r>
    </w:p>
    <w:p w:rsidR="00707EC4" w:rsidRPr="00901234" w:rsidRDefault="00707EC4" w:rsidP="00707EC4">
      <w:pPr>
        <w:pStyle w:val="SingleTxtG"/>
      </w:pPr>
      <w:r>
        <w:tab/>
      </w:r>
      <w:r>
        <w:tab/>
        <w:t>e)</w:t>
      </w:r>
      <w:r>
        <w:tab/>
        <w:t>устаревшие переходные положения.</w:t>
      </w:r>
    </w:p>
    <w:p w:rsidR="00707EC4" w:rsidRPr="00901234" w:rsidRDefault="00707EC4" w:rsidP="00707EC4">
      <w:pPr>
        <w:pStyle w:val="SingleTxtG"/>
      </w:pPr>
      <w:r>
        <w:t>9.</w:t>
      </w:r>
      <w:r>
        <w:tab/>
        <w:t>Новые вопросы и несвоевременно представленные документы.</w:t>
      </w:r>
    </w:p>
    <w:p w:rsidR="00707EC4" w:rsidRPr="00901234" w:rsidRDefault="00707EC4" w:rsidP="00707EC4">
      <w:pPr>
        <w:pStyle w:val="SingleTxtG"/>
      </w:pPr>
      <w:r>
        <w:t>10.</w:t>
      </w:r>
      <w:r>
        <w:tab/>
        <w:t>Направления будущей работы GRE.</w:t>
      </w:r>
    </w:p>
    <w:p w:rsidR="00707EC4" w:rsidRPr="00901234" w:rsidRDefault="00707EC4" w:rsidP="00707EC4">
      <w:pPr>
        <w:pStyle w:val="SingleTxtG"/>
      </w:pPr>
      <w:r>
        <w:t>11.</w:t>
      </w:r>
      <w:r>
        <w:tab/>
        <w:t xml:space="preserve">Предварительная повестка дня следующей сессии. </w:t>
      </w:r>
    </w:p>
    <w:p w:rsidR="00707EC4" w:rsidRPr="00901234" w:rsidRDefault="00707EC4" w:rsidP="00707EC4">
      <w:pPr>
        <w:pStyle w:val="SingleTxtG"/>
      </w:pPr>
      <w:r>
        <w:t>12.</w:t>
      </w:r>
      <w:r>
        <w:tab/>
        <w:t>Выборы должностных лиц.</w:t>
      </w:r>
    </w:p>
    <w:p w:rsidR="00707EC4" w:rsidRPr="00901234" w:rsidRDefault="00707EC4" w:rsidP="00707EC4">
      <w:pPr>
        <w:pStyle w:val="HChG"/>
      </w:pPr>
      <w:r>
        <w:tab/>
        <w:t>II.</w:t>
      </w:r>
      <w:r>
        <w:tab/>
      </w:r>
      <w:r>
        <w:rPr>
          <w:bCs/>
        </w:rPr>
        <w:t>Аннотации</w:t>
      </w:r>
    </w:p>
    <w:p w:rsidR="00707EC4" w:rsidRPr="00901234" w:rsidRDefault="00707EC4" w:rsidP="00707EC4">
      <w:pPr>
        <w:pStyle w:val="H1G"/>
      </w:pPr>
      <w:r>
        <w:tab/>
        <w:t>1.</w:t>
      </w:r>
      <w:r>
        <w:tab/>
      </w:r>
      <w:r>
        <w:rPr>
          <w:bCs/>
        </w:rPr>
        <w:t>Утверждение повестки дня</w:t>
      </w:r>
    </w:p>
    <w:p w:rsidR="00707EC4" w:rsidRPr="00901234" w:rsidRDefault="00707EC4" w:rsidP="00707EC4">
      <w:pPr>
        <w:pStyle w:val="SingleTxtG"/>
        <w:ind w:firstLine="567"/>
      </w:pPr>
      <w:r>
        <w:t>В соответствии с правилом 7 главы III правил процедуры Всемирного форума для согласования правил в области транспортных средств (WP.29) (TRANS/WP.29/</w:t>
      </w:r>
      <w:r>
        <w:br/>
        <w:t>690, Amend.1 и Amend.2) первым пунктом предварительной повестки дня является ее утверждение.</w:t>
      </w:r>
    </w:p>
    <w:p w:rsidR="00707EC4" w:rsidRPr="00901234" w:rsidRDefault="00707EC4" w:rsidP="00707EC4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ECE/TRANS/WP.29/GRE/2019/13</w:t>
      </w:r>
    </w:p>
    <w:p w:rsidR="00707EC4" w:rsidRPr="00901234" w:rsidRDefault="00707EC4" w:rsidP="00707EC4">
      <w:pPr>
        <w:pStyle w:val="H1G"/>
      </w:pPr>
      <w:r>
        <w:tab/>
        <w:t>2.</w:t>
      </w:r>
      <w:r>
        <w:tab/>
        <w:t>Соглашение 1998 года − глобальные технические правила ООН: разработка</w:t>
      </w:r>
    </w:p>
    <w:p w:rsidR="00707EC4" w:rsidRPr="00901234" w:rsidRDefault="00707EC4" w:rsidP="00707EC4">
      <w:pPr>
        <w:pStyle w:val="SingleTxtG"/>
        <w:ind w:firstLine="567"/>
      </w:pPr>
      <w:r>
        <w:t>Рабочая группа по вопросам освещения и световой сигнализации (GRE), возможно, пожелает возобновить рассмотрение этого вопроса в ожидании новых предложений и спонсоров для разработки глобальных технических правил ООН (ГТП ООН). На своей предыдущей сессии GRE провела обмен мнениями по вопросу о том, можно ли разработать новые ГТП ООН на этапе 2 упрощения правил ООН, касающихся освещения и световой сигнализации (УПОС), или по итогам рассмотрения функций световой сигнализации автоматических/автономных транспортных средств.</w:t>
      </w:r>
    </w:p>
    <w:p w:rsidR="00707EC4" w:rsidRPr="00901234" w:rsidRDefault="00707EC4" w:rsidP="00707EC4">
      <w:pPr>
        <w:pStyle w:val="SingleTxtG"/>
        <w:spacing w:after="0"/>
        <w:ind w:left="2268" w:hanging="1134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ECE/TRANS/WP.29/GRE/81, пункт 5</w:t>
      </w:r>
    </w:p>
    <w:p w:rsidR="00707EC4" w:rsidRPr="00901234" w:rsidRDefault="00707EC4" w:rsidP="00707EC4">
      <w:pPr>
        <w:pStyle w:val="H1G"/>
      </w:pPr>
      <w:r>
        <w:lastRenderedPageBreak/>
        <w:tab/>
        <w:t>3.</w:t>
      </w:r>
      <w:r>
        <w:tab/>
        <w:t>Соглашение 1997 года – предписания: разработка</w:t>
      </w:r>
    </w:p>
    <w:p w:rsidR="00707EC4" w:rsidRPr="00901234" w:rsidRDefault="00707EC4" w:rsidP="00707EC4">
      <w:pPr>
        <w:pStyle w:val="SingleTxtG"/>
        <w:ind w:firstLine="567"/>
      </w:pPr>
      <w:r>
        <w:t xml:space="preserve">GRE рассмотрит новые предложения по поправкам к предписаниям, если таковые будут представлены. </w:t>
      </w:r>
    </w:p>
    <w:p w:rsidR="00707EC4" w:rsidRPr="00901234" w:rsidRDefault="00707EC4" w:rsidP="00707EC4">
      <w:pPr>
        <w:pStyle w:val="H1G"/>
      </w:pPr>
      <w:r>
        <w:tab/>
        <w:t>4.</w:t>
      </w:r>
      <w:r>
        <w:tab/>
        <w:t>Упрощение правил ООН, касающихся освещения и световой сигнализации</w:t>
      </w:r>
    </w:p>
    <w:p w:rsidR="00707EC4" w:rsidRPr="00901234" w:rsidRDefault="00707EC4" w:rsidP="00707EC4">
      <w:pPr>
        <w:pStyle w:val="SingleTxtG"/>
        <w:ind w:firstLine="567"/>
      </w:pPr>
      <w:r>
        <w:t>GRE будет проинформирована о ходе работы неофициальной рабочей группы по упрощению правил в области освещения и световой сигнализации (НРГ по УПО</w:t>
      </w:r>
      <w:r>
        <w:rPr>
          <w:lang w:val="en-US"/>
        </w:rPr>
        <w:t>C</w:t>
      </w:r>
      <w:r>
        <w:t xml:space="preserve">). </w:t>
      </w:r>
    </w:p>
    <w:p w:rsidR="00707EC4" w:rsidRPr="00901234" w:rsidRDefault="00707EC4" w:rsidP="00707EC4">
      <w:pPr>
        <w:pStyle w:val="SingleTxtG"/>
        <w:ind w:firstLine="567"/>
      </w:pPr>
      <w:r>
        <w:t xml:space="preserve">GRE примет к сведению, что, как ожидается, 15 ноября 2019 года вступят в силу три новых упрощенных правила ООН № [148] (устройства световой сигнализации (УСС)), [149] (устройства освещения дороги (УОД)) и [150] (светоотражающие устройства (СОУ)). В этой связи GRE рассмотрит срочное предложение НРГ по УПОС, предусматривающее исправление ошибок, непреднамеренно внесенных в текст новых Правил № [149] ООН. Одновременно это же предложение представляется WP.29 на его сессии в ноябре 2019 года под официальным условным обозначением WP.29. </w:t>
      </w:r>
    </w:p>
    <w:p w:rsidR="00707EC4" w:rsidRPr="00901234" w:rsidRDefault="00707EC4" w:rsidP="00707EC4">
      <w:pPr>
        <w:pStyle w:val="SingleTxtG"/>
        <w:ind w:left="2268" w:hanging="1134"/>
      </w:pPr>
      <w:r>
        <w:rPr>
          <w:b/>
          <w:bCs/>
        </w:rPr>
        <w:t>Документация:</w:t>
      </w:r>
      <w:r>
        <w:t xml:space="preserve"> </w:t>
      </w:r>
      <w:r>
        <w:tab/>
        <w:t>неофициальный документ GRE-82-02</w:t>
      </w:r>
    </w:p>
    <w:p w:rsidR="00707EC4" w:rsidRPr="00901234" w:rsidRDefault="00707EC4" w:rsidP="00707EC4">
      <w:pPr>
        <w:pStyle w:val="SingleTxtG"/>
        <w:ind w:firstLine="567"/>
      </w:pPr>
      <w:r>
        <w:t xml:space="preserve">GRE, возможно, пожелает также рассмотреть предложения о внесении дальнейших поправок в три новых правила, которые были подготовлены НРГ по УПОС. </w:t>
      </w:r>
    </w:p>
    <w:p w:rsidR="00707EC4" w:rsidRPr="00901234" w:rsidRDefault="00707EC4" w:rsidP="00707EC4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ECE/TRANS/WP.29/GRE/2019/24,</w:t>
      </w:r>
      <w:r>
        <w:tab/>
        <w:t>ECE/TRANS/WP.29/GRE/2019/25, ECE/TRANS/WP.29/GRE/2019/26</w:t>
      </w:r>
    </w:p>
    <w:p w:rsidR="00707EC4" w:rsidRPr="00901234" w:rsidRDefault="00707EC4" w:rsidP="00707EC4">
      <w:pPr>
        <w:pStyle w:val="SingleTxtG"/>
        <w:ind w:firstLine="567"/>
      </w:pPr>
      <w:r>
        <w:t xml:space="preserve">GRE обсудит пересмотренные предложения по поправкам к Правилам № [148] ООН и Правилам № 48 ООН, которые были представлены экспертами от Германии и Франции и в которых предусмотрены условия использования логотипов внутри освещающей поверхности сигнального огня.  </w:t>
      </w:r>
    </w:p>
    <w:p w:rsidR="00707EC4" w:rsidRPr="00901234" w:rsidRDefault="00707EC4" w:rsidP="00707EC4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 xml:space="preserve"> </w:t>
      </w:r>
      <w:r>
        <w:tab/>
        <w:t xml:space="preserve">ECE/TRANS/WP.29/GRE/2019/28 </w:t>
      </w:r>
    </w:p>
    <w:p w:rsidR="00707EC4" w:rsidRPr="00901234" w:rsidRDefault="00707EC4" w:rsidP="00707EC4">
      <w:pPr>
        <w:pStyle w:val="SingleTxtG"/>
        <w:ind w:firstLine="567"/>
      </w:pPr>
      <w:r>
        <w:t xml:space="preserve">GRE рассмотрит представленное экспертом от Германии обновленное предложение, которое вводит в Правила № [148] ООН, касающиеся устройств световой сигнализации, требования к испытанию на воздействие солнечного света.  </w:t>
      </w:r>
    </w:p>
    <w:p w:rsidR="00707EC4" w:rsidRPr="00901234" w:rsidRDefault="00707EC4" w:rsidP="00707EC4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ECE/TRANS/WP.29/GRE/2019/22</w:t>
      </w:r>
    </w:p>
    <w:p w:rsidR="00707EC4" w:rsidRPr="00901234" w:rsidRDefault="00707EC4" w:rsidP="00707EC4">
      <w:pPr>
        <w:pStyle w:val="SingleTxtG"/>
        <w:ind w:firstLine="567"/>
      </w:pPr>
      <w:r>
        <w:t xml:space="preserve">GRE возобновит обсуждение различных вариантов использования уникального идентификатора (УИ) для новых упрощенных правил ООН и будет проинформирована о мнениях НРГ по базе данных для обмена документацией об официальном утверждении типа (ДЕТА).  </w:t>
      </w:r>
    </w:p>
    <w:p w:rsidR="00707EC4" w:rsidRPr="00901234" w:rsidRDefault="00707EC4" w:rsidP="00707EC4">
      <w:pPr>
        <w:pStyle w:val="SingleTxtG"/>
        <w:ind w:left="2268" w:hanging="1134"/>
      </w:pPr>
      <w:r>
        <w:rPr>
          <w:b/>
          <w:bCs/>
        </w:rPr>
        <w:t>Документация:</w:t>
      </w:r>
      <w:r>
        <w:t xml:space="preserve"> </w:t>
      </w:r>
      <w:r>
        <w:tab/>
        <w:t>неофициальный документ GRE-81-20</w:t>
      </w:r>
    </w:p>
    <w:p w:rsidR="00707EC4" w:rsidRPr="00901234" w:rsidRDefault="00707EC4" w:rsidP="00707EC4">
      <w:pPr>
        <w:pStyle w:val="H1G"/>
      </w:pPr>
      <w:r>
        <w:tab/>
        <w:t>5.</w:t>
      </w:r>
      <w:r>
        <w:tab/>
      </w:r>
      <w:r>
        <w:rPr>
          <w:bCs/>
        </w:rPr>
        <w:t>Правила ООН № 37 (лампы накаливания), 99 (газоразрядные источники света), 128 (источники света на светоизлучающих диодах) и Сводная резолюция по общей спецификации для</w:t>
      </w:r>
      <w:r w:rsidR="00CB41ED">
        <w:rPr>
          <w:bCs/>
        </w:rPr>
        <w:t> </w:t>
      </w:r>
      <w:r>
        <w:rPr>
          <w:bCs/>
        </w:rPr>
        <w:t>категорий источников света</w:t>
      </w:r>
    </w:p>
    <w:p w:rsidR="00707EC4" w:rsidRPr="00901234" w:rsidRDefault="00707EC4" w:rsidP="00707EC4">
      <w:pPr>
        <w:pStyle w:val="SingleTxtG"/>
        <w:ind w:firstLine="567"/>
      </w:pPr>
      <w:r>
        <w:t xml:space="preserve">GRE рассмотрит предложение, подготовленное экспертом от Международной группы экспертов по автомобильному освещению и световой сигнализации (БРГ), которое предусматривает внесение поправок в категории источников света L1A/6 и L1B/6 в Сводной резолюции об общей спецификации категорий источников света (СР.5), вместе с соответствующей поправкой к Правилам № 128 ООН. </w:t>
      </w:r>
    </w:p>
    <w:p w:rsidR="00707EC4" w:rsidRPr="00901234" w:rsidRDefault="00707EC4" w:rsidP="00707EC4">
      <w:pPr>
        <w:pStyle w:val="SingleTxtG"/>
        <w:ind w:left="2835" w:hanging="1701"/>
      </w:pPr>
      <w:r>
        <w:rPr>
          <w:b/>
          <w:bCs/>
        </w:rPr>
        <w:t>Документация:</w:t>
      </w:r>
      <w:r>
        <w:tab/>
        <w:t xml:space="preserve">ECE/TRANS/WP.29/GRE/2019/15, ECE/TRANS/WP.29/GRE/2019/16 </w:t>
      </w:r>
      <w:bookmarkStart w:id="2" w:name="_Hlk15915183"/>
      <w:bookmarkEnd w:id="2"/>
    </w:p>
    <w:p w:rsidR="00707EC4" w:rsidRPr="00901234" w:rsidRDefault="00707EC4" w:rsidP="00707EC4">
      <w:pPr>
        <w:pStyle w:val="SingleTxtG"/>
        <w:ind w:firstLine="567"/>
      </w:pPr>
      <w:r>
        <w:lastRenderedPageBreak/>
        <w:t xml:space="preserve">GRE может ожидать представления доклада о работе целевой группы по альтернативным и модифицированным устройствам (ЦГ по АМ) и рассмотрит ее предложения о включении требований относительно использования альтернативных источников света на светоизлучающих диодах (СИД) в новые Правила № [149] ООН, касающиеся устройств освещения дороги (УОД). </w:t>
      </w:r>
    </w:p>
    <w:p w:rsidR="00707EC4" w:rsidRPr="00901234" w:rsidRDefault="00707EC4" w:rsidP="00707EC4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ab/>
        <w:t>ECE/TRANS/WP.29/GRE/2019/19</w:t>
      </w:r>
    </w:p>
    <w:p w:rsidR="00707EC4" w:rsidRPr="00901234" w:rsidRDefault="00707EC4" w:rsidP="00707EC4">
      <w:pPr>
        <w:spacing w:after="120"/>
        <w:ind w:left="1134" w:right="1134"/>
        <w:jc w:val="both"/>
      </w:pPr>
      <w:r>
        <w:tab/>
      </w:r>
      <w:r>
        <w:tab/>
        <w:t>GRE предлагается также рассмотреть предложение ЦГ по АМ, касающееся введения в СР.5 нового светодиодного альтернативного источника света категории</w:t>
      </w:r>
      <w:r>
        <w:rPr>
          <w:lang w:val="en-US"/>
        </w:rPr>
        <w:t> </w:t>
      </w:r>
      <w:r>
        <w:t>H11/LED.</w:t>
      </w:r>
    </w:p>
    <w:p w:rsidR="00707EC4" w:rsidRPr="00901234" w:rsidRDefault="00707EC4" w:rsidP="00707EC4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ab/>
        <w:t xml:space="preserve">ECE/TRANS/WP.29/GRE/2019/21, </w:t>
      </w:r>
      <w:r w:rsidR="00CB41ED">
        <w:br/>
      </w:r>
      <w:r w:rsidR="00CB41ED">
        <w:tab/>
      </w:r>
      <w:r w:rsidR="00CB41ED">
        <w:tab/>
      </w:r>
      <w:r w:rsidR="00CB41ED">
        <w:tab/>
      </w:r>
      <w:r w:rsidR="00CB41ED">
        <w:tab/>
      </w:r>
      <w:r>
        <w:t>неофициальный документ GRE-82-03</w:t>
      </w:r>
    </w:p>
    <w:p w:rsidR="00707EC4" w:rsidRPr="00901234" w:rsidRDefault="00707EC4" w:rsidP="00707EC4">
      <w:pPr>
        <w:pStyle w:val="H1G"/>
        <w:rPr>
          <w:color w:val="000000"/>
        </w:rPr>
      </w:pPr>
      <w:r>
        <w:tab/>
        <w:t>6.</w:t>
      </w:r>
      <w:r>
        <w:tab/>
      </w:r>
      <w:r>
        <w:rPr>
          <w:bCs/>
        </w:rPr>
        <w:t>Правила № 48 ООН (установка устройств освещения и световой сигнализации)</w:t>
      </w:r>
    </w:p>
    <w:p w:rsidR="00707EC4" w:rsidRPr="00901234" w:rsidRDefault="00707EC4" w:rsidP="00707EC4">
      <w:pPr>
        <w:pStyle w:val="H23G"/>
        <w:rPr>
          <w:color w:val="000000"/>
        </w:rPr>
      </w:pPr>
      <w:r>
        <w:tab/>
        <w:t>a)</w:t>
      </w:r>
      <w:r>
        <w:tab/>
        <w:t xml:space="preserve">Предложения по поправкам к поправкам серии 05 и 06 </w:t>
      </w:r>
    </w:p>
    <w:p w:rsidR="00707EC4" w:rsidRPr="00901234" w:rsidRDefault="00707EC4" w:rsidP="00707EC4">
      <w:pPr>
        <w:pStyle w:val="SingleTxtG"/>
        <w:ind w:firstLine="567"/>
        <w:rPr>
          <w:color w:val="000000"/>
        </w:rPr>
      </w:pPr>
      <w:r>
        <w:t xml:space="preserve">GRE рассмотрит предложение, подготовленное экспертом от Германии, которое допускает ручное отключение всех устройств освещения в особых случаях.  </w:t>
      </w:r>
    </w:p>
    <w:p w:rsidR="00707EC4" w:rsidRPr="00901234" w:rsidRDefault="00707EC4" w:rsidP="00707EC4">
      <w:pPr>
        <w:pStyle w:val="SingleTxtG"/>
        <w:ind w:left="2835" w:hanging="1701"/>
        <w:rPr>
          <w:color w:val="000000"/>
        </w:rPr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ECE/TRANS/WP.29/GRE/2019/14</w:t>
      </w:r>
    </w:p>
    <w:p w:rsidR="00707EC4" w:rsidRPr="00901234" w:rsidRDefault="00707EC4" w:rsidP="00707EC4">
      <w:pPr>
        <w:pStyle w:val="SingleTxtG"/>
        <w:rPr>
          <w:bCs/>
          <w:color w:val="000000"/>
        </w:rPr>
      </w:pPr>
      <w:r>
        <w:tab/>
      </w:r>
      <w:r>
        <w:tab/>
        <w:t xml:space="preserve">GRE, возможно, пожелает напомнить о состоявшемся на предыдущей сессии обсуждении вопроса о включении аварийных сигналов при открывании дверей в транспортных средствах, не оборудованных системой помощи и предупреждения, предназначенной для дверей. В соответствии с поручением GRE секретариат довел этот вопрос до сведения Рабочей группы по общим предписаниям, касающимся безопасности (GRSG). GRE будет проинформирована о результатах рассмотрения GRSG.  </w:t>
      </w:r>
    </w:p>
    <w:p w:rsidR="00707EC4" w:rsidRPr="00901234" w:rsidRDefault="00707EC4" w:rsidP="00707EC4">
      <w:pPr>
        <w:pStyle w:val="SingleTxtG"/>
        <w:spacing w:after="0"/>
        <w:ind w:left="2268" w:hanging="1134"/>
        <w:rPr>
          <w:bCs/>
          <w:color w:val="000000"/>
        </w:rPr>
      </w:pPr>
      <w:r>
        <w:rPr>
          <w:b/>
          <w:bCs/>
        </w:rPr>
        <w:t>Документация:</w:t>
      </w:r>
      <w:r>
        <w:t xml:space="preserve"> </w:t>
      </w:r>
      <w:r>
        <w:tab/>
        <w:t xml:space="preserve">ECE/TRANS/WP.29/GRE/81, пункт 17 </w:t>
      </w:r>
    </w:p>
    <w:p w:rsidR="00707EC4" w:rsidRPr="00901234" w:rsidRDefault="00707EC4" w:rsidP="00707EC4">
      <w:pPr>
        <w:pStyle w:val="H23G"/>
        <w:rPr>
          <w:color w:val="000000"/>
        </w:rPr>
      </w:pPr>
      <w:r>
        <w:tab/>
        <w:t>b)</w:t>
      </w:r>
      <w:r>
        <w:tab/>
      </w:r>
      <w:r>
        <w:rPr>
          <w:bCs/>
        </w:rPr>
        <w:t>Предложения по поправкам новой серии к Правилам № 48 ООН</w:t>
      </w:r>
    </w:p>
    <w:p w:rsidR="00707EC4" w:rsidRPr="00901234" w:rsidRDefault="00707EC4" w:rsidP="00707EC4">
      <w:pPr>
        <w:pStyle w:val="SingleTxtG"/>
        <w:ind w:firstLine="567"/>
        <w:rPr>
          <w:color w:val="000000"/>
        </w:rPr>
      </w:pPr>
      <w:r>
        <w:t>GRE, возможно, пожелает рассмотреть предложение по поправкам новой серии, подготовленное экспертом от специальной группы заинтересованных экспертов, в котором определены условия переключения фар ближнего света и дневных ходовых огней (ДХО) и изменяемой силы света задних огней в зависимости от дорожных условий.</w:t>
      </w:r>
    </w:p>
    <w:p w:rsidR="00707EC4" w:rsidRPr="00901234" w:rsidRDefault="00707EC4" w:rsidP="00707EC4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ECE/TRANS/WP.29/GRE/2019/20</w:t>
      </w:r>
    </w:p>
    <w:p w:rsidR="00707EC4" w:rsidRPr="00901234" w:rsidRDefault="00707EC4" w:rsidP="00707EC4">
      <w:pPr>
        <w:pStyle w:val="SingleTxtG"/>
        <w:ind w:firstLine="567"/>
        <w:rPr>
          <w:color w:val="000000"/>
        </w:rPr>
      </w:pPr>
      <w:r>
        <w:t xml:space="preserve">GRE рассмотрит также еще одно предложение о новой серии поправок, подготовленных экспертом от специальной группы заинтересованных экспертов, в котором уточняются определения терминов «переключение» и «активация», а также вводится обязательное использование сигнала экстренного торможения (СЭТ). </w:t>
      </w:r>
    </w:p>
    <w:p w:rsidR="00707EC4" w:rsidRPr="00901234" w:rsidRDefault="00707EC4" w:rsidP="00707EC4">
      <w:pPr>
        <w:pStyle w:val="SingleTxtG"/>
        <w:rPr>
          <w:color w:val="000000"/>
        </w:rPr>
      </w:pPr>
      <w:r>
        <w:rPr>
          <w:b/>
          <w:bCs/>
        </w:rPr>
        <w:t>Документация:</w:t>
      </w:r>
      <w:r>
        <w:tab/>
        <w:t>ECE/TRANS/WP.29/GRE/2019/29</w:t>
      </w:r>
    </w:p>
    <w:p w:rsidR="00707EC4" w:rsidRPr="00901234" w:rsidRDefault="00707EC4" w:rsidP="00707EC4">
      <w:pPr>
        <w:pStyle w:val="H1G"/>
        <w:rPr>
          <w:color w:val="000000"/>
        </w:rPr>
      </w:pPr>
      <w:r>
        <w:tab/>
        <w:t>7.</w:t>
      </w:r>
      <w:r>
        <w:tab/>
      </w:r>
      <w:r>
        <w:rPr>
          <w:bCs/>
        </w:rPr>
        <w:t>Другие правила ООН</w:t>
      </w:r>
    </w:p>
    <w:p w:rsidR="00707EC4" w:rsidRPr="00901234" w:rsidRDefault="00707EC4" w:rsidP="00707EC4">
      <w:pPr>
        <w:pStyle w:val="H23G"/>
      </w:pPr>
      <w:r>
        <w:tab/>
        <w:t>a)</w:t>
      </w:r>
      <w:r>
        <w:tab/>
      </w:r>
      <w:r>
        <w:rPr>
          <w:bCs/>
        </w:rPr>
        <w:t>Правила № 10 ООН (электромагнитная совместимость)</w:t>
      </w:r>
    </w:p>
    <w:p w:rsidR="00707EC4" w:rsidRPr="00901234" w:rsidRDefault="00707EC4" w:rsidP="00707EC4">
      <w:pPr>
        <w:spacing w:after="120"/>
        <w:ind w:left="1134" w:right="1134" w:firstLine="567"/>
        <w:jc w:val="both"/>
      </w:pPr>
      <w:r>
        <w:t>GRE рассмотрит предложение эксперта от Нидерландов, направленное на улучшение текста пункта 3.1.8.</w:t>
      </w:r>
    </w:p>
    <w:p w:rsidR="00707EC4" w:rsidRPr="00901234" w:rsidRDefault="00707EC4" w:rsidP="00707EC4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 xml:space="preserve"> </w:t>
      </w:r>
      <w:r>
        <w:tab/>
        <w:t xml:space="preserve">ECE/TRANS/WP.29/GRE/2019/27 </w:t>
      </w:r>
    </w:p>
    <w:p w:rsidR="00707EC4" w:rsidRPr="00901234" w:rsidRDefault="00707EC4" w:rsidP="00707EC4">
      <w:pPr>
        <w:spacing w:after="120"/>
        <w:ind w:left="1134" w:right="1134"/>
        <w:jc w:val="both"/>
        <w:rPr>
          <w:bCs/>
        </w:rPr>
      </w:pPr>
      <w:r>
        <w:tab/>
      </w:r>
      <w:r>
        <w:tab/>
        <w:t>GRE будет проинформирована о том, что GRSG завершает подготовку предложений по разделению Правил № 116 ООН и просит GRE, в частности ее целевую группу по электромагнитной совместимости (ЦГ ЭМС), тщательно изучить положения приложения 5 по ЭМС.</w:t>
      </w:r>
    </w:p>
    <w:p w:rsidR="00707EC4" w:rsidRPr="00901234" w:rsidRDefault="00707EC4" w:rsidP="00707EC4">
      <w:pPr>
        <w:pStyle w:val="H23G"/>
      </w:pPr>
      <w:r>
        <w:lastRenderedPageBreak/>
        <w:tab/>
        <w:t>b)</w:t>
      </w:r>
      <w:r>
        <w:tab/>
        <w:t>Правила № 53 ООН (установка устройств освещения и световой сигнализации для транспортных средств категории L</w:t>
      </w:r>
      <w:r w:rsidRPr="00D629BD">
        <w:rPr>
          <w:vertAlign w:val="subscript"/>
        </w:rPr>
        <w:t>3</w:t>
      </w:r>
      <w:r>
        <w:t>)</w:t>
      </w:r>
    </w:p>
    <w:p w:rsidR="00707EC4" w:rsidRPr="00901234" w:rsidRDefault="00707EC4" w:rsidP="00707EC4">
      <w:pPr>
        <w:spacing w:after="120"/>
        <w:ind w:left="1134" w:right="1134" w:firstLine="567"/>
        <w:jc w:val="both"/>
      </w:pPr>
      <w:r>
        <w:t xml:space="preserve">GRE, возможно, пожелает рассмотреть предложение эксперта от Индии, в соответствии с которым установка передних габаритных огней является факультативной. </w:t>
      </w:r>
    </w:p>
    <w:p w:rsidR="00707EC4" w:rsidRPr="00901234" w:rsidRDefault="00707EC4" w:rsidP="00707EC4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ECE/TRANS/WP.29/GRE/2019/18</w:t>
      </w:r>
    </w:p>
    <w:p w:rsidR="00707EC4" w:rsidRPr="00901234" w:rsidRDefault="00707EC4" w:rsidP="00707EC4">
      <w:pPr>
        <w:spacing w:after="120"/>
        <w:ind w:left="1134" w:right="1134" w:firstLine="567"/>
        <w:jc w:val="both"/>
      </w:pPr>
      <w:r>
        <w:t xml:space="preserve">GRE, возможно, пожелает рассмотреть предложение эксперта от Международной ассоциации заводов-изготовителей мотоциклов (МАЗМ) о согласовании текста поправок серии 03 к Правилам № 53 ООН с последними изменениями к поправкам серии 01 и 02.  </w:t>
      </w:r>
    </w:p>
    <w:p w:rsidR="00707EC4" w:rsidRPr="00901234" w:rsidRDefault="00707EC4" w:rsidP="00707EC4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ECE/TRANS/WP.29/GRE/2019/23</w:t>
      </w:r>
    </w:p>
    <w:p w:rsidR="00707EC4" w:rsidRPr="00901234" w:rsidRDefault="00707EC4" w:rsidP="00707EC4">
      <w:pPr>
        <w:pStyle w:val="H23G"/>
      </w:pPr>
      <w:r>
        <w:tab/>
        <w:t>c)</w:t>
      </w:r>
      <w:r>
        <w:tab/>
      </w:r>
      <w:r>
        <w:rPr>
          <w:bCs/>
        </w:rPr>
        <w:t>Правила № 65 ООН (специальные предупреждающие огни)</w:t>
      </w:r>
    </w:p>
    <w:p w:rsidR="00707EC4" w:rsidRPr="00901234" w:rsidRDefault="00707EC4" w:rsidP="00707EC4">
      <w:pPr>
        <w:spacing w:after="120"/>
        <w:ind w:left="1134" w:right="1134" w:firstLine="567"/>
        <w:jc w:val="both"/>
      </w:pPr>
      <w:r>
        <w:t>GRE рассмотрит предложение по исправлениям, представленное экспертом от БРГ.</w:t>
      </w:r>
    </w:p>
    <w:p w:rsidR="00707EC4" w:rsidRPr="00901234" w:rsidRDefault="00707EC4" w:rsidP="00707EC4">
      <w:pPr>
        <w:spacing w:after="120"/>
        <w:ind w:left="1134" w:right="1134"/>
        <w:jc w:val="both"/>
      </w:pPr>
      <w:r>
        <w:rPr>
          <w:b/>
          <w:bCs/>
        </w:rPr>
        <w:t>Документация:</w:t>
      </w:r>
      <w:r>
        <w:t xml:space="preserve"> </w:t>
      </w:r>
      <w:r>
        <w:tab/>
        <w:t>ECE/TRANS/WP.29/GRE/2019/17</w:t>
      </w:r>
    </w:p>
    <w:p w:rsidR="00707EC4" w:rsidRPr="00901234" w:rsidRDefault="00707EC4" w:rsidP="00707EC4">
      <w:pPr>
        <w:pStyle w:val="H1G"/>
      </w:pPr>
      <w:r>
        <w:tab/>
        <w:t>8.</w:t>
      </w:r>
      <w:r>
        <w:tab/>
      </w:r>
      <w:r>
        <w:rPr>
          <w:bCs/>
        </w:rPr>
        <w:t>Прочие вопросы</w:t>
      </w:r>
    </w:p>
    <w:p w:rsidR="00707EC4" w:rsidRPr="00901234" w:rsidRDefault="00707EC4" w:rsidP="00707EC4">
      <w:pPr>
        <w:pStyle w:val="H23G"/>
        <w:rPr>
          <w:color w:val="000000"/>
        </w:rPr>
      </w:pPr>
      <w:r>
        <w:tab/>
        <w:t>a)</w:t>
      </w:r>
      <w:r>
        <w:tab/>
        <w:t>Разработка международной системы официального утверждения типа комплектного транспортного средства</w:t>
      </w:r>
    </w:p>
    <w:p w:rsidR="00707EC4" w:rsidRPr="00901234" w:rsidRDefault="00707EC4" w:rsidP="00707EC4">
      <w:pPr>
        <w:pStyle w:val="SingleTxtG"/>
        <w:rPr>
          <w:rFonts w:eastAsia="MS Mincho"/>
        </w:rPr>
      </w:pPr>
      <w:r>
        <w:tab/>
      </w:r>
      <w:r>
        <w:tab/>
        <w:t xml:space="preserve">GRE, возможно, заслушает устное сообщение специального представителя GRE по международному официальному утверждению типа комплектного транспортного средства (МОУТКТС), а также информацию о всех необходимых последующих шагах. </w:t>
      </w:r>
    </w:p>
    <w:p w:rsidR="00707EC4" w:rsidRPr="00901234" w:rsidRDefault="00707EC4" w:rsidP="00707EC4">
      <w:pPr>
        <w:pStyle w:val="SingleTxtG"/>
        <w:rPr>
          <w:color w:val="000000"/>
        </w:rPr>
      </w:pPr>
      <w:r>
        <w:tab/>
      </w:r>
      <w:r>
        <w:tab/>
        <w:t>GRE будет также проинформирована о разработке электронной базы данных для обмена документацией об официальном утверждении типа (ДЕТА).</w:t>
      </w:r>
    </w:p>
    <w:p w:rsidR="00707EC4" w:rsidRPr="00901234" w:rsidRDefault="00707EC4" w:rsidP="00707EC4">
      <w:pPr>
        <w:pStyle w:val="H23G"/>
        <w:rPr>
          <w:color w:val="000000"/>
        </w:rPr>
      </w:pPr>
      <w:r>
        <w:tab/>
        <w:t>b)</w:t>
      </w:r>
      <w:r>
        <w:tab/>
        <w:t>Поправки к Конвенции о дорожном движении (Вена, 1968 год)</w:t>
      </w:r>
    </w:p>
    <w:p w:rsidR="00707EC4" w:rsidRPr="00901234" w:rsidRDefault="00707EC4" w:rsidP="00707EC4">
      <w:pPr>
        <w:pStyle w:val="SingleTxtG"/>
        <w:rPr>
          <w:rFonts w:eastAsia="MS Mincho"/>
        </w:rPr>
      </w:pPr>
      <w:r>
        <w:tab/>
      </w:r>
      <w:r>
        <w:tab/>
        <w:t>GRE будет проинформирована об итогах обсуждения, проведенного Глобальным форумом по безопасности дорожного движения (WP.1) на его недавней сессии.</w:t>
      </w:r>
    </w:p>
    <w:p w:rsidR="00707EC4" w:rsidRPr="00901234" w:rsidRDefault="00707EC4" w:rsidP="00707EC4">
      <w:pPr>
        <w:pStyle w:val="H23G"/>
        <w:rPr>
          <w:color w:val="000000"/>
        </w:rPr>
      </w:pPr>
      <w:r>
        <w:tab/>
        <w:t>c)</w:t>
      </w:r>
      <w:r>
        <w:tab/>
      </w:r>
      <w:r>
        <w:rPr>
          <w:bCs/>
        </w:rPr>
        <w:t>Десятилетие действий по обеспечению безопасности дорожного движения на</w:t>
      </w:r>
      <w:r w:rsidR="0009379A">
        <w:rPr>
          <w:bCs/>
        </w:rPr>
        <w:t> </w:t>
      </w:r>
      <w:r>
        <w:rPr>
          <w:bCs/>
        </w:rPr>
        <w:t>2011−2020 годы</w:t>
      </w:r>
    </w:p>
    <w:p w:rsidR="00707EC4" w:rsidRPr="00901234" w:rsidRDefault="00707EC4" w:rsidP="00707EC4">
      <w:pPr>
        <w:pStyle w:val="SingleTxtG"/>
        <w:rPr>
          <w:rFonts w:eastAsia="MS Mincho"/>
        </w:rPr>
      </w:pPr>
      <w:r>
        <w:tab/>
      </w:r>
      <w:r>
        <w:tab/>
        <w:t>GRE будет предложено обменяться мнениями и обсудить национальные и международные тенденции в области безопасности дорожного движения, освещения и световой сигнализации.</w:t>
      </w:r>
    </w:p>
    <w:p w:rsidR="00707EC4" w:rsidRPr="00901234" w:rsidRDefault="00707EC4" w:rsidP="00707EC4">
      <w:pPr>
        <w:pStyle w:val="H23G"/>
        <w:rPr>
          <w:color w:val="000000"/>
        </w:rPr>
      </w:pPr>
      <w:r>
        <w:tab/>
        <w:t>d)</w:t>
      </w:r>
      <w:r>
        <w:tab/>
      </w:r>
      <w:r>
        <w:rPr>
          <w:bCs/>
        </w:rPr>
        <w:t>Просьбы Комитета по внутреннему транспорту</w:t>
      </w:r>
    </w:p>
    <w:p w:rsidR="00707EC4" w:rsidRPr="00901234" w:rsidRDefault="00707EC4" w:rsidP="00707EC4">
      <w:pPr>
        <w:pStyle w:val="SingleTxtG"/>
        <w:ind w:firstLine="567"/>
      </w:pPr>
      <w:r>
        <w:t xml:space="preserve">На своей восемьдесят первой сессии в 2019 году Комитет по внутреннему транспорту (КВТ) одобрил стратегию КВТ до 2030 года, просил свои вспомогательные органы принять последующие меры для согласования своей работы со стратегией и поручил секретариату предпринять необходимые шаги для содействия осуществлению этой стратегии (ECE/TRANS/288, пункты 15 a), c) и g). Кроме того, Комитет выразил обеспокоенность в связи с недостаточным общемировым прогрессом в выполнении задач, предусмотренных целями устойчивого развития в сфере безопасности дорожного движения, и задач Десятилетия действий Организации Объединенных Наций по обеспечению безопасности дорожного движения (там же, пункт 64). Для оказания помощи странам, особенно из числа новых Договаривающихся сторон, в деле дальнейшего осуществления правовых документов в области безопасности дорожного движения секретариат подготовил проект рекомендаций КВТ по укреплению национальных систем безопасности дорожного </w:t>
      </w:r>
      <w:r>
        <w:lastRenderedPageBreak/>
        <w:t xml:space="preserve">движения для получения замечаний от рабочих групп. В этой связи GRЕ предлагается внести свой вклад.  </w:t>
      </w:r>
    </w:p>
    <w:p w:rsidR="00707EC4" w:rsidRPr="00901234" w:rsidRDefault="00707EC4" w:rsidP="00707EC4">
      <w:pPr>
        <w:pStyle w:val="H23G"/>
        <w:rPr>
          <w:color w:val="000000"/>
        </w:rPr>
      </w:pPr>
      <w:r>
        <w:tab/>
        <w:t>e)</w:t>
      </w:r>
      <w:r>
        <w:tab/>
      </w:r>
      <w:r>
        <w:rPr>
          <w:bCs/>
        </w:rPr>
        <w:t>Устаревшие переходные положения</w:t>
      </w:r>
      <w:r>
        <w:t xml:space="preserve"> </w:t>
      </w:r>
    </w:p>
    <w:p w:rsidR="00707EC4" w:rsidRPr="00901234" w:rsidRDefault="00707EC4" w:rsidP="00707EC4">
      <w:pPr>
        <w:pStyle w:val="SingleTxtG"/>
        <w:ind w:firstLine="567"/>
      </w:pPr>
      <w:r>
        <w:t xml:space="preserve">GRE предлагается рассмотреть документ для обсуждения, представленный экспертами от Италии и Нидерландов. </w:t>
      </w:r>
    </w:p>
    <w:p w:rsidR="00707EC4" w:rsidRPr="00901234" w:rsidRDefault="00707EC4" w:rsidP="00707EC4">
      <w:pPr>
        <w:pStyle w:val="SingleTxtG"/>
        <w:ind w:left="2268" w:hanging="1134"/>
      </w:pPr>
      <w:r>
        <w:rPr>
          <w:b/>
          <w:bCs/>
        </w:rPr>
        <w:t>Документация:</w:t>
      </w:r>
      <w:r>
        <w:t xml:space="preserve"> </w:t>
      </w:r>
      <w:r>
        <w:tab/>
        <w:t>неофициальный документ GRE-80-06</w:t>
      </w:r>
    </w:p>
    <w:p w:rsidR="00707EC4" w:rsidRPr="00901234" w:rsidRDefault="00707EC4" w:rsidP="00707EC4">
      <w:pPr>
        <w:pStyle w:val="H1G"/>
      </w:pPr>
      <w:r>
        <w:tab/>
        <w:t>9.</w:t>
      </w:r>
      <w:r>
        <w:tab/>
      </w:r>
      <w:r>
        <w:rPr>
          <w:bCs/>
        </w:rPr>
        <w:t>Новые вопросы и несвоевременно представленные документы</w:t>
      </w:r>
    </w:p>
    <w:p w:rsidR="00707EC4" w:rsidRPr="00901234" w:rsidRDefault="00707EC4" w:rsidP="00707EC4">
      <w:pPr>
        <w:pStyle w:val="SingleTxtG"/>
        <w:ind w:firstLine="567"/>
      </w:pPr>
      <w:r>
        <w:t>GRE, возможно, рассмотрит также новые вопросы и/или документы, которые были представлены после передачи на перевод аннотированной предварительной повестки дня.</w:t>
      </w:r>
    </w:p>
    <w:p w:rsidR="00707EC4" w:rsidRPr="00901234" w:rsidRDefault="00707EC4" w:rsidP="00707EC4">
      <w:pPr>
        <w:pStyle w:val="H1G"/>
      </w:pPr>
      <w:r>
        <w:tab/>
        <w:t>10.</w:t>
      </w:r>
      <w:r>
        <w:tab/>
      </w:r>
      <w:r>
        <w:rPr>
          <w:bCs/>
        </w:rPr>
        <w:t>Направления будущей работы GRE</w:t>
      </w:r>
      <w:r>
        <w:tab/>
      </w:r>
    </w:p>
    <w:p w:rsidR="00707EC4" w:rsidRPr="00D629BD" w:rsidRDefault="00707EC4" w:rsidP="00707EC4">
      <w:pPr>
        <w:pStyle w:val="H23G"/>
        <w:jc w:val="both"/>
        <w:rPr>
          <w:b w:val="0"/>
          <w:bCs/>
          <w:color w:val="000000"/>
        </w:rPr>
      </w:pPr>
      <w:r>
        <w:tab/>
      </w:r>
      <w:r>
        <w:tab/>
      </w:r>
      <w:r>
        <w:tab/>
      </w:r>
      <w:r>
        <w:tab/>
      </w:r>
      <w:r w:rsidRPr="00D629BD">
        <w:rPr>
          <w:b w:val="0"/>
          <w:bCs/>
        </w:rPr>
        <w:t>GRE будет проинформирована о состоявшемся на сессии WP.29 в июне 2019</w:t>
      </w:r>
      <w:r>
        <w:rPr>
          <w:b w:val="0"/>
          <w:bCs/>
        </w:rPr>
        <w:t> </w:t>
      </w:r>
      <w:r w:rsidRPr="00D629BD">
        <w:rPr>
          <w:b w:val="0"/>
          <w:bCs/>
        </w:rPr>
        <w:t>года обсуждении требований к сигнализации для автоматизированных/</w:t>
      </w:r>
      <w:r>
        <w:rPr>
          <w:b w:val="0"/>
          <w:bCs/>
        </w:rPr>
        <w:br/>
      </w:r>
      <w:r w:rsidRPr="00D629BD">
        <w:rPr>
          <w:b w:val="0"/>
          <w:bCs/>
        </w:rPr>
        <w:t xml:space="preserve">автономных транспортных средств. </w:t>
      </w:r>
    </w:p>
    <w:p w:rsidR="00707EC4" w:rsidRPr="00901234" w:rsidRDefault="00707EC4" w:rsidP="00707EC4">
      <w:pPr>
        <w:pStyle w:val="H1G"/>
      </w:pPr>
      <w:r>
        <w:tab/>
        <w:t>11.</w:t>
      </w:r>
      <w:r>
        <w:tab/>
      </w:r>
      <w:r>
        <w:rPr>
          <w:bCs/>
        </w:rPr>
        <w:t>Предварительная повестка дня следующей сессии</w:t>
      </w:r>
    </w:p>
    <w:p w:rsidR="00707EC4" w:rsidRPr="00901234" w:rsidRDefault="00707EC4" w:rsidP="00707EC4">
      <w:pPr>
        <w:ind w:left="1134" w:right="1134"/>
        <w:jc w:val="both"/>
      </w:pPr>
      <w:r>
        <w:tab/>
      </w:r>
      <w:r>
        <w:tab/>
        <w:t>GRE, возможно, пожелает дать указания по предварительной повестке дня следующей сессии.</w:t>
      </w:r>
    </w:p>
    <w:p w:rsidR="00707EC4" w:rsidRPr="00901234" w:rsidRDefault="00707EC4" w:rsidP="00707EC4">
      <w:pPr>
        <w:pStyle w:val="H1G"/>
      </w:pPr>
      <w:r>
        <w:tab/>
        <w:t>12.</w:t>
      </w:r>
      <w:r>
        <w:tab/>
      </w:r>
      <w:r>
        <w:rPr>
          <w:bCs/>
        </w:rPr>
        <w:t>Выборы должностных лиц</w:t>
      </w:r>
    </w:p>
    <w:p w:rsidR="00707EC4" w:rsidRPr="00901234" w:rsidRDefault="00707EC4" w:rsidP="00707EC4">
      <w:pPr>
        <w:ind w:left="1134" w:right="1134"/>
        <w:jc w:val="both"/>
      </w:pPr>
      <w:r>
        <w:tab/>
      </w:r>
      <w:r>
        <w:tab/>
        <w:t>В соответствии с правилом 37 правил процедуры (TRANS/WP.29/690, Amend.1 и Amend.2) GRE изберет Председателя и заместителя Председателя для сессий, запланированных на 2020 год.</w:t>
      </w:r>
    </w:p>
    <w:p w:rsidR="00707EC4" w:rsidRPr="00901234" w:rsidRDefault="00707EC4" w:rsidP="00707EC4">
      <w:pPr>
        <w:pStyle w:val="SingleTxtG"/>
        <w:spacing w:before="240" w:after="0"/>
        <w:jc w:val="center"/>
        <w:rPr>
          <w:color w:val="000000"/>
          <w:u w:val="single"/>
        </w:rPr>
      </w:pPr>
      <w:r w:rsidRPr="00901234">
        <w:rPr>
          <w:color w:val="000000"/>
          <w:u w:val="single"/>
        </w:rPr>
        <w:tab/>
      </w:r>
      <w:r w:rsidRPr="00901234">
        <w:rPr>
          <w:color w:val="000000"/>
          <w:u w:val="single"/>
        </w:rPr>
        <w:tab/>
      </w:r>
      <w:r w:rsidRPr="00901234">
        <w:rPr>
          <w:color w:val="000000"/>
          <w:u w:val="single"/>
        </w:rPr>
        <w:tab/>
      </w:r>
      <w:r w:rsidRPr="00901234">
        <w:rPr>
          <w:color w:val="000000"/>
          <w:u w:val="single"/>
        </w:rPr>
        <w:tab/>
      </w:r>
    </w:p>
    <w:p w:rsidR="00E12C5F" w:rsidRPr="008D53B6" w:rsidRDefault="00E12C5F" w:rsidP="00D9145B"/>
    <w:sectPr w:rsidR="00E12C5F" w:rsidRPr="008D53B6" w:rsidSect="00707EC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409" w:rsidRPr="00A312BC" w:rsidRDefault="00A16409" w:rsidP="00A312BC"/>
  </w:endnote>
  <w:endnote w:type="continuationSeparator" w:id="0">
    <w:p w:rsidR="00A16409" w:rsidRPr="00A312BC" w:rsidRDefault="00A1640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C4" w:rsidRPr="00707EC4" w:rsidRDefault="00707EC4">
    <w:pPr>
      <w:pStyle w:val="a8"/>
    </w:pPr>
    <w:r w:rsidRPr="00707EC4">
      <w:rPr>
        <w:b/>
        <w:sz w:val="18"/>
      </w:rPr>
      <w:fldChar w:fldCharType="begin"/>
    </w:r>
    <w:r w:rsidRPr="00707EC4">
      <w:rPr>
        <w:b/>
        <w:sz w:val="18"/>
      </w:rPr>
      <w:instrText xml:space="preserve"> PAGE  \* MERGEFORMAT </w:instrText>
    </w:r>
    <w:r w:rsidRPr="00707EC4">
      <w:rPr>
        <w:b/>
        <w:sz w:val="18"/>
      </w:rPr>
      <w:fldChar w:fldCharType="separate"/>
    </w:r>
    <w:r w:rsidR="0048096F">
      <w:rPr>
        <w:b/>
        <w:noProof/>
        <w:sz w:val="18"/>
      </w:rPr>
      <w:t>6</w:t>
    </w:r>
    <w:r w:rsidRPr="00707EC4">
      <w:rPr>
        <w:b/>
        <w:sz w:val="18"/>
      </w:rPr>
      <w:fldChar w:fldCharType="end"/>
    </w:r>
    <w:r>
      <w:rPr>
        <w:b/>
        <w:sz w:val="18"/>
      </w:rPr>
      <w:tab/>
    </w:r>
    <w:r>
      <w:t>GE.19-13427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C4" w:rsidRPr="00707EC4" w:rsidRDefault="00707EC4" w:rsidP="00707EC4">
    <w:pPr>
      <w:pStyle w:val="a8"/>
      <w:tabs>
        <w:tab w:val="clear" w:pos="9639"/>
        <w:tab w:val="right" w:pos="9638"/>
      </w:tabs>
      <w:rPr>
        <w:b/>
        <w:sz w:val="18"/>
      </w:rPr>
    </w:pPr>
    <w:r>
      <w:t>GE.19-13427</w:t>
    </w:r>
    <w:r>
      <w:tab/>
    </w:r>
    <w:r w:rsidRPr="00707EC4">
      <w:rPr>
        <w:b/>
        <w:sz w:val="18"/>
      </w:rPr>
      <w:fldChar w:fldCharType="begin"/>
    </w:r>
    <w:r w:rsidRPr="00707EC4">
      <w:rPr>
        <w:b/>
        <w:sz w:val="18"/>
      </w:rPr>
      <w:instrText xml:space="preserve"> PAGE  \* MERGEFORMAT </w:instrText>
    </w:r>
    <w:r w:rsidRPr="00707EC4">
      <w:rPr>
        <w:b/>
        <w:sz w:val="18"/>
      </w:rPr>
      <w:fldChar w:fldCharType="separate"/>
    </w:r>
    <w:r w:rsidR="0048096F">
      <w:rPr>
        <w:b/>
        <w:noProof/>
        <w:sz w:val="18"/>
      </w:rPr>
      <w:t>5</w:t>
    </w:r>
    <w:r w:rsidRPr="00707EC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07EC4" w:rsidRDefault="00707EC4" w:rsidP="00707EC4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13427  (</w:t>
    </w:r>
    <w:proofErr w:type="gramEnd"/>
    <w:r>
      <w:t>R)</w:t>
    </w:r>
    <w:r>
      <w:rPr>
        <w:lang w:val="en-US"/>
      </w:rPr>
      <w:t xml:space="preserve">  080819  080819</w:t>
    </w:r>
    <w:r>
      <w:br/>
    </w:r>
    <w:r w:rsidRPr="00707EC4">
      <w:rPr>
        <w:rFonts w:ascii="C39T30Lfz" w:hAnsi="C39T30Lfz"/>
        <w:kern w:val="14"/>
        <w:sz w:val="56"/>
      </w:rPr>
      <w:t></w:t>
    </w:r>
    <w:r w:rsidRPr="00707EC4">
      <w:rPr>
        <w:rFonts w:ascii="C39T30Lfz" w:hAnsi="C39T30Lfz"/>
        <w:kern w:val="14"/>
        <w:sz w:val="56"/>
      </w:rPr>
      <w:t></w:t>
    </w:r>
    <w:r w:rsidRPr="00707EC4">
      <w:rPr>
        <w:rFonts w:ascii="C39T30Lfz" w:hAnsi="C39T30Lfz"/>
        <w:kern w:val="14"/>
        <w:sz w:val="56"/>
      </w:rPr>
      <w:t></w:t>
    </w:r>
    <w:r w:rsidRPr="00707EC4">
      <w:rPr>
        <w:rFonts w:ascii="C39T30Lfz" w:hAnsi="C39T30Lfz"/>
        <w:kern w:val="14"/>
        <w:sz w:val="56"/>
      </w:rPr>
      <w:t></w:t>
    </w:r>
    <w:r w:rsidRPr="00707EC4">
      <w:rPr>
        <w:rFonts w:ascii="C39T30Lfz" w:hAnsi="C39T30Lfz"/>
        <w:kern w:val="14"/>
        <w:sz w:val="56"/>
      </w:rPr>
      <w:t></w:t>
    </w:r>
    <w:r w:rsidRPr="00707EC4">
      <w:rPr>
        <w:rFonts w:ascii="C39T30Lfz" w:hAnsi="C39T30Lfz"/>
        <w:kern w:val="14"/>
        <w:sz w:val="56"/>
      </w:rPr>
      <w:t></w:t>
    </w:r>
    <w:r w:rsidRPr="00707EC4">
      <w:rPr>
        <w:rFonts w:ascii="C39T30Lfz" w:hAnsi="C39T30Lfz"/>
        <w:kern w:val="14"/>
        <w:sz w:val="56"/>
      </w:rPr>
      <w:t></w:t>
    </w:r>
    <w:r w:rsidRPr="00707EC4">
      <w:rPr>
        <w:rFonts w:ascii="C39T30Lfz" w:hAnsi="C39T30Lfz"/>
        <w:kern w:val="14"/>
        <w:sz w:val="56"/>
      </w:rPr>
      <w:t></w:t>
    </w:r>
    <w:r w:rsidRPr="00707EC4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9/1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9/1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409" w:rsidRPr="001075E9" w:rsidRDefault="00A164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16409" w:rsidRDefault="00A1640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07EC4" w:rsidRPr="00707EC4" w:rsidRDefault="00707EC4" w:rsidP="00707EC4">
      <w:pPr>
        <w:pStyle w:val="ad"/>
      </w:pPr>
      <w:r>
        <w:tab/>
      </w:r>
      <w:r w:rsidRPr="00707EC4">
        <w:rPr>
          <w:sz w:val="20"/>
        </w:rPr>
        <w:t>*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</w:t>
      </w:r>
      <w:r w:rsidRPr="00707EC4">
        <w:t>(</w:t>
      </w:r>
      <w:hyperlink r:id="rId1" w:history="1">
        <w:r w:rsidRPr="00707EC4">
          <w:rPr>
            <w:rStyle w:val="af1"/>
            <w:color w:val="auto"/>
          </w:rPr>
          <w:t>www.unece.org/trans/main/wp29/wp29wgs/wp29gre/greage.html</w:t>
        </w:r>
      </w:hyperlink>
      <w:r w:rsidRPr="00707EC4">
        <w:t>). В порядке исключения документы можно также получить по электронной почте (</w:t>
      </w:r>
      <w:hyperlink r:id="rId2" w:history="1">
        <w:r w:rsidRPr="00707EC4">
          <w:rPr>
            <w:rStyle w:val="af1"/>
            <w:color w:val="auto"/>
          </w:rPr>
          <w:t>grе@unece.org</w:t>
        </w:r>
      </w:hyperlink>
      <w:r w:rsidRPr="00707EC4">
        <w:t xml:space="preserve">) или по факсу </w:t>
      </w:r>
      <w:r w:rsidRPr="00707EC4">
        <w:br/>
        <w:t>(+41 22 917 00 39). В ходе сессии официальные документы можно получить в Секции распространения документов ЮНОГ (комната C.337, третий этаж, Дворец Наций). С</w:t>
      </w:r>
      <w:r w:rsidR="00CB41ED">
        <w:t> </w:t>
      </w:r>
      <w:r w:rsidRPr="00707EC4">
        <w:t xml:space="preserve">переводом официальных документов делегаты могут ознакомиться через общедоступную Систему официальной документации (СОД) на следующем веб-сайте: </w:t>
      </w:r>
      <w:hyperlink r:id="rId3" w:history="1">
        <w:r w:rsidRPr="00707EC4">
          <w:rPr>
            <w:rStyle w:val="af1"/>
            <w:color w:val="auto"/>
          </w:rPr>
          <w:t>documents.un.org/</w:t>
        </w:r>
      </w:hyperlink>
      <w:r w:rsidRPr="00707EC4">
        <w:t>.</w:t>
      </w:r>
    </w:p>
  </w:footnote>
  <w:footnote w:id="2">
    <w:p w:rsidR="00707EC4" w:rsidRPr="00707EC4" w:rsidRDefault="00707EC4" w:rsidP="00707EC4">
      <w:pPr>
        <w:pStyle w:val="ad"/>
      </w:pPr>
      <w:r w:rsidRPr="00707EC4">
        <w:tab/>
      </w:r>
      <w:r w:rsidRPr="00707EC4">
        <w:rPr>
          <w:sz w:val="20"/>
        </w:rPr>
        <w:t>**</w:t>
      </w:r>
      <w:r w:rsidRPr="00707EC4">
        <w:tab/>
        <w:t>Делегатов просят зарегистрироваться онлайн с помощью системы регистрации на веб-сайте ЕЭК (</w:t>
      </w:r>
      <w:hyperlink r:id="rId4" w:history="1">
        <w:r w:rsidRPr="00707EC4">
          <w:rPr>
            <w:rStyle w:val="af1"/>
            <w:color w:val="auto"/>
          </w:rPr>
          <w:t>https://uncdb.unece.org/app/ext/meeting-registration?id=2lzPim</w:t>
        </w:r>
      </w:hyperlink>
      <w:r w:rsidRPr="00707EC4"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707EC4">
        <w:t>Прени</w:t>
      </w:r>
      <w:proofErr w:type="spellEnd"/>
      <w:r w:rsidRPr="00707EC4">
        <w:t xml:space="preserve"> (</w:t>
      </w:r>
      <w:proofErr w:type="spellStart"/>
      <w:r w:rsidRPr="00707EC4">
        <w:t>Pregny</w:t>
      </w:r>
      <w:proofErr w:type="spellEnd"/>
      <w:r w:rsidRPr="00707EC4">
        <w:t xml:space="preserve"> </w:t>
      </w:r>
      <w:proofErr w:type="spellStart"/>
      <w:r w:rsidRPr="00707EC4">
        <w:t>Gate</w:t>
      </w:r>
      <w:proofErr w:type="spellEnd"/>
      <w:r w:rsidRPr="00707EC4">
        <w:t xml:space="preserve">) (14, </w:t>
      </w:r>
      <w:proofErr w:type="spellStart"/>
      <w:r w:rsidRPr="00707EC4">
        <w:t>Avenue</w:t>
      </w:r>
      <w:proofErr w:type="spellEnd"/>
      <w:r w:rsidRPr="00707EC4">
        <w:t xml:space="preserve"> </w:t>
      </w:r>
      <w:proofErr w:type="spellStart"/>
      <w:r w:rsidRPr="00707EC4">
        <w:t>de</w:t>
      </w:r>
      <w:proofErr w:type="spellEnd"/>
      <w:r w:rsidRPr="00707EC4">
        <w:t xml:space="preserve"> la </w:t>
      </w:r>
      <w:proofErr w:type="spellStart"/>
      <w:r w:rsidRPr="00707EC4">
        <w:t>Paix</w:t>
      </w:r>
      <w:proofErr w:type="spellEnd"/>
      <w:r w:rsidRPr="00707EC4">
        <w:t xml:space="preserve">). В случае затруднений просьба связаться с секретариатом по телефону (внутренний номер 74323). Схему Дворца Наций и другую полезную информацию см. </w:t>
      </w:r>
      <w:hyperlink r:id="rId5" w:history="1">
        <w:r w:rsidRPr="00707EC4">
          <w:rPr>
            <w:rStyle w:val="af1"/>
            <w:color w:val="auto"/>
          </w:rPr>
          <w:t>www.unece.org/meetings/practical.html</w:t>
        </w:r>
      </w:hyperlink>
      <w:r w:rsidRPr="00707EC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C4" w:rsidRPr="00707EC4" w:rsidRDefault="00EA2A49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9A06C1">
      <w:t>ECE/TRANS/WP.29/GRE/2019/13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EC4" w:rsidRPr="00707EC4" w:rsidRDefault="00EA2A49" w:rsidP="00707EC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A06C1">
      <w:t>ECE/TRANS/WP.29/GRE/2019/13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09"/>
    <w:rsid w:val="00033EE1"/>
    <w:rsid w:val="00042B72"/>
    <w:rsid w:val="000558BD"/>
    <w:rsid w:val="0009379A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096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EC4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728"/>
    <w:rsid w:val="008F53A0"/>
    <w:rsid w:val="008F7609"/>
    <w:rsid w:val="00906890"/>
    <w:rsid w:val="00911BE4"/>
    <w:rsid w:val="00951972"/>
    <w:rsid w:val="009608F3"/>
    <w:rsid w:val="009A06C1"/>
    <w:rsid w:val="009A24AC"/>
    <w:rsid w:val="009C59D7"/>
    <w:rsid w:val="009C6FE6"/>
    <w:rsid w:val="009D7E7D"/>
    <w:rsid w:val="00A14DA8"/>
    <w:rsid w:val="00A16409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41ED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A49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E9391EE-A408-4030-AA4D-97114698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707EC4"/>
    <w:rPr>
      <w:lang w:val="ru-RU" w:eastAsia="en-US"/>
    </w:rPr>
  </w:style>
  <w:style w:type="character" w:customStyle="1" w:styleId="H1GChar">
    <w:name w:val="_ H_1_G Char"/>
    <w:link w:val="H1G"/>
    <w:rsid w:val="00707EC4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707EC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&#1077;@unece.org" TargetMode="External"/><Relationship Id="rId1" Type="http://schemas.openxmlformats.org/officeDocument/2006/relationships/hyperlink" Target="http://www.unece.org/trans/main/wp29/wp29wgs/wp29gre/greage.html" TargetMode="External"/><Relationship Id="rId5" Type="http://schemas.openxmlformats.org/officeDocument/2006/relationships/hyperlink" Target="http://www.unece.org/meetings/practical.html" TargetMode="External"/><Relationship Id="rId4" Type="http://schemas.openxmlformats.org/officeDocument/2006/relationships/hyperlink" Target="https://uncdb.unece.org/app/ext/meeting-registration?id=2lzPi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21</TotalTime>
  <Pages>6</Pages>
  <Words>1518</Words>
  <Characters>10644</Characters>
  <Application>Microsoft Office Word</Application>
  <DocSecurity>0</DocSecurity>
  <Lines>231</Lines>
  <Paragraphs>113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ECE/TRANS/WP.29/GRE/2019/13</vt:lpstr>
      <vt:lpstr>A/</vt:lpstr>
      <vt:lpstr>A/</vt:lpstr>
    </vt:vector>
  </TitlesOfParts>
  <Company>DCM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ECE/TRANS/WP.29/GRE/2019/13</dc:title>
  <dc:subject/>
  <dc:creator>Tatiana SHARKINA</dc:creator>
  <cp:keywords/>
  <cp:lastModifiedBy>Tatiana Sharkina</cp:lastModifiedBy>
  <cp:revision>4</cp:revision>
  <cp:lastPrinted>2019-08-08T09:24:00Z</cp:lastPrinted>
  <dcterms:created xsi:type="dcterms:W3CDTF">2019-08-08T09:24:00Z</dcterms:created>
  <dcterms:modified xsi:type="dcterms:W3CDTF">2019-08-08T09:46:00Z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