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C177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C1779" w:rsidP="009C1779">
            <w:pPr>
              <w:jc w:val="right"/>
            </w:pPr>
            <w:r w:rsidRPr="009C1779">
              <w:rPr>
                <w:sz w:val="40"/>
              </w:rPr>
              <w:t>ECE</w:t>
            </w:r>
            <w:r>
              <w:t>/TRANS/WP.29/GRE/2019/6</w:t>
            </w:r>
          </w:p>
        </w:tc>
      </w:tr>
      <w:tr w:rsidR="002D5AAC" w:rsidRPr="009C177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C177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C1779" w:rsidRDefault="009C1779" w:rsidP="009C17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January 2019</w:t>
            </w:r>
          </w:p>
          <w:p w:rsidR="009C1779" w:rsidRDefault="009C1779" w:rsidP="009C17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C1779" w:rsidRPr="008D53B6" w:rsidRDefault="009C1779" w:rsidP="009C17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9C177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C1779" w:rsidRPr="00735077" w:rsidRDefault="009C1779" w:rsidP="009C1779">
      <w:pPr>
        <w:spacing w:before="120"/>
        <w:rPr>
          <w:sz w:val="28"/>
          <w:szCs w:val="28"/>
        </w:rPr>
      </w:pPr>
      <w:r w:rsidRPr="00735077">
        <w:rPr>
          <w:sz w:val="28"/>
          <w:szCs w:val="28"/>
        </w:rPr>
        <w:t>Комитет по внутреннему транспорту</w:t>
      </w:r>
    </w:p>
    <w:p w:rsidR="009C1779" w:rsidRPr="00735077" w:rsidRDefault="009C1779" w:rsidP="009C1779">
      <w:pPr>
        <w:spacing w:before="120"/>
        <w:rPr>
          <w:b/>
          <w:sz w:val="24"/>
          <w:szCs w:val="24"/>
        </w:rPr>
      </w:pPr>
      <w:r w:rsidRPr="00735077">
        <w:rPr>
          <w:b/>
          <w:bCs/>
          <w:sz w:val="24"/>
          <w:szCs w:val="24"/>
        </w:rPr>
        <w:t>Всемирный форум для согласования правил</w:t>
      </w:r>
      <w:r w:rsidRPr="00735077">
        <w:rPr>
          <w:b/>
          <w:bCs/>
          <w:sz w:val="24"/>
          <w:szCs w:val="24"/>
        </w:rPr>
        <w:br/>
        <w:t>в области транспортных средств</w:t>
      </w:r>
    </w:p>
    <w:p w:rsidR="009C1779" w:rsidRPr="00735077" w:rsidRDefault="009C1779" w:rsidP="009C1779">
      <w:pPr>
        <w:spacing w:before="120"/>
        <w:rPr>
          <w:b/>
          <w:bCs/>
        </w:rPr>
      </w:pPr>
      <w:r w:rsidRPr="00735077">
        <w:rPr>
          <w:b/>
          <w:bCs/>
        </w:rPr>
        <w:t>Рабочая группа по вопросам освещения</w:t>
      </w:r>
      <w:r w:rsidRPr="00735077">
        <w:rPr>
          <w:b/>
          <w:bCs/>
        </w:rPr>
        <w:br/>
        <w:t>и световой сигнализации</w:t>
      </w:r>
    </w:p>
    <w:p w:rsidR="009C1779" w:rsidRPr="00735077" w:rsidRDefault="009C1779" w:rsidP="009C1779">
      <w:pPr>
        <w:spacing w:before="120"/>
        <w:rPr>
          <w:b/>
          <w:bCs/>
        </w:rPr>
      </w:pPr>
      <w:r w:rsidRPr="00735077">
        <w:rPr>
          <w:b/>
          <w:bCs/>
        </w:rPr>
        <w:t>Восемьдесят первая сессия</w:t>
      </w:r>
    </w:p>
    <w:p w:rsidR="009C1779" w:rsidRPr="00735077" w:rsidRDefault="009C1779" w:rsidP="009C1779">
      <w:r w:rsidRPr="00735077">
        <w:t>Женева, 15–18 апреля 2019 года</w:t>
      </w:r>
    </w:p>
    <w:p w:rsidR="009C1779" w:rsidRPr="00735077" w:rsidRDefault="009C1779" w:rsidP="009C1779">
      <w:pPr>
        <w:ind w:right="1134"/>
        <w:rPr>
          <w:bCs/>
        </w:rPr>
      </w:pPr>
      <w:r w:rsidRPr="00735077">
        <w:t xml:space="preserve">Пункт </w:t>
      </w:r>
      <w:r w:rsidRPr="00735077">
        <w:rPr>
          <w:bCs/>
        </w:rPr>
        <w:t xml:space="preserve">4 </w:t>
      </w:r>
      <w:r w:rsidRPr="00735077">
        <w:t>предварительной повестки дня</w:t>
      </w:r>
    </w:p>
    <w:p w:rsidR="00E12C5F" w:rsidRDefault="009C1779" w:rsidP="009C1779">
      <w:r w:rsidRPr="00735077">
        <w:rPr>
          <w:b/>
        </w:rPr>
        <w:t xml:space="preserve">Упрощение правил ООН, касающихся </w:t>
      </w:r>
      <w:r w:rsidRPr="00735077">
        <w:rPr>
          <w:b/>
          <w:bCs/>
        </w:rPr>
        <w:br/>
      </w:r>
      <w:r w:rsidRPr="00735077">
        <w:rPr>
          <w:b/>
        </w:rPr>
        <w:t>освещения и световой сигнализации</w:t>
      </w:r>
    </w:p>
    <w:p w:rsidR="009C1779" w:rsidRPr="00735077" w:rsidRDefault="009C1779" w:rsidP="009C1779">
      <w:pPr>
        <w:pStyle w:val="HChG"/>
      </w:pPr>
      <w:r>
        <w:tab/>
      </w:r>
      <w:r>
        <w:tab/>
      </w:r>
      <w:r w:rsidRPr="00735077">
        <w:t>Предложение по дополнениям к новым Правилам ООН, касающимся устройств</w:t>
      </w:r>
      <w:r>
        <w:t xml:space="preserve"> световой сигнализации (УСС), и </w:t>
      </w:r>
      <w:r w:rsidRPr="00735077">
        <w:t xml:space="preserve">к поправкам серии 06 к Правилам № 48 ООН  </w:t>
      </w:r>
    </w:p>
    <w:p w:rsidR="009C1779" w:rsidRPr="00735077" w:rsidRDefault="009C1779" w:rsidP="009C1779">
      <w:pPr>
        <w:pStyle w:val="H1G"/>
        <w:ind w:firstLine="0"/>
        <w:rPr>
          <w:szCs w:val="24"/>
        </w:rPr>
      </w:pPr>
      <w:r w:rsidRPr="00735077">
        <w:t>Представлено экспертами от Германии и Франции</w:t>
      </w:r>
      <w:r w:rsidRPr="009C1779">
        <w:rPr>
          <w:b w:val="0"/>
          <w:sz w:val="20"/>
        </w:rPr>
        <w:footnoteReference w:customMarkFollows="1" w:id="1"/>
        <w:t>*</w:t>
      </w:r>
      <w:r w:rsidRPr="00735077">
        <w:rPr>
          <w:szCs w:val="24"/>
        </w:rPr>
        <w:t xml:space="preserve"> </w:t>
      </w:r>
    </w:p>
    <w:p w:rsidR="009C1779" w:rsidRDefault="009C1779" w:rsidP="009C1779">
      <w:pPr>
        <w:pStyle w:val="SingleTxtG"/>
      </w:pPr>
      <w:r>
        <w:tab/>
      </w:r>
      <w:r>
        <w:tab/>
      </w:r>
      <w:r w:rsidRPr="00735077">
        <w:t xml:space="preserve">Воспроизведенный ниже текст был подготовлен экспертами от Германии и Франции с целью предусмотреть возможность использования – при конкретных условиях – логотипов на внутренней освещающей поверхности сигнальных огней. Настоящее предложение является итогом обсуждений, начатых на семьдесят восьмой сессии </w:t>
      </w:r>
      <w:r w:rsidRPr="00735077">
        <w:rPr>
          <w:bCs/>
        </w:rPr>
        <w:t>Рабочей группы по вопросам освещения и световой сигнализации</w:t>
      </w:r>
      <w:r w:rsidRPr="00735077">
        <w:t xml:space="preserve"> (</w:t>
      </w:r>
      <w:r w:rsidRPr="00735077">
        <w:rPr>
          <w:lang w:val="en-US"/>
        </w:rPr>
        <w:t>GRE</w:t>
      </w:r>
      <w:r w:rsidRPr="00735077">
        <w:t>) с проведением среди Договаривающихся сторон соответствующего обследования, результаты которого были представлены на восьмидесятой сессии GRE. Изменения к действующему тексту правил ООН выделены жирным шрифтом в случае новых положений или зачеркиванием в случае исключенных элементов.</w:t>
      </w:r>
    </w:p>
    <w:p w:rsidR="009C1779" w:rsidRDefault="009C177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9C1779" w:rsidRPr="00735077" w:rsidRDefault="009C1779" w:rsidP="009C1779">
      <w:pPr>
        <w:pStyle w:val="HChG"/>
      </w:pPr>
      <w:r>
        <w:lastRenderedPageBreak/>
        <w:tab/>
      </w:r>
      <w:r w:rsidRPr="00735077">
        <w:t>I.</w:t>
      </w:r>
      <w:r w:rsidRPr="00735077">
        <w:tab/>
        <w:t>Предложение</w:t>
      </w:r>
    </w:p>
    <w:p w:rsidR="009C1779" w:rsidRPr="00735077" w:rsidRDefault="009C1779" w:rsidP="009C1779">
      <w:pPr>
        <w:pStyle w:val="H1G"/>
        <w:rPr>
          <w:rFonts w:eastAsia="SimSun"/>
        </w:rPr>
      </w:pPr>
      <w:r w:rsidRPr="00735077">
        <w:rPr>
          <w:rFonts w:eastAsia="SimSun"/>
        </w:rPr>
        <w:tab/>
        <w:t>A.</w:t>
      </w:r>
      <w:r w:rsidRPr="00735077">
        <w:rPr>
          <w:rFonts w:eastAsia="SimSun"/>
        </w:rPr>
        <w:tab/>
      </w:r>
      <w:r w:rsidRPr="00735077">
        <w:t>Предложение по дополнению к Правилам ООН, касающимся УСС, и к поправкам серии 06 к Правилам № 48 ООН</w:t>
      </w:r>
    </w:p>
    <w:p w:rsidR="009C1779" w:rsidRPr="00735077" w:rsidRDefault="009C1779" w:rsidP="009C1779">
      <w:pPr>
        <w:pStyle w:val="SingleTxtG"/>
        <w:rPr>
          <w:bCs/>
        </w:rPr>
      </w:pPr>
      <w:r w:rsidRPr="00735077">
        <w:rPr>
          <w:bCs/>
          <w:i/>
        </w:rPr>
        <w:t xml:space="preserve">Добавить </w:t>
      </w:r>
      <w:r w:rsidRPr="00735077">
        <w:rPr>
          <w:i/>
          <w:iCs/>
        </w:rPr>
        <w:t>новый подпункт</w:t>
      </w:r>
      <w:r w:rsidRPr="00735077">
        <w:rPr>
          <w:bCs/>
          <w:i/>
        </w:rPr>
        <w:t xml:space="preserve"> 3.1.2.1 g) </w:t>
      </w:r>
      <w:r w:rsidRPr="00735077">
        <w:t>следующего содержания</w:t>
      </w:r>
      <w:r w:rsidRPr="00735077">
        <w:rPr>
          <w:bCs/>
        </w:rPr>
        <w:t>:</w:t>
      </w:r>
    </w:p>
    <w:p w:rsidR="009C1779" w:rsidRPr="00735077" w:rsidRDefault="009C1779" w:rsidP="009C1779">
      <w:pPr>
        <w:pStyle w:val="SingleTxtG"/>
        <w:rPr>
          <w:bCs/>
          <w:i/>
        </w:rPr>
      </w:pPr>
      <w:r w:rsidRPr="00735077">
        <w:rPr>
          <w:bCs/>
          <w:i/>
        </w:rPr>
        <w:tab/>
      </w:r>
      <w:r w:rsidRPr="00735077">
        <w:rPr>
          <w:bCs/>
          <w:i/>
        </w:rPr>
        <w:tab/>
      </w:r>
      <w:r w:rsidRPr="00735077">
        <w:rPr>
          <w:bCs/>
          <w:i/>
        </w:rPr>
        <w:tab/>
      </w:r>
      <w:r>
        <w:rPr>
          <w:bCs/>
          <w:i/>
        </w:rPr>
        <w:t>«</w:t>
      </w:r>
      <w:r w:rsidRPr="00735077">
        <w:rPr>
          <w:bCs/>
          <w:i/>
        </w:rPr>
        <w:t>…</w:t>
      </w:r>
      <w:r w:rsidRPr="00735077">
        <w:rPr>
          <w:bCs/>
          <w:i/>
        </w:rPr>
        <w:tab/>
      </w:r>
      <w:r w:rsidRPr="00735077">
        <w:rPr>
          <w:bCs/>
          <w:i/>
        </w:rPr>
        <w:tab/>
      </w:r>
    </w:p>
    <w:p w:rsidR="009C1779" w:rsidRPr="00735077" w:rsidRDefault="009C1779" w:rsidP="009C1779">
      <w:pPr>
        <w:pStyle w:val="SingleTxtG"/>
        <w:ind w:left="2832" w:hanging="564"/>
        <w:rPr>
          <w:b/>
          <w:bCs/>
        </w:rPr>
      </w:pPr>
      <w:r w:rsidRPr="00735077">
        <w:rPr>
          <w:b/>
          <w:bCs/>
        </w:rPr>
        <w:t>g)</w:t>
      </w:r>
      <w:r w:rsidRPr="00735077">
        <w:rPr>
          <w:b/>
          <w:bCs/>
        </w:rPr>
        <w:tab/>
        <w:t xml:space="preserve">в случае огня, допускающего размещение логотипного знака </w:t>
      </w:r>
      <w:r w:rsidRPr="00735077">
        <w:rPr>
          <w:b/>
        </w:rPr>
        <w:t>– логотип;</w:t>
      </w:r>
    </w:p>
    <w:p w:rsidR="009C1779" w:rsidRPr="00735077" w:rsidRDefault="009C1779" w:rsidP="009C1779">
      <w:pPr>
        <w:pStyle w:val="SingleTxtG"/>
        <w:ind w:left="1701" w:firstLine="567"/>
        <w:rPr>
          <w:bCs/>
        </w:rPr>
      </w:pPr>
      <w:r w:rsidRPr="00735077">
        <w:rPr>
          <w:bCs/>
        </w:rPr>
        <w:t>…</w:t>
      </w:r>
      <w:r>
        <w:rPr>
          <w:bCs/>
        </w:rPr>
        <w:t>»</w:t>
      </w:r>
    </w:p>
    <w:p w:rsidR="009C1779" w:rsidRPr="00735077" w:rsidRDefault="009C1779" w:rsidP="009C1779">
      <w:pPr>
        <w:pStyle w:val="SingleTxtG"/>
        <w:rPr>
          <w:bCs/>
          <w:i/>
        </w:rPr>
      </w:pPr>
      <w:r w:rsidRPr="00735077">
        <w:rPr>
          <w:bCs/>
          <w:i/>
        </w:rPr>
        <w:t xml:space="preserve">Добавить </w:t>
      </w:r>
      <w:r w:rsidRPr="00735077">
        <w:rPr>
          <w:i/>
          <w:iCs/>
        </w:rPr>
        <w:t>новый подпункт</w:t>
      </w:r>
      <w:r w:rsidRPr="00735077">
        <w:rPr>
          <w:bCs/>
          <w:i/>
        </w:rPr>
        <w:t xml:space="preserve"> 3.1.2.2 e) </w:t>
      </w:r>
      <w:r w:rsidRPr="00735077">
        <w:t>следующего содержания</w:t>
      </w:r>
      <w:r w:rsidRPr="00735077">
        <w:rPr>
          <w:bCs/>
        </w:rPr>
        <w:t>:</w:t>
      </w:r>
    </w:p>
    <w:p w:rsidR="009C1779" w:rsidRPr="00735077" w:rsidRDefault="009C1779" w:rsidP="009C1779">
      <w:pPr>
        <w:pStyle w:val="SingleTxtG"/>
        <w:ind w:left="2832" w:hanging="564"/>
        <w:rPr>
          <w:bCs/>
        </w:rPr>
      </w:pPr>
      <w:r>
        <w:rPr>
          <w:bCs/>
        </w:rPr>
        <w:t>«</w:t>
      </w:r>
      <w:r w:rsidRPr="00735077">
        <w:rPr>
          <w:bCs/>
        </w:rPr>
        <w:t>…</w:t>
      </w:r>
    </w:p>
    <w:p w:rsidR="009C1779" w:rsidRPr="00735077" w:rsidRDefault="009C1779" w:rsidP="009C1779">
      <w:pPr>
        <w:pStyle w:val="SingleTxtG"/>
        <w:ind w:left="2832" w:hanging="564"/>
        <w:rPr>
          <w:b/>
          <w:bCs/>
        </w:rPr>
      </w:pPr>
      <w:r w:rsidRPr="00735077">
        <w:rPr>
          <w:b/>
          <w:bCs/>
        </w:rPr>
        <w:t>e)</w:t>
      </w:r>
      <w:r w:rsidRPr="00735077">
        <w:rPr>
          <w:b/>
          <w:bCs/>
        </w:rPr>
        <w:tab/>
        <w:t xml:space="preserve">в случае огня, допускающего размещение логотипного знака </w:t>
      </w:r>
      <w:r w:rsidRPr="00735077">
        <w:rPr>
          <w:b/>
        </w:rPr>
        <w:t>– подтверждение (посредством соответствующего заявления) того, что логотип ассоциируется с торговой маркой изготовителя транспортного средства или изготовителя кузова.</w:t>
      </w:r>
    </w:p>
    <w:p w:rsidR="009C1779" w:rsidRPr="00735077" w:rsidRDefault="009C1779" w:rsidP="009C1779">
      <w:pPr>
        <w:pStyle w:val="SingleTxtG"/>
        <w:ind w:left="2832" w:hanging="564"/>
      </w:pPr>
      <w:r w:rsidRPr="00735077">
        <w:rPr>
          <w:bCs/>
        </w:rPr>
        <w:t>…</w:t>
      </w:r>
      <w:r>
        <w:rPr>
          <w:bCs/>
        </w:rPr>
        <w:t>»</w:t>
      </w:r>
    </w:p>
    <w:p w:rsidR="009C1779" w:rsidRPr="00735077" w:rsidRDefault="009C1779" w:rsidP="009C1779">
      <w:pPr>
        <w:pStyle w:val="SingleTxtG"/>
        <w:rPr>
          <w:b/>
        </w:rPr>
      </w:pPr>
      <w:r w:rsidRPr="00735077">
        <w:tab/>
      </w:r>
      <w:r w:rsidRPr="00735077">
        <w:rPr>
          <w:bCs/>
          <w:i/>
        </w:rPr>
        <w:t>Добавить новый пункт 4.5.6</w:t>
      </w:r>
      <w:r w:rsidRPr="00735077">
        <w:t xml:space="preserve"> следующего содержания:</w:t>
      </w:r>
    </w:p>
    <w:p w:rsidR="009C1779" w:rsidRPr="00735077" w:rsidRDefault="009C1779" w:rsidP="009C1779">
      <w:pPr>
        <w:pStyle w:val="SingleTxtG"/>
        <w:ind w:left="2268" w:hanging="1134"/>
        <w:rPr>
          <w:b/>
        </w:rPr>
      </w:pPr>
      <w:r>
        <w:t>«</w:t>
      </w:r>
      <w:r w:rsidRPr="00735077">
        <w:rPr>
          <w:b/>
        </w:rPr>
        <w:t>4.5.6</w:t>
      </w:r>
      <w:r w:rsidRPr="00735077">
        <w:rPr>
          <w:b/>
        </w:rPr>
        <w:tab/>
      </w:r>
      <w:r>
        <w:rPr>
          <w:b/>
        </w:rPr>
        <w:tab/>
      </w:r>
      <w:r w:rsidRPr="00735077">
        <w:rPr>
          <w:b/>
        </w:rPr>
        <w:t>По просьбе подателя заявки на внутренней конструкции оптических элементов и/или на текстуре внешнего рассеивателя позади видимой поверхности огня (функции) допускается размещение логотипного знака, выполненного из прозрачных либо матовых материалов, при условии соблюдения – применительно к конкретной функции – всех требований настоящих Правил, а также следующих условий:</w:t>
      </w:r>
    </w:p>
    <w:p w:rsidR="009C1779" w:rsidRPr="00735077" w:rsidRDefault="009C1779" w:rsidP="009C1779">
      <w:pPr>
        <w:pStyle w:val="SingleTxtG"/>
        <w:ind w:left="2835" w:hanging="567"/>
        <w:rPr>
          <w:b/>
        </w:rPr>
      </w:pPr>
      <w:r w:rsidRPr="00735077">
        <w:rPr>
          <w:b/>
          <w:lang w:val="en-US"/>
        </w:rPr>
        <w:t>a</w:t>
      </w:r>
      <w:r w:rsidRPr="00735077">
        <w:rPr>
          <w:b/>
        </w:rPr>
        <w:t>)</w:t>
      </w:r>
      <w:r w:rsidRPr="00735077">
        <w:rPr>
          <w:b/>
        </w:rPr>
        <w:tab/>
        <w:t>разрешается использование только логотипа, ассоциируемого с торговой маркой изготови</w:t>
      </w:r>
      <w:r w:rsidR="006059F8">
        <w:rPr>
          <w:b/>
        </w:rPr>
        <w:t>теля транспортного средства или </w:t>
      </w:r>
      <w:r w:rsidRPr="00735077">
        <w:rPr>
          <w:b/>
        </w:rPr>
        <w:t>изготовителя кузова, что подтверждается посредством соответствующего заявления подателя заявки (см.</w:t>
      </w:r>
      <w:r w:rsidR="006059F8">
        <w:rPr>
          <w:b/>
        </w:rPr>
        <w:t> пункт </w:t>
      </w:r>
      <w:r w:rsidRPr="00735077">
        <w:rPr>
          <w:b/>
          <w:bCs/>
        </w:rPr>
        <w:t>3.1.2.2 e)</w:t>
      </w:r>
      <w:r w:rsidRPr="00735077">
        <w:rPr>
          <w:b/>
        </w:rPr>
        <w:t>);</w:t>
      </w:r>
    </w:p>
    <w:p w:rsidR="009C1779" w:rsidRPr="00735077" w:rsidRDefault="009C1779" w:rsidP="006059F8">
      <w:pPr>
        <w:pStyle w:val="SingleTxtG"/>
        <w:ind w:left="2835" w:hanging="567"/>
        <w:rPr>
          <w:b/>
        </w:rPr>
      </w:pPr>
      <w:r w:rsidRPr="00735077">
        <w:rPr>
          <w:b/>
        </w:rPr>
        <w:t>b)</w:t>
      </w:r>
      <w:r w:rsidRPr="00735077">
        <w:rPr>
          <w:b/>
        </w:rPr>
        <w:tab/>
        <w:t>размер: площадь занимаемой логотипом (включая его прозрачные или матовые элементы) светоизлучающей поверхности такого огня в направлении исходной оси не должна превышать 100 см</w:t>
      </w:r>
      <w:r w:rsidRPr="00735077">
        <w:rPr>
          <w:b/>
          <w:vertAlign w:val="superscript"/>
        </w:rPr>
        <w:t>2</w:t>
      </w:r>
      <w:r w:rsidRPr="00735077">
        <w:rPr>
          <w:b/>
        </w:rPr>
        <w:t>;</w:t>
      </w:r>
    </w:p>
    <w:p w:rsidR="009C1779" w:rsidRPr="00735077" w:rsidRDefault="009C1779" w:rsidP="006059F8">
      <w:pPr>
        <w:pStyle w:val="SingleTxtG"/>
        <w:ind w:left="2835" w:hanging="567"/>
        <w:rPr>
          <w:b/>
        </w:rPr>
      </w:pPr>
      <w:r w:rsidRPr="00735077">
        <w:rPr>
          <w:b/>
          <w:lang w:val="en-US"/>
        </w:rPr>
        <w:t>c</w:t>
      </w:r>
      <w:r w:rsidRPr="00735077">
        <w:rPr>
          <w:b/>
        </w:rPr>
        <w:t>)</w:t>
      </w:r>
      <w:r w:rsidRPr="00735077">
        <w:rPr>
          <w:b/>
        </w:rPr>
        <w:tab/>
        <w:t>симметричность: независимо от требований пункта 5.5.2 Правил № 48 ООН приходящаяся на логотипный знак светоизлучающая поверхность не обязательно должна быть симметричной;</w:t>
      </w:r>
    </w:p>
    <w:p w:rsidR="009C1779" w:rsidRPr="00735077" w:rsidRDefault="009C1779" w:rsidP="006059F8">
      <w:pPr>
        <w:pStyle w:val="SingleTxtG"/>
        <w:ind w:left="2835" w:hanging="567"/>
        <w:rPr>
          <w:b/>
        </w:rPr>
      </w:pPr>
      <w:r w:rsidRPr="00735077">
        <w:rPr>
          <w:b/>
          <w:lang w:val="en-US"/>
        </w:rPr>
        <w:t>d</w:t>
      </w:r>
      <w:r w:rsidRPr="00735077">
        <w:rPr>
          <w:b/>
        </w:rPr>
        <w:t>)</w:t>
      </w:r>
      <w:r w:rsidRPr="00735077">
        <w:rPr>
          <w:b/>
        </w:rPr>
        <w:tab/>
        <w:t xml:space="preserve">в случае огней категорий </w:t>
      </w:r>
      <w:r w:rsidRPr="00735077">
        <w:rPr>
          <w:b/>
          <w:lang w:val="en-US"/>
        </w:rPr>
        <w:t>S</w:t>
      </w:r>
      <w:r w:rsidRPr="00735077">
        <w:rPr>
          <w:b/>
        </w:rPr>
        <w:t>3/</w:t>
      </w:r>
      <w:r w:rsidRPr="00735077">
        <w:rPr>
          <w:b/>
          <w:lang w:val="en-US"/>
        </w:rPr>
        <w:t>S</w:t>
      </w:r>
      <w:r w:rsidRPr="00735077">
        <w:rPr>
          <w:b/>
        </w:rPr>
        <w:t>4 (не парных) асимметричные формы должны исключаться даже во внутренней конструкции;</w:t>
      </w:r>
    </w:p>
    <w:p w:rsidR="009C1779" w:rsidRPr="00735077" w:rsidRDefault="009C1779" w:rsidP="006059F8">
      <w:pPr>
        <w:pStyle w:val="SingleTxtG"/>
        <w:ind w:left="2835" w:hanging="567"/>
        <w:rPr>
          <w:b/>
        </w:rPr>
      </w:pPr>
      <w:r w:rsidRPr="00735077">
        <w:rPr>
          <w:b/>
          <w:lang w:val="en-US"/>
        </w:rPr>
        <w:t>e</w:t>
      </w:r>
      <w:r w:rsidRPr="00735077">
        <w:rPr>
          <w:b/>
        </w:rPr>
        <w:t>)</w:t>
      </w:r>
      <w:r w:rsidRPr="00735077">
        <w:rPr>
          <w:b/>
        </w:rPr>
        <w:tab/>
        <w:t>размещение логотипного знака на огне, имеющего форму полосы, не допускается.</w:t>
      </w:r>
    </w:p>
    <w:p w:rsidR="009C1779" w:rsidRPr="00735077" w:rsidRDefault="009C1779" w:rsidP="006059F8">
      <w:pPr>
        <w:pStyle w:val="SingleTxtG"/>
        <w:ind w:left="2835" w:hanging="567"/>
        <w:rPr>
          <w:b/>
        </w:rPr>
      </w:pPr>
      <w:r w:rsidRPr="00735077">
        <w:t>…</w:t>
      </w:r>
      <w:r w:rsidR="006059F8">
        <w:t>»</w:t>
      </w:r>
    </w:p>
    <w:p w:rsidR="006059F8" w:rsidRDefault="006059F8">
      <w:pPr>
        <w:suppressAutoHyphens w:val="0"/>
        <w:spacing w:line="240" w:lineRule="auto"/>
        <w:rPr>
          <w:rFonts w:eastAsia="SimSun" w:cs="Times New Roman"/>
          <w:b/>
          <w:sz w:val="24"/>
          <w:szCs w:val="20"/>
          <w:lang w:eastAsia="ru-RU"/>
        </w:rPr>
      </w:pPr>
      <w:r>
        <w:rPr>
          <w:rFonts w:eastAsia="SimSun"/>
        </w:rPr>
        <w:br w:type="page"/>
      </w:r>
    </w:p>
    <w:p w:rsidR="009C1779" w:rsidRPr="00735077" w:rsidRDefault="009C1779" w:rsidP="009C1779">
      <w:pPr>
        <w:pStyle w:val="H1G"/>
        <w:rPr>
          <w:rFonts w:eastAsia="SimSun"/>
        </w:rPr>
      </w:pPr>
      <w:r w:rsidRPr="00735077">
        <w:rPr>
          <w:rFonts w:eastAsia="SimSun"/>
        </w:rPr>
        <w:lastRenderedPageBreak/>
        <w:tab/>
        <w:t xml:space="preserve">B. </w:t>
      </w:r>
      <w:r w:rsidRPr="00735077">
        <w:rPr>
          <w:rFonts w:eastAsia="SimSun"/>
        </w:rPr>
        <w:tab/>
      </w:r>
      <w:r w:rsidRPr="00735077">
        <w:t xml:space="preserve">Предложение по дополнению </w:t>
      </w:r>
      <w:r w:rsidR="006059F8">
        <w:t>к поправкам серии 06 к Правилам </w:t>
      </w:r>
      <w:r w:rsidRPr="00735077">
        <w:t>№ 48 ООН</w:t>
      </w:r>
    </w:p>
    <w:p w:rsidR="009C1779" w:rsidRPr="00735077" w:rsidRDefault="009C1779" w:rsidP="006059F8">
      <w:pPr>
        <w:pStyle w:val="SingleTxtG"/>
      </w:pPr>
      <w:r w:rsidRPr="006059F8">
        <w:rPr>
          <w:bCs/>
          <w:i/>
        </w:rPr>
        <w:t xml:space="preserve">Добавить </w:t>
      </w:r>
      <w:r w:rsidRPr="006059F8">
        <w:rPr>
          <w:i/>
          <w:iCs/>
        </w:rPr>
        <w:t>новый пункт</w:t>
      </w:r>
      <w:r w:rsidRPr="006059F8">
        <w:rPr>
          <w:i/>
        </w:rPr>
        <w:t xml:space="preserve"> 5.5.5</w:t>
      </w:r>
      <w:r w:rsidRPr="00735077">
        <w:t xml:space="preserve"> следующего содержания:</w:t>
      </w:r>
    </w:p>
    <w:p w:rsidR="009C1779" w:rsidRPr="00735077" w:rsidRDefault="006059F8" w:rsidP="009C1779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/>
        </w:rPr>
      </w:pPr>
      <w:r>
        <w:t>«</w:t>
      </w:r>
      <w:r w:rsidR="009C1779" w:rsidRPr="00735077">
        <w:rPr>
          <w:b/>
        </w:rPr>
        <w:t>5.5.5</w:t>
      </w:r>
      <w:r w:rsidR="009C1779" w:rsidRPr="00735077">
        <w:rPr>
          <w:b/>
        </w:rPr>
        <w:tab/>
        <w:t>в случае огней с размещенным на них логотипом сзади (или спереди) транспортного средства могут устанавливаться только два огня, а</w:t>
      </w:r>
      <w:r>
        <w:rPr>
          <w:b/>
        </w:rPr>
        <w:t> </w:t>
      </w:r>
      <w:r w:rsidR="009C1779" w:rsidRPr="00735077">
        <w:rPr>
          <w:b/>
        </w:rPr>
        <w:t>с</w:t>
      </w:r>
      <w:r>
        <w:rPr>
          <w:b/>
        </w:rPr>
        <w:t> </w:t>
      </w:r>
      <w:r w:rsidR="009C1779" w:rsidRPr="00735077">
        <w:rPr>
          <w:b/>
        </w:rPr>
        <w:t>каждой стороны – только по одному</w:t>
      </w:r>
      <w:r>
        <w:t>»</w:t>
      </w:r>
      <w:r w:rsidR="009C1779" w:rsidRPr="00735077">
        <w:t>.</w:t>
      </w:r>
    </w:p>
    <w:p w:rsidR="009C1779" w:rsidRPr="00735077" w:rsidRDefault="009C1779" w:rsidP="009C1779">
      <w:pPr>
        <w:pStyle w:val="HChG"/>
      </w:pPr>
      <w:r w:rsidRPr="00735077">
        <w:tab/>
        <w:t>II.</w:t>
      </w:r>
      <w:r w:rsidRPr="00735077">
        <w:tab/>
        <w:t>Обоснование</w:t>
      </w:r>
    </w:p>
    <w:p w:rsidR="009C1779" w:rsidRPr="00735077" w:rsidRDefault="009C1779" w:rsidP="006059F8">
      <w:pPr>
        <w:pStyle w:val="SingleTxtG"/>
      </w:pPr>
      <w:r w:rsidRPr="00735077">
        <w:t>1.</w:t>
      </w:r>
      <w:r w:rsidRPr="00735077">
        <w:tab/>
        <w:t xml:space="preserve">В последние годы некоторые огни официально утверждались с выразительными, суггестивными или фигуративными видимыми поверхностями. </w:t>
      </w:r>
      <w:r w:rsidR="006059F8">
        <w:t>На </w:t>
      </w:r>
      <w:r w:rsidRPr="00735077">
        <w:t xml:space="preserve">семьдесят восьмой сессии </w:t>
      </w:r>
      <w:r w:rsidRPr="00735077">
        <w:rPr>
          <w:lang w:val="en-US"/>
        </w:rPr>
        <w:t>GRE</w:t>
      </w:r>
      <w:r w:rsidRPr="00735077">
        <w:t xml:space="preserve"> эксперты от Германии и Франции подняли вопросы, касающиеся данного аспекта (GRE-78-03). После состоявшегося обсуждения был подготовлен вопросник, разосланный всем Договаривающимся сторонам, результаты которого были представлены на восьмидесятой сессии GRE (</w:t>
      </w:r>
      <w:r w:rsidRPr="00735077">
        <w:rPr>
          <w:lang w:val="en-US"/>
        </w:rPr>
        <w:t>GRE</w:t>
      </w:r>
      <w:r w:rsidRPr="00735077">
        <w:t xml:space="preserve"> 80-28).</w:t>
      </w:r>
    </w:p>
    <w:p w:rsidR="009C1779" w:rsidRPr="00735077" w:rsidRDefault="009C1779" w:rsidP="006059F8">
      <w:pPr>
        <w:pStyle w:val="SingleTxtG"/>
      </w:pPr>
      <w:r w:rsidRPr="00735077">
        <w:t>2.</w:t>
      </w:r>
      <w:r w:rsidRPr="00735077">
        <w:tab/>
        <w:t>В целях изыскания применительно к разрешенным логотипам простого компромиссного решения на обсуждение были вынесены следующие принципы:</w:t>
      </w:r>
    </w:p>
    <w:p w:rsidR="009C1779" w:rsidRPr="00735077" w:rsidRDefault="009C1779" w:rsidP="006059F8">
      <w:pPr>
        <w:pStyle w:val="Bullet1G"/>
      </w:pPr>
      <w:r w:rsidRPr="00735077">
        <w:rPr>
          <w:rFonts w:ascii="Symbol" w:hAnsi="Symbol"/>
        </w:rPr>
        <w:tab/>
      </w:r>
      <w:r w:rsidRPr="00735077">
        <w:t>логотип подлежит официальному утверждению по типу в качестве элемента существующей функции сигнализации (т.</w:t>
      </w:r>
      <w:r w:rsidR="006059F8">
        <w:t> </w:t>
      </w:r>
      <w:r w:rsidRPr="00735077">
        <w:t xml:space="preserve">е. переднего </w:t>
      </w:r>
      <w:r w:rsidRPr="00735077">
        <w:rPr>
          <w:rFonts w:eastAsia="MS Mincho"/>
        </w:rPr>
        <w:t>габаритного огня, заднего габаритного огня</w:t>
      </w:r>
      <w:r w:rsidRPr="00735077">
        <w:t>);</w:t>
      </w:r>
    </w:p>
    <w:p w:rsidR="009C1779" w:rsidRPr="00735077" w:rsidRDefault="009C1779" w:rsidP="006059F8">
      <w:pPr>
        <w:pStyle w:val="Bullet1G"/>
      </w:pPr>
      <w:r w:rsidRPr="00735077">
        <w:rPr>
          <w:rFonts w:ascii="Symbol" w:hAnsi="Symbol"/>
        </w:rPr>
        <w:tab/>
      </w:r>
      <w:r w:rsidRPr="00735077">
        <w:t>место расположения логотипа: спереди или сзади транспортного средства;</w:t>
      </w:r>
    </w:p>
    <w:p w:rsidR="009C1779" w:rsidRPr="00735077" w:rsidRDefault="009C1779" w:rsidP="006059F8">
      <w:pPr>
        <w:pStyle w:val="Bullet1G"/>
      </w:pPr>
      <w:r w:rsidRPr="00735077">
        <w:rPr>
          <w:rFonts w:ascii="Symbol" w:hAnsi="Symbol"/>
        </w:rPr>
        <w:tab/>
      </w:r>
      <w:r w:rsidRPr="00735077">
        <w:t xml:space="preserve">количество логотипов: </w:t>
      </w:r>
    </w:p>
    <w:p w:rsidR="009C1779" w:rsidRPr="00735077" w:rsidRDefault="009C1779" w:rsidP="006059F8">
      <w:pPr>
        <w:pStyle w:val="Bullet2G"/>
        <w:rPr>
          <w:rFonts w:eastAsia="MS Mincho"/>
        </w:rPr>
      </w:pPr>
      <w:r w:rsidRPr="00735077">
        <w:rPr>
          <w:rFonts w:eastAsia="MS Mincho"/>
        </w:rPr>
        <w:tab/>
      </w:r>
      <w:r w:rsidRPr="00735077">
        <w:t>2 логотипа сзади и только по одному с каждой стороны или 2 логотипа спереди и только по одному с каждой стороны;</w:t>
      </w:r>
      <w:r w:rsidRPr="00735077">
        <w:rPr>
          <w:rFonts w:eastAsia="MS Mincho"/>
        </w:rPr>
        <w:t xml:space="preserve"> </w:t>
      </w:r>
    </w:p>
    <w:p w:rsidR="009C1779" w:rsidRPr="00735077" w:rsidRDefault="009C1779" w:rsidP="006059F8">
      <w:pPr>
        <w:pStyle w:val="Bullet2G"/>
        <w:rPr>
          <w:rFonts w:eastAsia="MS Mincho"/>
        </w:rPr>
      </w:pPr>
      <w:r w:rsidRPr="00735077">
        <w:rPr>
          <w:rFonts w:eastAsia="MS Mincho"/>
        </w:rPr>
        <w:tab/>
        <w:t>никаких логотипов по центру во избежание непредвиденных отвлекающих световых эффектов (обсуждение новых требований относительно минимального расстояния как между передними, так и задними габаритными огнями?);</w:t>
      </w:r>
    </w:p>
    <w:p w:rsidR="009C1779" w:rsidRPr="00735077" w:rsidRDefault="009C1779" w:rsidP="006059F8">
      <w:pPr>
        <w:pStyle w:val="Bullet1G"/>
      </w:pPr>
      <w:r w:rsidRPr="00735077">
        <w:rPr>
          <w:rFonts w:ascii="Symbol" w:hAnsi="Symbol"/>
        </w:rPr>
        <w:tab/>
      </w:r>
      <w:r w:rsidRPr="00735077">
        <w:t>размер: максимальный размер светоизлучающей поверхности логотипа: не более [100 мм] в диаметре, с тем чтобы логотипный знак не воспринимался как светящаяся реклама (с учетом требований национального законодательства);</w:t>
      </w:r>
    </w:p>
    <w:p w:rsidR="009C1779" w:rsidRPr="00735077" w:rsidRDefault="009C1779" w:rsidP="006059F8">
      <w:pPr>
        <w:pStyle w:val="Bullet1G"/>
      </w:pPr>
      <w:r w:rsidRPr="00735077">
        <w:rPr>
          <w:rFonts w:ascii="Symbol" w:hAnsi="Symbol"/>
        </w:rPr>
        <w:tab/>
      </w:r>
      <w:r w:rsidRPr="00735077">
        <w:t>допускается только логотип изготовителя транспортного средства (в том числе в случае официального утверждения типа транспортного средства, проводимого в несколько этапов);</w:t>
      </w:r>
    </w:p>
    <w:p w:rsidR="009C1779" w:rsidRPr="00735077" w:rsidRDefault="009C1779" w:rsidP="006059F8">
      <w:pPr>
        <w:pStyle w:val="Bullet1G"/>
      </w:pPr>
      <w:r w:rsidRPr="00735077">
        <w:rPr>
          <w:rFonts w:ascii="Symbol" w:hAnsi="Symbol"/>
        </w:rPr>
        <w:tab/>
      </w:r>
      <w:r w:rsidRPr="00735077">
        <w:t>логотипы поставщиков оборудования не допускаются;</w:t>
      </w:r>
    </w:p>
    <w:p w:rsidR="009C1779" w:rsidRPr="00735077" w:rsidRDefault="009C1779" w:rsidP="006059F8">
      <w:pPr>
        <w:pStyle w:val="Bullet1G"/>
      </w:pPr>
      <w:r w:rsidRPr="00735077">
        <w:rPr>
          <w:rFonts w:ascii="Symbol" w:hAnsi="Symbol"/>
        </w:rPr>
        <w:tab/>
      </w:r>
      <w:r w:rsidRPr="00735077">
        <w:t xml:space="preserve">симметричность: </w:t>
      </w:r>
    </w:p>
    <w:p w:rsidR="009C1779" w:rsidRPr="00735077" w:rsidRDefault="009C1779" w:rsidP="006059F8">
      <w:pPr>
        <w:pStyle w:val="Bullet2G"/>
        <w:numPr>
          <w:ilvl w:val="0"/>
          <w:numId w:val="26"/>
        </w:numPr>
      </w:pPr>
      <w:r w:rsidRPr="006059F8">
        <w:rPr>
          <w:rFonts w:eastAsia="MS Mincho"/>
        </w:rPr>
        <w:tab/>
      </w:r>
      <w:r w:rsidRPr="00735077">
        <w:t>допускаются только симметричные логотипы, за исключением случаев, когда они несколько формоизменены (по конкурентным соображениям), но помещены в симметричную фигуру, и если светоизлучающая поверхность логотипа имеет не более [100 мм] в диаметре;</w:t>
      </w:r>
    </w:p>
    <w:p w:rsidR="009C1779" w:rsidRPr="00735077" w:rsidRDefault="009C1779" w:rsidP="006059F8">
      <w:pPr>
        <w:pStyle w:val="Bullet2G"/>
        <w:rPr>
          <w:rFonts w:eastAsia="MS Mincho"/>
        </w:rPr>
      </w:pPr>
      <w:r w:rsidRPr="006059F8">
        <w:rPr>
          <w:rFonts w:eastAsia="MS Mincho"/>
        </w:rPr>
        <w:tab/>
        <w:t>логотипы, содержащие слова/надписи, не допускаются, за исключением</w:t>
      </w:r>
      <w:r w:rsidRPr="00735077">
        <w:t xml:space="preserve"> случаев, когда слово </w:t>
      </w:r>
      <w:r w:rsidRPr="00735077">
        <w:rPr>
          <w:rFonts w:eastAsia="MS Mincho"/>
        </w:rPr>
        <w:t>(например, Форд или Фиат)</w:t>
      </w:r>
      <w:r w:rsidRPr="00735077">
        <w:t xml:space="preserve"> помещено в симметричную фигуру</w:t>
      </w:r>
      <w:r w:rsidRPr="00735077">
        <w:rPr>
          <w:rFonts w:eastAsia="MS Mincho"/>
        </w:rPr>
        <w:t xml:space="preserve">, </w:t>
      </w:r>
      <w:r w:rsidRPr="00735077">
        <w:t>и если светоизлучающая поверхность логотипа имеет не более [100 мм] в диаметре.</w:t>
      </w:r>
    </w:p>
    <w:p w:rsidR="009C1779" w:rsidRPr="00735077" w:rsidRDefault="009C1779" w:rsidP="009C1779">
      <w:pPr>
        <w:pStyle w:val="SingleTxtG"/>
      </w:pPr>
      <w:r w:rsidRPr="00735077">
        <w:t>3.</w:t>
      </w:r>
      <w:r w:rsidRPr="00735077">
        <w:tab/>
        <w:t xml:space="preserve">Изложенные в настоящем предложении </w:t>
      </w:r>
      <w:r w:rsidR="006059F8">
        <w:t>«</w:t>
      </w:r>
      <w:r w:rsidRPr="00735077">
        <w:t>логотипные</w:t>
      </w:r>
      <w:r w:rsidR="006059F8">
        <w:t>»</w:t>
      </w:r>
      <w:r w:rsidRPr="00735077">
        <w:t xml:space="preserve"> спецификации призваны снизить до приемлемого уровня степень умышленного привлечения к логотипам повышенного внимания со стороны других участников дорожного движения. Следует в максимально возможной степени избегать их отвлекающего воздействия.</w:t>
      </w:r>
    </w:p>
    <w:p w:rsidR="009C1779" w:rsidRDefault="009C1779" w:rsidP="009C1779">
      <w:pPr>
        <w:pStyle w:val="SingleTxtG"/>
      </w:pPr>
      <w:r w:rsidRPr="00735077">
        <w:lastRenderedPageBreak/>
        <w:t>4.</w:t>
      </w:r>
      <w:r w:rsidRPr="00735077">
        <w:tab/>
        <w:t>Настоящее предложение, подготовленное на основе и с учетом результатов обсуждений, содержит проект поправок к Правилам ООН, касающимся УСС, и к Правилам № 48 ООН.</w:t>
      </w:r>
    </w:p>
    <w:p w:rsidR="009C1779" w:rsidRPr="006059F8" w:rsidRDefault="006059F8" w:rsidP="006059F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C1779" w:rsidRPr="006059F8" w:rsidSect="009C177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6F8" w:rsidRPr="00A312BC" w:rsidRDefault="002F76F8" w:rsidP="00A312BC"/>
  </w:endnote>
  <w:endnote w:type="continuationSeparator" w:id="0">
    <w:p w:rsidR="002F76F8" w:rsidRPr="00A312BC" w:rsidRDefault="002F76F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779" w:rsidRPr="009C1779" w:rsidRDefault="009C1779">
    <w:pPr>
      <w:pStyle w:val="Footer"/>
    </w:pPr>
    <w:r w:rsidRPr="009C1779">
      <w:rPr>
        <w:b/>
        <w:sz w:val="18"/>
      </w:rPr>
      <w:fldChar w:fldCharType="begin"/>
    </w:r>
    <w:r w:rsidRPr="009C1779">
      <w:rPr>
        <w:b/>
        <w:sz w:val="18"/>
      </w:rPr>
      <w:instrText xml:space="preserve"> PAGE  \* MERGEFORMAT </w:instrText>
    </w:r>
    <w:r w:rsidRPr="009C1779">
      <w:rPr>
        <w:b/>
        <w:sz w:val="18"/>
      </w:rPr>
      <w:fldChar w:fldCharType="separate"/>
    </w:r>
    <w:r w:rsidR="00370CA1">
      <w:rPr>
        <w:b/>
        <w:noProof/>
        <w:sz w:val="18"/>
      </w:rPr>
      <w:t>4</w:t>
    </w:r>
    <w:r w:rsidRPr="009C1779">
      <w:rPr>
        <w:b/>
        <w:sz w:val="18"/>
      </w:rPr>
      <w:fldChar w:fldCharType="end"/>
    </w:r>
    <w:r>
      <w:rPr>
        <w:b/>
        <w:sz w:val="18"/>
      </w:rPr>
      <w:tab/>
    </w:r>
    <w:r>
      <w:t>GE.19-01450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779" w:rsidRPr="009C1779" w:rsidRDefault="009C1779" w:rsidP="009C1779">
    <w:pPr>
      <w:pStyle w:val="Footer"/>
      <w:tabs>
        <w:tab w:val="clear" w:pos="9639"/>
        <w:tab w:val="right" w:pos="9638"/>
      </w:tabs>
      <w:rPr>
        <w:b/>
        <w:sz w:val="18"/>
      </w:rPr>
    </w:pPr>
    <w:r>
      <w:t>GE.19-01450</w:t>
    </w:r>
    <w:r>
      <w:tab/>
    </w:r>
    <w:r w:rsidRPr="009C1779">
      <w:rPr>
        <w:b/>
        <w:sz w:val="18"/>
      </w:rPr>
      <w:fldChar w:fldCharType="begin"/>
    </w:r>
    <w:r w:rsidRPr="009C1779">
      <w:rPr>
        <w:b/>
        <w:sz w:val="18"/>
      </w:rPr>
      <w:instrText xml:space="preserve"> PAGE  \* MERGEFORMAT </w:instrText>
    </w:r>
    <w:r w:rsidRPr="009C1779">
      <w:rPr>
        <w:b/>
        <w:sz w:val="18"/>
      </w:rPr>
      <w:fldChar w:fldCharType="separate"/>
    </w:r>
    <w:r w:rsidR="00370CA1">
      <w:rPr>
        <w:b/>
        <w:noProof/>
        <w:sz w:val="18"/>
      </w:rPr>
      <w:t>3</w:t>
    </w:r>
    <w:r w:rsidRPr="009C177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C1779" w:rsidRDefault="009C1779" w:rsidP="009C177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19-01450  (R)</w:t>
    </w:r>
    <w:r w:rsidR="00266719">
      <w:t xml:space="preserve">  130219  140219</w:t>
    </w:r>
    <w:r>
      <w:br/>
    </w:r>
    <w:r w:rsidRPr="009C1779">
      <w:rPr>
        <w:rFonts w:ascii="C39T30Lfz" w:hAnsi="C39T30Lfz"/>
        <w:kern w:val="14"/>
        <w:sz w:val="56"/>
      </w:rPr>
      <w:t></w:t>
    </w:r>
    <w:r w:rsidRPr="009C1779">
      <w:rPr>
        <w:rFonts w:ascii="C39T30Lfz" w:hAnsi="C39T30Lfz"/>
        <w:kern w:val="14"/>
        <w:sz w:val="56"/>
      </w:rPr>
      <w:t></w:t>
    </w:r>
    <w:r w:rsidRPr="009C1779">
      <w:rPr>
        <w:rFonts w:ascii="C39T30Lfz" w:hAnsi="C39T30Lfz"/>
        <w:kern w:val="14"/>
        <w:sz w:val="56"/>
      </w:rPr>
      <w:t></w:t>
    </w:r>
    <w:r w:rsidRPr="009C1779">
      <w:rPr>
        <w:rFonts w:ascii="C39T30Lfz" w:hAnsi="C39T30Lfz"/>
        <w:kern w:val="14"/>
        <w:sz w:val="56"/>
      </w:rPr>
      <w:t></w:t>
    </w:r>
    <w:r w:rsidRPr="009C1779">
      <w:rPr>
        <w:rFonts w:ascii="C39T30Lfz" w:hAnsi="C39T30Lfz"/>
        <w:kern w:val="14"/>
        <w:sz w:val="56"/>
      </w:rPr>
      <w:t></w:t>
    </w:r>
    <w:r w:rsidRPr="009C1779">
      <w:rPr>
        <w:rFonts w:ascii="C39T30Lfz" w:hAnsi="C39T30Lfz"/>
        <w:kern w:val="14"/>
        <w:sz w:val="56"/>
      </w:rPr>
      <w:t></w:t>
    </w:r>
    <w:r w:rsidRPr="009C1779">
      <w:rPr>
        <w:rFonts w:ascii="C39T30Lfz" w:hAnsi="C39T30Lfz"/>
        <w:kern w:val="14"/>
        <w:sz w:val="56"/>
      </w:rPr>
      <w:t></w:t>
    </w:r>
    <w:r w:rsidRPr="009C1779">
      <w:rPr>
        <w:rFonts w:ascii="C39T30Lfz" w:hAnsi="C39T30Lfz"/>
        <w:kern w:val="14"/>
        <w:sz w:val="56"/>
      </w:rPr>
      <w:t></w:t>
    </w:r>
    <w:r w:rsidRPr="009C177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9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6F8" w:rsidRPr="001075E9" w:rsidRDefault="002F76F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F76F8" w:rsidRDefault="002F76F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C1779" w:rsidRPr="00ED764A" w:rsidRDefault="009C1779" w:rsidP="009C1779">
      <w:pPr>
        <w:pStyle w:val="FootnoteText"/>
      </w:pPr>
      <w:r w:rsidRPr="00A90EA8">
        <w:tab/>
      </w:r>
      <w:r w:rsidRPr="009C1779">
        <w:rPr>
          <w:rStyle w:val="FootnoteReference"/>
          <w:sz w:val="20"/>
          <w:vertAlign w:val="baseline"/>
        </w:rPr>
        <w:t>*</w:t>
      </w:r>
      <w:r w:rsidRPr="00ED764A">
        <w:rPr>
          <w:sz w:val="20"/>
        </w:rPr>
        <w:tab/>
      </w:r>
      <w:r w:rsidRPr="009D6549">
        <w:rPr>
          <w:szCs w:val="18"/>
        </w:rPr>
        <w:t>В соответствии с программой работы Комитета по внутреннему транспорту на 2018–2019 годы (</w:t>
      </w:r>
      <w:r w:rsidRPr="005630D1">
        <w:rPr>
          <w:szCs w:val="18"/>
          <w:lang w:val="en-US"/>
        </w:rPr>
        <w:t>ECE</w:t>
      </w:r>
      <w:r w:rsidRPr="009D6549">
        <w:rPr>
          <w:szCs w:val="18"/>
        </w:rPr>
        <w:t>/</w:t>
      </w:r>
      <w:r w:rsidRPr="005630D1">
        <w:rPr>
          <w:szCs w:val="18"/>
          <w:lang w:val="en-US"/>
        </w:rPr>
        <w:t>TRANS</w:t>
      </w:r>
      <w:r>
        <w:rPr>
          <w:szCs w:val="18"/>
        </w:rPr>
        <w:t>/274, пункт 123</w:t>
      </w:r>
      <w:r w:rsidRPr="009D6549">
        <w:rPr>
          <w:szCs w:val="18"/>
        </w:rPr>
        <w:t xml:space="preserve">, и </w:t>
      </w:r>
      <w:r w:rsidRPr="00B15178">
        <w:rPr>
          <w:szCs w:val="18"/>
          <w:lang w:val="en-US"/>
        </w:rPr>
        <w:t>ECE</w:t>
      </w:r>
      <w:r w:rsidRPr="009D6549">
        <w:rPr>
          <w:szCs w:val="18"/>
        </w:rPr>
        <w:t>/</w:t>
      </w:r>
      <w:r w:rsidRPr="00B15178">
        <w:rPr>
          <w:szCs w:val="18"/>
          <w:lang w:val="en-US"/>
        </w:rPr>
        <w:t>TRANS</w:t>
      </w:r>
      <w:r w:rsidRPr="009D6549">
        <w:rPr>
          <w:szCs w:val="18"/>
        </w:rPr>
        <w:t>/2018/21/</w:t>
      </w:r>
      <w:r w:rsidRPr="00B15178">
        <w:rPr>
          <w:szCs w:val="18"/>
          <w:lang w:val="en-US"/>
        </w:rPr>
        <w:t>Add</w:t>
      </w:r>
      <w:r w:rsidRPr="009D6549">
        <w:rPr>
          <w:szCs w:val="18"/>
        </w:rPr>
        <w:t>.1</w:t>
      </w:r>
      <w:r>
        <w:rPr>
          <w:szCs w:val="18"/>
        </w:rPr>
        <w:t>, направление деятельности 3.1</w:t>
      </w:r>
      <w:r w:rsidRPr="009D6549">
        <w:rPr>
          <w:szCs w:val="18"/>
        </w:rPr>
        <w:t xml:space="preserve">) Всемирный форум будет разрабатывать, согласовывать и обновлять правила ООН в целях улучшения характеристик транспортных средств. </w:t>
      </w:r>
      <w:r w:rsidRPr="005630D1">
        <w:rPr>
          <w:szCs w:val="18"/>
          <w:lang w:val="en-US"/>
        </w:rPr>
        <w:t>Н</w:t>
      </w:r>
      <w:r>
        <w:rPr>
          <w:szCs w:val="18"/>
          <w:lang w:val="en-US"/>
        </w:rPr>
        <w:t>астоящий документ представлен в </w:t>
      </w:r>
      <w:r w:rsidRPr="005630D1">
        <w:rPr>
          <w:szCs w:val="18"/>
          <w:lang w:val="en-US"/>
        </w:rPr>
        <w:t>соответствии с этим мандатом</w:t>
      </w:r>
      <w:r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779" w:rsidRPr="009C1779" w:rsidRDefault="004E6C9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70CA1">
      <w:t>ECE/TRANS/WP.29/GRE/2019/6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779" w:rsidRPr="009C1779" w:rsidRDefault="004E6C98" w:rsidP="009C177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70CA1">
      <w:t>ECE/TRANS/WP.29/GRE/2019/6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7068C038"/>
    <w:lvl w:ilvl="0" w:tplc="980EF660">
      <w:start w:val="1"/>
      <w:numFmt w:val="bullet"/>
      <w:pStyle w:val="Bullet2G"/>
      <w:lvlText w:val="−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8B26DA7A">
      <w:start w:val="1"/>
      <w:numFmt w:val="bullet"/>
      <w:lvlText w:val="₋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EB1F8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F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6719"/>
    <w:rsid w:val="0027151D"/>
    <w:rsid w:val="002A2EFC"/>
    <w:rsid w:val="002B0106"/>
    <w:rsid w:val="002B74B1"/>
    <w:rsid w:val="002C0E18"/>
    <w:rsid w:val="002D5AAC"/>
    <w:rsid w:val="002E5067"/>
    <w:rsid w:val="002F405F"/>
    <w:rsid w:val="002F76F8"/>
    <w:rsid w:val="002F7EEC"/>
    <w:rsid w:val="00301299"/>
    <w:rsid w:val="00305C08"/>
    <w:rsid w:val="00307FB6"/>
    <w:rsid w:val="00317339"/>
    <w:rsid w:val="00322004"/>
    <w:rsid w:val="003402C2"/>
    <w:rsid w:val="00370CA1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4E6C98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59F8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1779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2992769-4019-4008-B1B9-1F46807B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Footnote Text Cha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5_G_6 Char,Footnote Text Cha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qFormat/>
    <w:rsid w:val="009C1779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9C1779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9C1779"/>
    <w:rPr>
      <w:lang w:val="ru-RU" w:eastAsia="en-US"/>
    </w:rPr>
  </w:style>
  <w:style w:type="paragraph" w:styleId="ListParagraph">
    <w:name w:val="List Paragraph"/>
    <w:basedOn w:val="Normal"/>
    <w:uiPriority w:val="34"/>
    <w:qFormat/>
    <w:rsid w:val="009C1779"/>
    <w:pPr>
      <w:ind w:left="720"/>
      <w:contextualSpacing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ECE/TRANS/WP.29/GRE/2019/6</vt:lpstr>
      <vt:lpstr>ECE/TRANS/WP.29/GRE/2019/6</vt:lpstr>
      <vt:lpstr>A/</vt:lpstr>
    </vt:vector>
  </TitlesOfParts>
  <Company>DCM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ECE/TRANS/WP.29/GRE/2019/6</dc:title>
  <dc:subject/>
  <dc:creator>Marina KOROTKOVA</dc:creator>
  <cp:keywords/>
  <cp:lastModifiedBy>Benedicte Boudol</cp:lastModifiedBy>
  <cp:revision>2</cp:revision>
  <cp:lastPrinted>2019-02-14T07:03:00Z</cp:lastPrinted>
  <dcterms:created xsi:type="dcterms:W3CDTF">2019-02-27T16:08:00Z</dcterms:created>
  <dcterms:modified xsi:type="dcterms:W3CDTF">2019-02-27T16:08:00Z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