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84A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84AD0" w:rsidP="00684AD0">
            <w:pPr>
              <w:jc w:val="right"/>
            </w:pPr>
            <w:r w:rsidRPr="00684AD0">
              <w:rPr>
                <w:sz w:val="40"/>
              </w:rPr>
              <w:t>ECE</w:t>
            </w:r>
            <w:r>
              <w:t>/TRANS/WP.29/GRE/2019/5</w:t>
            </w:r>
          </w:p>
        </w:tc>
      </w:tr>
      <w:tr w:rsidR="002D5AAC" w:rsidRPr="00684AD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84A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84AD0" w:rsidRDefault="00684AD0" w:rsidP="00684A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January 2019</w:t>
            </w:r>
          </w:p>
          <w:p w:rsidR="00684AD0" w:rsidRDefault="00684AD0" w:rsidP="00684A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84AD0" w:rsidRPr="008D53B6" w:rsidRDefault="00684AD0" w:rsidP="00684A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84AD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84AD0" w:rsidRPr="00684AD0" w:rsidRDefault="00684AD0" w:rsidP="00684AD0">
      <w:pPr>
        <w:spacing w:before="120"/>
        <w:rPr>
          <w:sz w:val="28"/>
          <w:szCs w:val="28"/>
        </w:rPr>
      </w:pPr>
      <w:r w:rsidRPr="00684AD0">
        <w:rPr>
          <w:sz w:val="28"/>
          <w:szCs w:val="28"/>
        </w:rPr>
        <w:t>Комитет по внутреннему транспорту</w:t>
      </w:r>
    </w:p>
    <w:p w:rsidR="00684AD0" w:rsidRPr="00684AD0" w:rsidRDefault="00684AD0" w:rsidP="00684AD0">
      <w:pPr>
        <w:spacing w:before="120"/>
        <w:rPr>
          <w:b/>
          <w:sz w:val="24"/>
          <w:szCs w:val="24"/>
        </w:rPr>
      </w:pPr>
      <w:r w:rsidRPr="00684AD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84AD0">
        <w:rPr>
          <w:b/>
          <w:bCs/>
          <w:sz w:val="24"/>
          <w:szCs w:val="24"/>
        </w:rPr>
        <w:t>в области транспортных средств</w:t>
      </w:r>
    </w:p>
    <w:p w:rsidR="00684AD0" w:rsidRPr="00525E6C" w:rsidRDefault="00684AD0" w:rsidP="00684AD0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:rsidR="00684AD0" w:rsidRPr="00E04EC7" w:rsidRDefault="00684AD0" w:rsidP="00684AD0">
      <w:pPr>
        <w:ind w:right="1134"/>
        <w:rPr>
          <w:b/>
        </w:rPr>
      </w:pPr>
      <w:r>
        <w:rPr>
          <w:b/>
          <w:bCs/>
        </w:rPr>
        <w:t>Восемьдесят первая сессия</w:t>
      </w:r>
    </w:p>
    <w:p w:rsidR="00684AD0" w:rsidRPr="00E04EC7" w:rsidRDefault="00684AD0" w:rsidP="00684AD0">
      <w:pPr>
        <w:ind w:right="1134"/>
      </w:pPr>
      <w:r>
        <w:t>Женева, 15–18 апреля 2019 года</w:t>
      </w:r>
    </w:p>
    <w:p w:rsidR="00684AD0" w:rsidRPr="00525E6C" w:rsidRDefault="00684AD0" w:rsidP="00684AD0">
      <w:pPr>
        <w:ind w:right="1134"/>
        <w:rPr>
          <w:bCs/>
        </w:rPr>
      </w:pPr>
      <w:r>
        <w:t>Пункт 6 a) предварительной повестки дня</w:t>
      </w:r>
    </w:p>
    <w:p w:rsidR="00684AD0" w:rsidRPr="00C740F6" w:rsidRDefault="00684AD0" w:rsidP="00684AD0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</w:t>
      </w:r>
      <w:r>
        <w:rPr>
          <w:b/>
          <w:bCs/>
        </w:rPr>
        <w:br/>
        <w:t>освещения и световой сигнализации):</w:t>
      </w:r>
      <w:r w:rsidRPr="00684AD0">
        <w:rPr>
          <w:b/>
          <w:bCs/>
        </w:rPr>
        <w:t xml:space="preserve"> </w:t>
      </w:r>
      <w:r>
        <w:rPr>
          <w:b/>
          <w:bCs/>
        </w:rPr>
        <w:br/>
        <w:t>Предложения по поправкам к поправкам серий 05 и 06</w:t>
      </w:r>
    </w:p>
    <w:p w:rsidR="00684AD0" w:rsidRPr="00525E6C" w:rsidRDefault="00684AD0" w:rsidP="00684AD0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06 к</w:t>
      </w:r>
      <w:r>
        <w:rPr>
          <w:bCs/>
          <w:lang w:val="en-US"/>
        </w:rPr>
        <w:t> </w:t>
      </w:r>
      <w:r>
        <w:rPr>
          <w:bCs/>
        </w:rPr>
        <w:t>Правилам № 48 ООН (установка устройств освещения и световой сигнализации)</w:t>
      </w:r>
      <w:r>
        <w:t xml:space="preserve"> </w:t>
      </w:r>
    </w:p>
    <w:p w:rsidR="00684AD0" w:rsidRPr="00525E6C" w:rsidRDefault="00684AD0" w:rsidP="00684AD0">
      <w:pPr>
        <w:pStyle w:val="H1G"/>
        <w:ind w:firstLine="0"/>
        <w:rPr>
          <w:szCs w:val="24"/>
        </w:rPr>
      </w:pPr>
      <w:r>
        <w:rPr>
          <w:bCs/>
        </w:rPr>
        <w:t>Представлено экспертами от Италии и Чехии</w:t>
      </w:r>
      <w:r w:rsidRPr="00684AD0">
        <w:rPr>
          <w:b w:val="0"/>
          <w:sz w:val="20"/>
        </w:rPr>
        <w:footnoteReference w:customMarkFollows="1" w:id="1"/>
        <w:t xml:space="preserve">* </w:t>
      </w:r>
    </w:p>
    <w:p w:rsidR="00684AD0" w:rsidRDefault="00684AD0" w:rsidP="00684AD0">
      <w:pPr>
        <w:pStyle w:val="SingleTxtG"/>
        <w:tabs>
          <w:tab w:val="left" w:pos="8505"/>
        </w:tabs>
        <w:ind w:firstLine="567"/>
      </w:pPr>
      <w:r>
        <w:t xml:space="preserve">Воспроизведенный ниже текст был подготовлен экспертами от Италии и Чешской Республики при поддержке Целевой группы по вопросам включения фар (ЦГ-ВФ) с целью исправления и уточнения требований, предъявляемых к включению дневных ходовых огней (ДХО) вместе с задними габаритными огнями. Изменения к существующему тексту Правил выделены жирным шрифтом в случае новых элементов и зачеркиванием в случае исключенных элементов. </w:t>
      </w:r>
    </w:p>
    <w:p w:rsidR="00684AD0" w:rsidRDefault="00684AD0" w:rsidP="00684AD0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684AD0" w:rsidRPr="000D193F" w:rsidRDefault="00684AD0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Включить новый пункт 5.11.1.3</w:t>
      </w:r>
      <w:r>
        <w:t xml:space="preserve"> следующего содержания:</w:t>
      </w:r>
    </w:p>
    <w:p w:rsidR="00684AD0" w:rsidRPr="000D193F" w:rsidRDefault="004F151F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</w:t>
      </w:r>
      <w:r w:rsidR="00684AD0">
        <w:rPr>
          <w:b/>
          <w:bCs/>
        </w:rPr>
        <w:t>5.11.1.3</w:t>
      </w:r>
      <w:r w:rsidR="00684AD0">
        <w:tab/>
      </w:r>
      <w:r>
        <w:rPr>
          <w:b/>
          <w:bCs/>
        </w:rPr>
        <w:t xml:space="preserve">когда </w:t>
      </w:r>
      <w:r w:rsidR="00684AD0">
        <w:rPr>
          <w:b/>
          <w:bCs/>
        </w:rPr>
        <w:t>система световой сигнализации работает в соответствии с</w:t>
      </w:r>
      <w:r>
        <w:rPr>
          <w:b/>
          <w:bCs/>
          <w:lang w:val="en-US"/>
        </w:rPr>
        <w:t> </w:t>
      </w:r>
      <w:r w:rsidR="00684AD0">
        <w:rPr>
          <w:b/>
          <w:bCs/>
        </w:rPr>
        <w:t>пунктом 6.19.7.4</w:t>
      </w:r>
      <w:r w:rsidR="00684AD0">
        <w:t>».</w:t>
      </w:r>
    </w:p>
    <w:p w:rsidR="00684AD0" w:rsidRDefault="00684AD0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Пункты 5.11.2 и 5.11.3</w:t>
      </w:r>
      <w:r>
        <w:t xml:space="preserve"> перенумеровать как 5.11.1.4 и 5.11.2, соответственно.</w:t>
      </w:r>
    </w:p>
    <w:p w:rsidR="00684AD0" w:rsidRPr="000D193F" w:rsidRDefault="00684AD0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 6.2.7.7</w:t>
      </w:r>
      <w:r>
        <w:t xml:space="preserve"> изменить следующим образом:</w:t>
      </w:r>
    </w:p>
    <w:p w:rsidR="00684AD0" w:rsidRPr="000D193F" w:rsidRDefault="004F151F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</w:t>
      </w:r>
      <w:r w:rsidR="00684AD0">
        <w:t xml:space="preserve">6.2.7.7 </w:t>
      </w:r>
      <w:r w:rsidR="00684AD0">
        <w:tab/>
        <w:t>без ущерба для положений пункта 6.2.7.6</w:t>
      </w:r>
      <w:r w:rsidR="00684AD0">
        <w:rPr>
          <w:strike/>
        </w:rPr>
        <w:t>.1</w:t>
      </w:r>
      <w:r w:rsidR="00684AD0">
        <w:t xml:space="preserve"> фары ближнего света могут включаться и выключаться автоматически в зависимости от других факторов, таких как время или окружающие условия (например, дневное время, положение транспортного средства, дождь, туман и т.</w:t>
      </w:r>
      <w:r>
        <w:t xml:space="preserve"> </w:t>
      </w:r>
      <w:r w:rsidR="00684AD0">
        <w:t>д.)».</w:t>
      </w:r>
    </w:p>
    <w:p w:rsidR="00684AD0" w:rsidRPr="000D193F" w:rsidRDefault="00684AD0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 6.9.8</w:t>
      </w:r>
      <w:r>
        <w:t xml:space="preserve"> изменить следующим образом:</w:t>
      </w:r>
    </w:p>
    <w:p w:rsidR="00684AD0" w:rsidRPr="000D193F" w:rsidRDefault="004F151F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</w:t>
      </w:r>
      <w:r w:rsidR="00684AD0">
        <w:t>6.9.8</w:t>
      </w:r>
      <w:r w:rsidR="00684AD0">
        <w:tab/>
        <w:t>Контрольный сигнал</w:t>
      </w:r>
    </w:p>
    <w:p w:rsidR="00684AD0" w:rsidRPr="000D193F" w:rsidRDefault="00684AD0" w:rsidP="00684AD0">
      <w:pPr>
        <w:tabs>
          <w:tab w:val="left" w:pos="2800"/>
        </w:tabs>
        <w:spacing w:after="120"/>
        <w:ind w:left="2268" w:right="1134"/>
        <w:jc w:val="both"/>
        <w:rPr>
          <w:rFonts w:eastAsia="MS Mincho"/>
        </w:rPr>
      </w:pPr>
      <w:r>
        <w:t>Контрольный сигнал включения является обязательным. 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</w:t>
      </w:r>
    </w:p>
    <w:p w:rsidR="00684AD0" w:rsidRPr="000D193F" w:rsidRDefault="00684AD0" w:rsidP="00684AD0">
      <w:pPr>
        <w:tabs>
          <w:tab w:val="left" w:pos="2800"/>
        </w:tabs>
        <w:spacing w:after="120"/>
        <w:ind w:left="2268" w:right="1134"/>
        <w:jc w:val="both"/>
        <w:rPr>
          <w:rFonts w:eastAsia="MS Mincho"/>
          <w:b/>
        </w:rPr>
      </w:pPr>
      <w:r>
        <w:rPr>
          <w:b/>
          <w:bCs/>
        </w:rPr>
        <w:t>Это требование не применяют, когда система световой сигнализации работает в соответствии с пунктом 6.19.7.4.</w:t>
      </w:r>
    </w:p>
    <w:p w:rsidR="00684AD0" w:rsidRPr="000D193F" w:rsidRDefault="00684AD0" w:rsidP="00684AD0">
      <w:pPr>
        <w:tabs>
          <w:tab w:val="left" w:pos="2800"/>
        </w:tabs>
        <w:spacing w:after="120"/>
        <w:ind w:left="2268" w:right="1134"/>
        <w:jc w:val="both"/>
        <w:rPr>
          <w:rFonts w:eastAsia="MS Mincho"/>
        </w:rPr>
      </w:pPr>
      <w:r>
        <w:t>Однако контрольный сигнал сбоя обязателен, если он предписан правилами, применимыми к данному элементу».</w:t>
      </w:r>
    </w:p>
    <w:p w:rsidR="00684AD0" w:rsidRPr="000D193F" w:rsidRDefault="00684AD0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 6.10.8</w:t>
      </w:r>
      <w:r>
        <w:t xml:space="preserve"> изменить следующим образом:</w:t>
      </w:r>
    </w:p>
    <w:p w:rsidR="00684AD0" w:rsidRPr="000D193F" w:rsidRDefault="004F151F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</w:t>
      </w:r>
      <w:r w:rsidR="00684AD0">
        <w:t>6.10.8</w:t>
      </w:r>
      <w:r w:rsidR="00684AD0">
        <w:tab/>
        <w:t>Контрольный сигнал</w:t>
      </w:r>
    </w:p>
    <w:p w:rsidR="00684AD0" w:rsidRPr="000D193F" w:rsidRDefault="00684AD0" w:rsidP="00684AD0">
      <w:pPr>
        <w:tabs>
          <w:tab w:val="left" w:pos="2800"/>
        </w:tabs>
        <w:spacing w:after="120"/>
        <w:ind w:left="2268" w:right="1134"/>
        <w:jc w:val="both"/>
        <w:rPr>
          <w:rFonts w:eastAsia="MS Mincho"/>
        </w:rPr>
      </w:pPr>
      <w:r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684AD0" w:rsidRPr="000D193F" w:rsidRDefault="00684AD0" w:rsidP="00684AD0">
      <w:pPr>
        <w:tabs>
          <w:tab w:val="left" w:pos="2800"/>
        </w:tabs>
        <w:spacing w:after="120"/>
        <w:ind w:left="2268" w:right="1134"/>
        <w:jc w:val="both"/>
        <w:rPr>
          <w:rFonts w:eastAsia="MS Mincho"/>
          <w:b/>
        </w:rPr>
      </w:pPr>
      <w:r>
        <w:rPr>
          <w:b/>
          <w:bCs/>
        </w:rPr>
        <w:t>Это требование не применяют, когда система световой сигнализации работает в соответствии с пунктом 6.19.7.4.</w:t>
      </w:r>
    </w:p>
    <w:p w:rsidR="00684AD0" w:rsidRPr="00523D35" w:rsidRDefault="00684AD0" w:rsidP="00684AD0">
      <w:pPr>
        <w:tabs>
          <w:tab w:val="left" w:pos="2800"/>
        </w:tabs>
        <w:spacing w:after="120"/>
        <w:ind w:left="2268" w:right="1134"/>
        <w:jc w:val="both"/>
        <w:rPr>
          <w:rFonts w:eastAsia="MS Mincho"/>
        </w:rPr>
      </w:pPr>
      <w:r>
        <w:t>Однако контрольный сигнал сбоя обязателен, если он предписан правилами, применимыми к данному элементу».</w:t>
      </w:r>
    </w:p>
    <w:p w:rsidR="00684AD0" w:rsidRPr="000D193F" w:rsidRDefault="00684AD0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 6.19.7.4</w:t>
      </w:r>
      <w:r>
        <w:t xml:space="preserve"> изменить следующим образом:</w:t>
      </w:r>
    </w:p>
    <w:p w:rsidR="00684AD0" w:rsidRPr="00A264B3" w:rsidRDefault="004F151F" w:rsidP="00684AD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</w:t>
      </w:r>
      <w:r w:rsidR="00684AD0">
        <w:t>6.19.7.4</w:t>
      </w:r>
      <w:r w:rsidR="00684AD0">
        <w:tab/>
        <w:t xml:space="preserve">Огни, указанные в пункте 5.11, могут включаться, когда включены дневные ходовые огни. </w:t>
      </w:r>
      <w:r w:rsidR="00684AD0">
        <w:rPr>
          <w:b/>
          <w:bCs/>
        </w:rPr>
        <w:t>Если выбран этот вариант, то должны быть включены как минимум задние габаритные огни</w:t>
      </w:r>
      <w:r>
        <w:t>».</w:t>
      </w:r>
    </w:p>
    <w:p w:rsidR="00684AD0" w:rsidRDefault="00684AD0" w:rsidP="00684AD0">
      <w:pPr>
        <w:pStyle w:val="HChG"/>
      </w:pPr>
      <w:r>
        <w:rPr>
          <w:lang w:val="en-US"/>
        </w:rPr>
        <w:tab/>
      </w:r>
      <w:r>
        <w:t>II.</w:t>
      </w:r>
      <w:r>
        <w:tab/>
      </w:r>
      <w:r>
        <w:rPr>
          <w:bCs/>
        </w:rPr>
        <w:t>Обоснование</w:t>
      </w:r>
    </w:p>
    <w:p w:rsidR="00684AD0" w:rsidRPr="00BB609E" w:rsidRDefault="00684AD0" w:rsidP="00684AD0">
      <w:pPr>
        <w:spacing w:after="120"/>
        <w:ind w:left="1134" w:right="1134"/>
        <w:jc w:val="both"/>
      </w:pPr>
      <w:r>
        <w:t>1.</w:t>
      </w:r>
      <w:r>
        <w:tab/>
        <w:t>GRE приняла в качестве дополнения 9 к поправкам серии 06 к Правилам № 48 ООН неофициальный документ GRE-77-06-Rev.1, в котором предлагались поправки к положениям, касающимся автоматического переключения режима дневных ходовых огней (ДХО) на режим фар и обратно. Этим предложением предусматривалось исключение нескольких подпунктов (в том числе 5.11.1.3), которые содержали переходные положения, предназначенные только для поправок серии 05, но были ошибочно сохранены также в поправках серии 06.</w:t>
      </w:r>
    </w:p>
    <w:p w:rsidR="00684AD0" w:rsidRPr="00BB609E" w:rsidRDefault="00684AD0" w:rsidP="00684AD0">
      <w:pPr>
        <w:spacing w:after="120"/>
        <w:ind w:left="1134" w:right="1134"/>
        <w:jc w:val="both"/>
      </w:pPr>
      <w:r>
        <w:t>2.</w:t>
      </w:r>
      <w:r>
        <w:tab/>
        <w:t xml:space="preserve">Однако на своих первых двух совещаниях ЦГ по ПРФ решила сохранить возможность включения ДХО вместе только (как минимум) с задними габаритными огнями без необходимости подачи в данном случае контрольного сигнала включения габаритных огней. Такое решение обусловлено требованиями, действующими в ряде стран, а также логически вытекает из соображений экономии энергии, поскольку не все другие огни (указанные в пункте 5.11) должны обязательно включаться. </w:t>
      </w:r>
    </w:p>
    <w:p w:rsidR="00E12C5F" w:rsidRDefault="00684AD0" w:rsidP="00684AD0">
      <w:pPr>
        <w:spacing w:after="120"/>
        <w:ind w:left="1134" w:right="1134"/>
        <w:jc w:val="both"/>
      </w:pPr>
      <w:r>
        <w:lastRenderedPageBreak/>
        <w:t>3.</w:t>
      </w:r>
      <w:r>
        <w:tab/>
        <w:t>Кроме того, в предлагаемом дополнении исправлена неправильная ссылка на исключенное положение пункта 6.2.7.7 и перенумерован пункт 5.11.2, содержание которого должно быть частью пункта 5.11.1 (изменение нумерации пункта 5.11.3 является последующим редакционным изменением).</w:t>
      </w:r>
    </w:p>
    <w:p w:rsidR="00684AD0" w:rsidRPr="00684AD0" w:rsidRDefault="00684AD0" w:rsidP="00684A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4AD0" w:rsidRPr="00684AD0" w:rsidSect="00684A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8BA" w:rsidRPr="00A312BC" w:rsidRDefault="005C48BA" w:rsidP="00A312BC"/>
  </w:endnote>
  <w:endnote w:type="continuationSeparator" w:id="0">
    <w:p w:rsidR="005C48BA" w:rsidRPr="00A312BC" w:rsidRDefault="005C48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D0" w:rsidRPr="00684AD0" w:rsidRDefault="00684AD0">
    <w:pPr>
      <w:pStyle w:val="Footer"/>
    </w:pPr>
    <w:r w:rsidRPr="00684AD0">
      <w:rPr>
        <w:b/>
        <w:sz w:val="18"/>
      </w:rPr>
      <w:fldChar w:fldCharType="begin"/>
    </w:r>
    <w:r w:rsidRPr="00684AD0">
      <w:rPr>
        <w:b/>
        <w:sz w:val="18"/>
      </w:rPr>
      <w:instrText xml:space="preserve"> PAGE  \* MERGEFORMAT </w:instrText>
    </w:r>
    <w:r w:rsidRPr="00684AD0">
      <w:rPr>
        <w:b/>
        <w:sz w:val="18"/>
      </w:rPr>
      <w:fldChar w:fldCharType="separate"/>
    </w:r>
    <w:r w:rsidR="003D4CC4">
      <w:rPr>
        <w:b/>
        <w:noProof/>
        <w:sz w:val="18"/>
      </w:rPr>
      <w:t>2</w:t>
    </w:r>
    <w:r w:rsidRPr="00684AD0">
      <w:rPr>
        <w:b/>
        <w:sz w:val="18"/>
      </w:rPr>
      <w:fldChar w:fldCharType="end"/>
    </w:r>
    <w:r>
      <w:rPr>
        <w:b/>
        <w:sz w:val="18"/>
      </w:rPr>
      <w:tab/>
    </w:r>
    <w:r>
      <w:t>GE.19-01474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D0" w:rsidRPr="00684AD0" w:rsidRDefault="00684AD0" w:rsidP="00684AD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GE.19-01474</w:t>
    </w:r>
    <w:r>
      <w:tab/>
    </w:r>
    <w:r w:rsidRPr="00684AD0">
      <w:rPr>
        <w:b/>
        <w:sz w:val="18"/>
      </w:rPr>
      <w:fldChar w:fldCharType="begin"/>
    </w:r>
    <w:r w:rsidRPr="00684AD0">
      <w:rPr>
        <w:b/>
        <w:sz w:val="18"/>
      </w:rPr>
      <w:instrText xml:space="preserve"> PAGE  \* MERGEFORMAT </w:instrText>
    </w:r>
    <w:r w:rsidRPr="00684AD0">
      <w:rPr>
        <w:b/>
        <w:sz w:val="18"/>
      </w:rPr>
      <w:fldChar w:fldCharType="separate"/>
    </w:r>
    <w:r w:rsidR="003D4CC4">
      <w:rPr>
        <w:b/>
        <w:noProof/>
        <w:sz w:val="18"/>
      </w:rPr>
      <w:t>3</w:t>
    </w:r>
    <w:r w:rsidRPr="00684A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84AD0" w:rsidRDefault="00684AD0" w:rsidP="00684AD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19-01474  (R)</w:t>
    </w:r>
    <w:r>
      <w:rPr>
        <w:lang w:val="en-US"/>
      </w:rPr>
      <w:t xml:space="preserve">  060219  070219</w:t>
    </w:r>
    <w:r>
      <w:br/>
    </w:r>
    <w:r w:rsidRPr="00684AD0">
      <w:rPr>
        <w:rFonts w:ascii="C39T30Lfz" w:hAnsi="C39T30Lfz"/>
        <w:kern w:val="14"/>
        <w:sz w:val="56"/>
      </w:rPr>
      <w:t></w:t>
    </w:r>
    <w:r w:rsidRPr="00684AD0">
      <w:rPr>
        <w:rFonts w:ascii="C39T30Lfz" w:hAnsi="C39T30Lfz"/>
        <w:kern w:val="14"/>
        <w:sz w:val="56"/>
      </w:rPr>
      <w:t></w:t>
    </w:r>
    <w:r w:rsidRPr="00684AD0">
      <w:rPr>
        <w:rFonts w:ascii="C39T30Lfz" w:hAnsi="C39T30Lfz"/>
        <w:kern w:val="14"/>
        <w:sz w:val="56"/>
      </w:rPr>
      <w:t></w:t>
    </w:r>
    <w:r w:rsidRPr="00684AD0">
      <w:rPr>
        <w:rFonts w:ascii="C39T30Lfz" w:hAnsi="C39T30Lfz"/>
        <w:kern w:val="14"/>
        <w:sz w:val="56"/>
      </w:rPr>
      <w:t></w:t>
    </w:r>
    <w:r w:rsidRPr="00684AD0">
      <w:rPr>
        <w:rFonts w:ascii="C39T30Lfz" w:hAnsi="C39T30Lfz"/>
        <w:kern w:val="14"/>
        <w:sz w:val="56"/>
      </w:rPr>
      <w:t></w:t>
    </w:r>
    <w:r w:rsidRPr="00684AD0">
      <w:rPr>
        <w:rFonts w:ascii="C39T30Lfz" w:hAnsi="C39T30Lfz"/>
        <w:kern w:val="14"/>
        <w:sz w:val="56"/>
      </w:rPr>
      <w:t></w:t>
    </w:r>
    <w:r w:rsidRPr="00684AD0">
      <w:rPr>
        <w:rFonts w:ascii="C39T30Lfz" w:hAnsi="C39T30Lfz"/>
        <w:kern w:val="14"/>
        <w:sz w:val="56"/>
      </w:rPr>
      <w:t></w:t>
    </w:r>
    <w:r w:rsidRPr="00684AD0">
      <w:rPr>
        <w:rFonts w:ascii="C39T30Lfz" w:hAnsi="C39T30Lfz"/>
        <w:kern w:val="14"/>
        <w:sz w:val="56"/>
      </w:rPr>
      <w:t></w:t>
    </w:r>
    <w:r w:rsidRPr="00684AD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8BA" w:rsidRPr="001075E9" w:rsidRDefault="005C48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48BA" w:rsidRDefault="005C48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84AD0" w:rsidRPr="00706101" w:rsidRDefault="00684AD0" w:rsidP="00684AD0">
      <w:pPr>
        <w:pStyle w:val="FootnoteText"/>
      </w:pPr>
      <w:r>
        <w:tab/>
      </w:r>
      <w:r w:rsidRPr="00684AD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4F151F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D0" w:rsidRPr="00684AD0" w:rsidRDefault="00684AD0">
    <w:pPr>
      <w:pStyle w:val="Header"/>
    </w:pPr>
    <w:fldSimple w:instr=" TITLE  \* MERGEFORMAT ">
      <w:r w:rsidR="003D4CC4">
        <w:t>ECE/TRANS/WP.29/GRE/2019/5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D0" w:rsidRPr="00684AD0" w:rsidRDefault="00684AD0" w:rsidP="00684AD0">
    <w:pPr>
      <w:pStyle w:val="Header"/>
      <w:jc w:val="right"/>
    </w:pPr>
    <w:fldSimple w:instr=" TITLE  \* MERGEFORMAT ">
      <w:r w:rsidR="003D4CC4">
        <w:t>ECE/TRANS/WP.29/GRE/2019/5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B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CC4"/>
    <w:rsid w:val="003E0B46"/>
    <w:rsid w:val="004034E6"/>
    <w:rsid w:val="00407B78"/>
    <w:rsid w:val="00424203"/>
    <w:rsid w:val="00452493"/>
    <w:rsid w:val="00453318"/>
    <w:rsid w:val="00454AF2"/>
    <w:rsid w:val="00454E07"/>
    <w:rsid w:val="00472C5C"/>
    <w:rsid w:val="004E05B7"/>
    <w:rsid w:val="004F151F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48BA"/>
    <w:rsid w:val="005D7914"/>
    <w:rsid w:val="005E2B41"/>
    <w:rsid w:val="005F0B42"/>
    <w:rsid w:val="00617A43"/>
    <w:rsid w:val="006345DB"/>
    <w:rsid w:val="00640F49"/>
    <w:rsid w:val="00680D03"/>
    <w:rsid w:val="00681A10"/>
    <w:rsid w:val="00684AD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787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4F4A5A-FB8B-4E54-B54D-DBF6F961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84AD0"/>
    <w:rPr>
      <w:lang w:val="ru-RU" w:eastAsia="en-US"/>
    </w:rPr>
  </w:style>
  <w:style w:type="character" w:customStyle="1" w:styleId="HChGChar">
    <w:name w:val="_ H _Ch_G Char"/>
    <w:link w:val="HChG"/>
    <w:rsid w:val="00684AD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84AD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ECE/TRANS/WP.29/GRE/2019/5</vt:lpstr>
      <vt:lpstr>A/</vt:lpstr>
      <vt:lpstr>A/</vt:lpstr>
    </vt:vector>
  </TitlesOfParts>
  <Company>DCM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ECE/TRANS/WP.29/GRE/2019/5</dc:title>
  <dc:subject/>
  <dc:creator>Tatiana SHARKINA</dc:creator>
  <cp:keywords/>
  <cp:lastModifiedBy>Benedicte Boudol</cp:lastModifiedBy>
  <cp:revision>2</cp:revision>
  <cp:lastPrinted>2019-02-07T08:35:00Z</cp:lastPrinted>
  <dcterms:created xsi:type="dcterms:W3CDTF">2019-02-28T15:14:00Z</dcterms:created>
  <dcterms:modified xsi:type="dcterms:W3CDTF">2019-02-28T15:14:00Z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