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032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032CE" w:rsidP="000032CE">
            <w:pPr>
              <w:jc w:val="right"/>
            </w:pPr>
            <w:r w:rsidRPr="000032CE">
              <w:rPr>
                <w:sz w:val="40"/>
              </w:rPr>
              <w:t>ECE</w:t>
            </w:r>
            <w:r>
              <w:t>/TRANS/WP.29/GRE/2019/4</w:t>
            </w:r>
          </w:p>
        </w:tc>
      </w:tr>
      <w:tr w:rsidR="002D5AAC" w:rsidRPr="00885BE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032C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032CE" w:rsidRDefault="000032CE" w:rsidP="000032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January 2019</w:t>
            </w:r>
          </w:p>
          <w:p w:rsidR="000032CE" w:rsidRDefault="000032CE" w:rsidP="000032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32CE" w:rsidRPr="008D53B6" w:rsidRDefault="000032CE" w:rsidP="000032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0032C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032CE" w:rsidRPr="000032CE" w:rsidRDefault="000032CE" w:rsidP="000032CE">
      <w:pPr>
        <w:pStyle w:val="SingleTxtG"/>
        <w:spacing w:before="120"/>
        <w:ind w:left="0"/>
        <w:jc w:val="left"/>
        <w:rPr>
          <w:sz w:val="28"/>
          <w:szCs w:val="28"/>
        </w:rPr>
      </w:pPr>
      <w:r w:rsidRPr="000032CE">
        <w:rPr>
          <w:sz w:val="28"/>
          <w:szCs w:val="28"/>
        </w:rPr>
        <w:t>Комитет по внутреннему транспорту</w:t>
      </w:r>
    </w:p>
    <w:p w:rsidR="000032CE" w:rsidRPr="000032CE" w:rsidRDefault="000032CE" w:rsidP="000032CE">
      <w:pPr>
        <w:pStyle w:val="SingleTxtG"/>
        <w:ind w:left="0"/>
        <w:jc w:val="left"/>
        <w:rPr>
          <w:b/>
          <w:sz w:val="24"/>
          <w:szCs w:val="24"/>
        </w:rPr>
      </w:pPr>
      <w:r w:rsidRPr="000032CE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0032CE">
        <w:rPr>
          <w:b/>
          <w:bCs/>
          <w:sz w:val="24"/>
          <w:szCs w:val="24"/>
        </w:rPr>
        <w:t>в области транспортных средств</w:t>
      </w:r>
    </w:p>
    <w:p w:rsidR="000032CE" w:rsidRPr="000032CE" w:rsidRDefault="000032CE" w:rsidP="000032CE">
      <w:pPr>
        <w:pStyle w:val="SingleTxtG"/>
        <w:ind w:left="0"/>
        <w:jc w:val="left"/>
        <w:rPr>
          <w:b/>
          <w:bCs/>
        </w:rPr>
      </w:pPr>
      <w:r w:rsidRPr="000032CE"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 w:rsidRPr="000032CE">
        <w:rPr>
          <w:b/>
          <w:bCs/>
        </w:rPr>
        <w:t>и световой сигнализации</w:t>
      </w:r>
    </w:p>
    <w:p w:rsidR="000032CE" w:rsidRPr="000032CE" w:rsidRDefault="000032CE" w:rsidP="000032CE">
      <w:pPr>
        <w:pStyle w:val="SingleTxtG"/>
        <w:spacing w:after="0"/>
        <w:ind w:left="0"/>
        <w:jc w:val="left"/>
        <w:rPr>
          <w:b/>
        </w:rPr>
      </w:pPr>
      <w:r w:rsidRPr="000032CE">
        <w:rPr>
          <w:b/>
          <w:bCs/>
        </w:rPr>
        <w:t>Восемьдесят первая сессия</w:t>
      </w:r>
    </w:p>
    <w:p w:rsidR="000032CE" w:rsidRPr="000032CE" w:rsidRDefault="000032CE" w:rsidP="000032CE">
      <w:pPr>
        <w:pStyle w:val="SingleTxtG"/>
        <w:spacing w:after="0"/>
        <w:ind w:left="0"/>
        <w:jc w:val="left"/>
      </w:pPr>
      <w:r w:rsidRPr="000032CE">
        <w:t>Женева, 15–18 апреля 2019 года</w:t>
      </w:r>
    </w:p>
    <w:p w:rsidR="000032CE" w:rsidRPr="000032CE" w:rsidRDefault="000032CE" w:rsidP="000032CE">
      <w:pPr>
        <w:pStyle w:val="SingleTxtG"/>
        <w:spacing w:after="0"/>
        <w:ind w:left="0"/>
        <w:jc w:val="left"/>
        <w:rPr>
          <w:bCs/>
        </w:rPr>
      </w:pPr>
      <w:r w:rsidRPr="000032CE">
        <w:t>Пункт 6 b) предварительной повестки дня</w:t>
      </w:r>
    </w:p>
    <w:p w:rsidR="000032CE" w:rsidRPr="000032CE" w:rsidRDefault="000032CE" w:rsidP="000032CE">
      <w:pPr>
        <w:pStyle w:val="SingleTxtG"/>
        <w:spacing w:after="0"/>
        <w:ind w:left="0"/>
        <w:jc w:val="left"/>
        <w:rPr>
          <w:b/>
          <w:bCs/>
        </w:rPr>
      </w:pPr>
      <w:r w:rsidRPr="000032CE">
        <w:rPr>
          <w:b/>
          <w:bCs/>
        </w:rPr>
        <w:t xml:space="preserve">Правила № 48 ООН (установка устройств </w:t>
      </w:r>
      <w:r w:rsidR="009C58E6">
        <w:rPr>
          <w:b/>
          <w:bCs/>
        </w:rPr>
        <w:br/>
      </w:r>
      <w:r w:rsidRPr="000032CE">
        <w:rPr>
          <w:b/>
          <w:bCs/>
        </w:rPr>
        <w:t>освещения и световой сигнализации):</w:t>
      </w:r>
    </w:p>
    <w:p w:rsidR="000032CE" w:rsidRPr="000032CE" w:rsidRDefault="000032CE" w:rsidP="000032CE">
      <w:pPr>
        <w:pStyle w:val="SingleTxtG"/>
        <w:spacing w:after="0"/>
        <w:ind w:left="0"/>
        <w:jc w:val="left"/>
        <w:rPr>
          <w:b/>
          <w:bCs/>
        </w:rPr>
      </w:pPr>
      <w:r w:rsidRPr="000032CE">
        <w:rPr>
          <w:b/>
          <w:bCs/>
        </w:rPr>
        <w:t xml:space="preserve">Прочие предложения по поправкам </w:t>
      </w:r>
      <w:r w:rsidR="009C58E6">
        <w:rPr>
          <w:b/>
          <w:bCs/>
        </w:rPr>
        <w:br/>
      </w:r>
      <w:r w:rsidRPr="000032CE">
        <w:rPr>
          <w:b/>
          <w:bCs/>
        </w:rPr>
        <w:t>к Правилам № 48 ООН</w:t>
      </w:r>
    </w:p>
    <w:p w:rsidR="000032CE" w:rsidRPr="000032CE" w:rsidRDefault="000032CE" w:rsidP="000032CE">
      <w:pPr>
        <w:pStyle w:val="HChG"/>
      </w:pPr>
      <w:r w:rsidRPr="000032CE">
        <w:tab/>
      </w:r>
      <w:r w:rsidRPr="000032CE">
        <w:tab/>
        <w:t>Предложение по дополнению к поправкам серии 07 к</w:t>
      </w:r>
      <w:r>
        <w:rPr>
          <w:lang w:val="en-US"/>
        </w:rPr>
        <w:t> </w:t>
      </w:r>
      <w:r w:rsidRPr="000032CE">
        <w:t xml:space="preserve">Правилам № 48 ООН (установка устройств освещения и световой сигнализации) </w:t>
      </w:r>
    </w:p>
    <w:p w:rsidR="000032CE" w:rsidRPr="000032CE" w:rsidRDefault="000032CE" w:rsidP="000032CE">
      <w:pPr>
        <w:pStyle w:val="H1G"/>
      </w:pPr>
      <w:r>
        <w:tab/>
      </w:r>
      <w:r>
        <w:tab/>
      </w:r>
      <w:r w:rsidRPr="000032CE">
        <w:t>Представлено экспертом от Франции</w:t>
      </w:r>
      <w:r w:rsidRPr="000032CE">
        <w:rPr>
          <w:b w:val="0"/>
          <w:sz w:val="20"/>
        </w:rPr>
        <w:footnoteReference w:customMarkFollows="1" w:id="1"/>
        <w:t>*</w:t>
      </w:r>
      <w:r w:rsidRPr="000032CE">
        <w:t xml:space="preserve"> </w:t>
      </w:r>
    </w:p>
    <w:p w:rsidR="000032CE" w:rsidRDefault="00C11CD3" w:rsidP="000032CE">
      <w:pPr>
        <w:pStyle w:val="SingleTxtG"/>
      </w:pPr>
      <w:r>
        <w:tab/>
      </w:r>
      <w:r>
        <w:tab/>
      </w:r>
      <w:r w:rsidR="000032CE" w:rsidRPr="000032CE">
        <w:t>Воспроизведенный ниже текст был подготовлен экспертом от Франции с целью исправить и уточнить требования к изменяемой силе света задних устройств световой сигнализации. Это предложение основано главным образом на документе ECE/</w:t>
      </w:r>
      <w:r>
        <w:br/>
      </w:r>
      <w:r w:rsidR="000032CE" w:rsidRPr="000032CE">
        <w:t xml:space="preserve">TRANS/WP.29/GRE/2019/11. </w:t>
      </w:r>
    </w:p>
    <w:p w:rsidR="00C11CD3" w:rsidRDefault="00C11CD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0032CE" w:rsidRPr="000032CE" w:rsidRDefault="000032CE" w:rsidP="000032CE">
      <w:pPr>
        <w:pStyle w:val="HChG"/>
      </w:pPr>
      <w:r>
        <w:lastRenderedPageBreak/>
        <w:tab/>
      </w:r>
      <w:r w:rsidRPr="000032CE">
        <w:t>I.</w:t>
      </w:r>
      <w:r w:rsidRPr="000032CE">
        <w:tab/>
        <w:t>Предложение</w:t>
      </w:r>
    </w:p>
    <w:p w:rsidR="000032CE" w:rsidRPr="000032CE" w:rsidRDefault="000032CE" w:rsidP="000032CE">
      <w:pPr>
        <w:pStyle w:val="SingleTxtG"/>
        <w:rPr>
          <w:i/>
        </w:rPr>
      </w:pPr>
      <w:r w:rsidRPr="000032CE">
        <w:rPr>
          <w:i/>
          <w:iCs/>
        </w:rPr>
        <w:t>Пункт 5.26</w:t>
      </w:r>
      <w:r w:rsidRPr="000032CE">
        <w:t xml:space="preserve"> изменить следующим образом:</w:t>
      </w:r>
    </w:p>
    <w:p w:rsidR="000032CE" w:rsidRPr="000032CE" w:rsidRDefault="000032CE" w:rsidP="000032CE">
      <w:pPr>
        <w:pStyle w:val="SingleTxtG"/>
        <w:tabs>
          <w:tab w:val="left" w:pos="2268"/>
        </w:tabs>
        <w:ind w:left="2268" w:hanging="1134"/>
      </w:pPr>
      <w:r>
        <w:t>«</w:t>
      </w:r>
      <w:r w:rsidRPr="000032CE">
        <w:t>5.26</w:t>
      </w:r>
      <w:r w:rsidRPr="000032CE">
        <w:tab/>
      </w:r>
      <w:r>
        <w:tab/>
      </w:r>
      <w:r w:rsidRPr="000032CE">
        <w:t xml:space="preserve">Задние указатели поворота </w:t>
      </w:r>
      <w:r w:rsidRPr="000032CE">
        <w:rPr>
          <w:b/>
          <w:bCs/>
        </w:rPr>
        <w:t>категории 2b</w:t>
      </w:r>
      <w:r w:rsidRPr="000032CE">
        <w:t xml:space="preserve">, задние габаритные огни </w:t>
      </w:r>
      <w:r w:rsidRPr="000032CE">
        <w:rPr>
          <w:b/>
          <w:bCs/>
        </w:rPr>
        <w:t>категории R2</w:t>
      </w:r>
      <w:r w:rsidRPr="000032CE">
        <w:t xml:space="preserve">, сигналы торможения </w:t>
      </w:r>
      <w:r w:rsidRPr="000032CE">
        <w:rPr>
          <w:b/>
          <w:bCs/>
        </w:rPr>
        <w:t xml:space="preserve">категории S2 </w:t>
      </w:r>
      <w:r w:rsidRPr="000032CE">
        <w:rPr>
          <w:strike/>
        </w:rPr>
        <w:t>(за исключением сигналов торможения категории S4)</w:t>
      </w:r>
      <w:r w:rsidRPr="000032CE">
        <w:t xml:space="preserve"> и задние противотуманные огни </w:t>
      </w:r>
      <w:r w:rsidRPr="000032CE">
        <w:rPr>
          <w:b/>
          <w:bCs/>
        </w:rPr>
        <w:t xml:space="preserve">категории F2 </w:t>
      </w:r>
      <w:r w:rsidRPr="000032CE">
        <w:t xml:space="preserve">с регулятором силы света допускаются при автоматическом реагировании </w:t>
      </w:r>
      <w:r w:rsidRPr="000032CE">
        <w:rPr>
          <w:strike/>
        </w:rPr>
        <w:t>по меньшей мере</w:t>
      </w:r>
      <w:r w:rsidRPr="000032CE">
        <w:t xml:space="preserve"> на </w:t>
      </w:r>
      <w:r w:rsidRPr="000032CE">
        <w:rPr>
          <w:strike/>
        </w:rPr>
        <w:t>один</w:t>
      </w:r>
      <w:r w:rsidRPr="000032CE">
        <w:t xml:space="preserve"> </w:t>
      </w:r>
      <w:r w:rsidRPr="000032CE">
        <w:rPr>
          <w:b/>
          <w:bCs/>
        </w:rPr>
        <w:t xml:space="preserve">одно или несколько </w:t>
      </w:r>
      <w:r w:rsidRPr="000032CE">
        <w:rPr>
          <w:strike/>
        </w:rPr>
        <w:t>из следующих внешних факторов</w:t>
      </w:r>
      <w:r w:rsidRPr="000032CE">
        <w:t xml:space="preserve"> </w:t>
      </w:r>
      <w:r w:rsidRPr="000032CE">
        <w:rPr>
          <w:b/>
          <w:bCs/>
        </w:rPr>
        <w:t>условий</w:t>
      </w:r>
      <w:r w:rsidRPr="000032CE">
        <w:t>]:</w:t>
      </w:r>
      <w:r w:rsidRPr="000032CE">
        <w:rPr>
          <w:b/>
          <w:bCs/>
        </w:rPr>
        <w:t xml:space="preserve"> </w:t>
      </w:r>
      <w:r w:rsidRPr="000032CE">
        <w:rPr>
          <w:strike/>
        </w:rPr>
        <w:t>окружающее освещение, туман, снегопад, дождь, солевой туман, облако пыли, загрязнение светоизлучающей поверхности</w:t>
      </w:r>
      <w:r w:rsidRPr="000032CE">
        <w:rPr>
          <w:b/>
          <w:bCs/>
        </w:rPr>
        <w:t>, перечисленных в пунктах</w:t>
      </w:r>
      <w:r>
        <w:rPr>
          <w:b/>
          <w:bCs/>
        </w:rPr>
        <w:t> </w:t>
      </w:r>
      <w:r w:rsidRPr="000032CE">
        <w:rPr>
          <w:b/>
          <w:bCs/>
        </w:rPr>
        <w:t>5.26.1 [и 5.26.2],</w:t>
      </w:r>
      <w:r w:rsidRPr="000032CE">
        <w:t xml:space="preserve"> </w:t>
      </w:r>
    </w:p>
    <w:p w:rsidR="000032CE" w:rsidRPr="000032CE" w:rsidRDefault="000032CE" w:rsidP="000032CE">
      <w:pPr>
        <w:pStyle w:val="SingleTxtG"/>
        <w:ind w:left="2268"/>
        <w:rPr>
          <w:i/>
        </w:rPr>
      </w:pPr>
      <w:r w:rsidRPr="000032CE">
        <w:tab/>
      </w:r>
      <w:r w:rsidRPr="000032CE">
        <w:rPr>
          <w:i/>
          <w:iCs/>
        </w:rPr>
        <w:t>Решение А</w:t>
      </w:r>
    </w:p>
    <w:p w:rsidR="000032CE" w:rsidRPr="000032CE" w:rsidRDefault="000032CE" w:rsidP="000032CE">
      <w:pPr>
        <w:pStyle w:val="SingleTxtG"/>
        <w:ind w:left="2268"/>
      </w:pPr>
      <w:r w:rsidRPr="000032CE">
        <w:t>[при условии сохранения</w:t>
      </w:r>
      <w:r w:rsidRPr="000032CE">
        <w:rPr>
          <w:b/>
          <w:bCs/>
        </w:rPr>
        <w:t xml:space="preserve">, для каждого из упомянутых выше огней, которые могут рассматриваться отдельно, конкретного предписанного соотношения значений яркости с каждым из других огней, если это применимо, </w:t>
      </w:r>
      <w:r w:rsidRPr="000032CE">
        <w:t xml:space="preserve">в случае изменения силы света] </w:t>
      </w:r>
    </w:p>
    <w:p w:rsidR="000032CE" w:rsidRPr="000032CE" w:rsidRDefault="000032CE" w:rsidP="000032CE">
      <w:pPr>
        <w:pStyle w:val="SingleTxtG"/>
        <w:ind w:left="2268"/>
        <w:rPr>
          <w:i/>
        </w:rPr>
      </w:pPr>
      <w:r w:rsidRPr="000032CE">
        <w:rPr>
          <w:i/>
          <w:iCs/>
        </w:rPr>
        <w:t>Решение B</w:t>
      </w:r>
    </w:p>
    <w:p w:rsidR="000032CE" w:rsidRPr="000032CE" w:rsidRDefault="000032CE" w:rsidP="000032CE">
      <w:pPr>
        <w:pStyle w:val="SingleTxtG"/>
        <w:ind w:left="2268"/>
      </w:pPr>
      <w:r w:rsidRPr="000032CE">
        <w:t>[при условии</w:t>
      </w:r>
      <w:r w:rsidRPr="000032CE">
        <w:rPr>
          <w:b/>
          <w:bCs/>
        </w:rPr>
        <w:t xml:space="preserve">, что значения яркости всех упомянутых выше огней изменяются в одинаковой пропорции, и при условии </w:t>
      </w:r>
      <w:r w:rsidRPr="000032CE">
        <w:t xml:space="preserve">сохранения </w:t>
      </w:r>
      <w:r w:rsidRPr="000032CE">
        <w:rPr>
          <w:b/>
          <w:bCs/>
        </w:rPr>
        <w:t xml:space="preserve">конкретного предписанного соотношения значений яркости с каждым из других огней, если это применимо, </w:t>
      </w:r>
      <w:r w:rsidRPr="000032CE">
        <w:t>в случае изменения силы света]</w:t>
      </w:r>
    </w:p>
    <w:p w:rsidR="000032CE" w:rsidRPr="000032CE" w:rsidRDefault="000032CE" w:rsidP="000032CE">
      <w:pPr>
        <w:pStyle w:val="SingleTxtG"/>
        <w:ind w:left="2268"/>
      </w:pPr>
      <w:r w:rsidRPr="000032CE">
        <w:tab/>
      </w:r>
      <w:r w:rsidRPr="000032CE">
        <w:rPr>
          <w:strike/>
        </w:rPr>
        <w:t>при условии сохранения [предписанного для них соотношения значений яркости</w:t>
      </w:r>
      <w:r w:rsidRPr="000032CE">
        <w:rPr>
          <w:b/>
          <w:bCs/>
          <w:strike/>
        </w:rPr>
        <w:t>, если это применимо,</w:t>
      </w:r>
      <w:r w:rsidRPr="000032CE">
        <w:rPr>
          <w:strike/>
        </w:rPr>
        <w:t>] в случае изменения силы света.</w:t>
      </w:r>
      <w:r w:rsidRPr="000032CE">
        <w:t xml:space="preserve"> </w:t>
      </w:r>
      <w:r w:rsidRPr="000032CE">
        <w:rPr>
          <w:strike/>
        </w:rPr>
        <w:t>При изменении внешних факторов не должно происходить резкого изменения силы света.</w:t>
      </w:r>
      <w:r w:rsidRPr="000032CE">
        <w:t xml:space="preserve"> </w:t>
      </w:r>
      <w:r w:rsidRPr="000032CE">
        <w:rPr>
          <w:strike/>
        </w:rPr>
        <w:t>Сигналы торможения категории S4 могут излучать различную силу света независимо от других огней.</w:t>
      </w:r>
      <w:r w:rsidRPr="000032CE">
        <w:t xml:space="preserve"> </w:t>
      </w:r>
      <w:r w:rsidRPr="000032CE">
        <w:rPr>
          <w:strike/>
        </w:rPr>
        <w:t>Водитель должен иметь возможность включать вышеназванные огни в режиме постоянной силы света, а затем возвращать их в режим изменяющейся силы света</w:t>
      </w:r>
      <w:r>
        <w:t>»</w:t>
      </w:r>
      <w:r w:rsidRPr="000032CE">
        <w:t>.</w:t>
      </w:r>
    </w:p>
    <w:p w:rsidR="000032CE" w:rsidRPr="000032CE" w:rsidRDefault="000032CE" w:rsidP="000032CE">
      <w:pPr>
        <w:pStyle w:val="HChG"/>
      </w:pPr>
      <w:r>
        <w:tab/>
      </w:r>
      <w:r w:rsidRPr="000032CE">
        <w:t>II.</w:t>
      </w:r>
      <w:r w:rsidRPr="000032CE">
        <w:tab/>
        <w:t>Обоснование</w:t>
      </w:r>
    </w:p>
    <w:p w:rsidR="000032CE" w:rsidRPr="000032CE" w:rsidRDefault="000032CE" w:rsidP="000032CE">
      <w:pPr>
        <w:pStyle w:val="SingleTxtG"/>
      </w:pPr>
      <w:r w:rsidRPr="000032CE">
        <w:t>1.</w:t>
      </w:r>
      <w:r w:rsidRPr="000032CE">
        <w:tab/>
        <w:t>Цель этого предложения состоит в уточнении требований пункта 5.26, которые допускают изменяемую силу света для четырех различных функций световой сигнализации: задних указателей поворота категории 2b, задних габаритных огней категории R2, сигналов торможения категории S2 и задних противотуманных огней категории F2.</w:t>
      </w:r>
    </w:p>
    <w:p w:rsidR="000032CE" w:rsidRPr="000032CE" w:rsidRDefault="000032CE" w:rsidP="000032CE">
      <w:pPr>
        <w:pStyle w:val="SingleTxtG"/>
      </w:pPr>
      <w:r w:rsidRPr="000032CE">
        <w:t>2.</w:t>
      </w:r>
      <w:r w:rsidRPr="000032CE">
        <w:tab/>
        <w:t>Представляется, что действующий текст Правил по-разному толкуется промышленными предприятиями, техническими службами и органами по официальному утверждению типа. Существует два основных толкования, которые заключаются в следующем:</w:t>
      </w:r>
    </w:p>
    <w:p w:rsidR="000032CE" w:rsidRPr="000032CE" w:rsidRDefault="000032CE" w:rsidP="000032CE">
      <w:pPr>
        <w:pStyle w:val="SingleTxtG"/>
        <w:ind w:left="1701" w:hanging="567"/>
      </w:pPr>
      <w:r>
        <w:t>а)</w:t>
      </w:r>
      <w:r>
        <w:tab/>
      </w:r>
      <w:r w:rsidRPr="000032CE">
        <w:t>Некоторые считают, что все огни могут иметь изменяемую силу света независимо от других огней, а это означает, что, например, могут менять силу света только один или два огня (из четырех упомянутых), но не другие.</w:t>
      </w:r>
    </w:p>
    <w:p w:rsidR="000032CE" w:rsidRPr="000032CE" w:rsidRDefault="000032CE" w:rsidP="000032CE">
      <w:pPr>
        <w:pStyle w:val="SingleTxtG"/>
        <w:ind w:left="1701" w:hanging="567"/>
      </w:pPr>
      <w:r>
        <w:rPr>
          <w:lang w:val="en-US"/>
        </w:rPr>
        <w:t>b</w:t>
      </w:r>
      <w:r w:rsidRPr="000032CE">
        <w:t>)</w:t>
      </w:r>
      <w:r w:rsidRPr="000032CE">
        <w:tab/>
        <w:t>Другие считают, что все упомянутые огни должны менять силу света одновременно, а не независимо от других огней, особенно с учетом следующего исключения из действующего текста, что представляет собой конкретный случай огня S4 и дает основание полагать, что это не применимо к другим огням. Согласно этому пониманию, все упомянутые огни должны все вместе пропорционально менять силу света.</w:t>
      </w:r>
    </w:p>
    <w:p w:rsidR="00851CE7" w:rsidRDefault="000032CE" w:rsidP="00851CE7">
      <w:pPr>
        <w:pStyle w:val="SingleTxtG"/>
      </w:pPr>
      <w:r w:rsidRPr="000032CE">
        <w:lastRenderedPageBreak/>
        <w:t>3.</w:t>
      </w:r>
      <w:r w:rsidRPr="000032CE">
        <w:tab/>
        <w:t>Таким образом, настоящее предложение направлено на прояснение ситуации путем внесения двух альтернативных предложений, по которым предстоит принять решение:</w:t>
      </w:r>
    </w:p>
    <w:p w:rsidR="000032CE" w:rsidRPr="000032CE" w:rsidRDefault="00851CE7" w:rsidP="00851CE7">
      <w:pPr>
        <w:pStyle w:val="Bullet1G"/>
        <w:ind w:left="1304"/>
      </w:pPr>
      <w:r>
        <w:tab/>
      </w:r>
      <w:r w:rsidR="000032CE" w:rsidRPr="000032CE">
        <w:t>Решение A: исправления и уточнения, связанные с толкованием а) выше.</w:t>
      </w:r>
    </w:p>
    <w:p w:rsidR="00E12C5F" w:rsidRDefault="00851CE7" w:rsidP="00851CE7">
      <w:pPr>
        <w:pStyle w:val="Bullet1G"/>
        <w:ind w:left="1304"/>
      </w:pPr>
      <w:r>
        <w:tab/>
      </w:r>
      <w:r w:rsidR="000032CE" w:rsidRPr="000032CE">
        <w:t>Решение B: исправления и уточнения, связанные с толкованием b) выше.</w:t>
      </w:r>
    </w:p>
    <w:p w:rsidR="000032CE" w:rsidRPr="000032CE" w:rsidRDefault="000032CE" w:rsidP="000032C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 w:rsidR="00885BE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032CE" w:rsidRPr="000032CE" w:rsidSect="00003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86C" w:rsidRPr="00A312BC" w:rsidRDefault="000A586C" w:rsidP="00A312BC"/>
  </w:endnote>
  <w:endnote w:type="continuationSeparator" w:id="0">
    <w:p w:rsidR="000A586C" w:rsidRPr="00A312BC" w:rsidRDefault="000A586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2CE" w:rsidRPr="000032CE" w:rsidRDefault="000032CE">
    <w:pPr>
      <w:pStyle w:val="Footer"/>
    </w:pPr>
    <w:r w:rsidRPr="000032CE">
      <w:rPr>
        <w:b/>
        <w:sz w:val="18"/>
      </w:rPr>
      <w:fldChar w:fldCharType="begin"/>
    </w:r>
    <w:r w:rsidRPr="000032CE">
      <w:rPr>
        <w:b/>
        <w:sz w:val="18"/>
      </w:rPr>
      <w:instrText xml:space="preserve"> PAGE  \* MERGEFORMAT </w:instrText>
    </w:r>
    <w:r w:rsidRPr="000032CE">
      <w:rPr>
        <w:b/>
        <w:sz w:val="18"/>
      </w:rPr>
      <w:fldChar w:fldCharType="separate"/>
    </w:r>
    <w:r w:rsidR="00F371BD">
      <w:rPr>
        <w:b/>
        <w:noProof/>
        <w:sz w:val="18"/>
      </w:rPr>
      <w:t>2</w:t>
    </w:r>
    <w:r w:rsidRPr="000032CE">
      <w:rPr>
        <w:b/>
        <w:sz w:val="18"/>
      </w:rPr>
      <w:fldChar w:fldCharType="end"/>
    </w:r>
    <w:r>
      <w:rPr>
        <w:b/>
        <w:sz w:val="18"/>
      </w:rPr>
      <w:tab/>
    </w:r>
    <w:r>
      <w:t>GE.19-01427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252" w:rsidRDefault="000032CE" w:rsidP="004C1B50">
    <w:pPr>
      <w:pStyle w:val="Footer"/>
    </w:pPr>
    <w:r>
      <w:t>GE.19-01427</w:t>
    </w:r>
    <w:r>
      <w:tab/>
    </w:r>
    <w:r w:rsidRPr="000032CE">
      <w:rPr>
        <w:b/>
        <w:sz w:val="18"/>
      </w:rPr>
      <w:fldChar w:fldCharType="begin"/>
    </w:r>
    <w:r w:rsidRPr="000032CE">
      <w:rPr>
        <w:b/>
        <w:sz w:val="18"/>
      </w:rPr>
      <w:instrText xml:space="preserve"> PAGE  \* MERGEFORMAT </w:instrText>
    </w:r>
    <w:r w:rsidRPr="000032CE">
      <w:rPr>
        <w:b/>
        <w:sz w:val="18"/>
      </w:rPr>
      <w:fldChar w:fldCharType="separate"/>
    </w:r>
    <w:r w:rsidR="00F371BD">
      <w:rPr>
        <w:b/>
        <w:noProof/>
        <w:sz w:val="18"/>
      </w:rPr>
      <w:t>3</w:t>
    </w:r>
    <w:r w:rsidRPr="000032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032CE" w:rsidRDefault="000032CE" w:rsidP="000032C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19-01427  (R)</w:t>
    </w:r>
    <w:r>
      <w:rPr>
        <w:lang w:val="en-US"/>
      </w:rPr>
      <w:t xml:space="preserve">  060219  070219</w:t>
    </w:r>
    <w:r>
      <w:br/>
    </w:r>
    <w:r w:rsidRPr="000032CE">
      <w:rPr>
        <w:rFonts w:ascii="C39T30Lfz" w:hAnsi="C39T30Lfz"/>
        <w:kern w:val="14"/>
        <w:sz w:val="56"/>
      </w:rPr>
      <w:t></w:t>
    </w:r>
    <w:r w:rsidRPr="000032CE">
      <w:rPr>
        <w:rFonts w:ascii="C39T30Lfz" w:hAnsi="C39T30Lfz"/>
        <w:kern w:val="14"/>
        <w:sz w:val="56"/>
      </w:rPr>
      <w:t></w:t>
    </w:r>
    <w:r w:rsidRPr="000032CE">
      <w:rPr>
        <w:rFonts w:ascii="C39T30Lfz" w:hAnsi="C39T30Lfz"/>
        <w:kern w:val="14"/>
        <w:sz w:val="56"/>
      </w:rPr>
      <w:t></w:t>
    </w:r>
    <w:r w:rsidRPr="000032CE">
      <w:rPr>
        <w:rFonts w:ascii="C39T30Lfz" w:hAnsi="C39T30Lfz"/>
        <w:kern w:val="14"/>
        <w:sz w:val="56"/>
      </w:rPr>
      <w:t></w:t>
    </w:r>
    <w:r w:rsidRPr="000032CE">
      <w:rPr>
        <w:rFonts w:ascii="C39T30Lfz" w:hAnsi="C39T30Lfz"/>
        <w:kern w:val="14"/>
        <w:sz w:val="56"/>
      </w:rPr>
      <w:t></w:t>
    </w:r>
    <w:r w:rsidRPr="000032CE">
      <w:rPr>
        <w:rFonts w:ascii="C39T30Lfz" w:hAnsi="C39T30Lfz"/>
        <w:kern w:val="14"/>
        <w:sz w:val="56"/>
      </w:rPr>
      <w:t></w:t>
    </w:r>
    <w:r w:rsidRPr="000032CE">
      <w:rPr>
        <w:rFonts w:ascii="C39T30Lfz" w:hAnsi="C39T30Lfz"/>
        <w:kern w:val="14"/>
        <w:sz w:val="56"/>
      </w:rPr>
      <w:t></w:t>
    </w:r>
    <w:r w:rsidRPr="000032CE">
      <w:rPr>
        <w:rFonts w:ascii="C39T30Lfz" w:hAnsi="C39T30Lfz"/>
        <w:kern w:val="14"/>
        <w:sz w:val="56"/>
      </w:rPr>
      <w:t></w:t>
    </w:r>
    <w:r w:rsidRPr="000032C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9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86C" w:rsidRPr="001075E9" w:rsidRDefault="000A586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586C" w:rsidRDefault="000A586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032CE" w:rsidRPr="00706101" w:rsidRDefault="000032CE" w:rsidP="000032CE">
      <w:pPr>
        <w:pStyle w:val="FootnoteText"/>
      </w:pPr>
      <w:r>
        <w:tab/>
      </w:r>
      <w:r w:rsidRPr="000032CE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2CE" w:rsidRPr="000032CE" w:rsidRDefault="00F371BD">
    <w:pPr>
      <w:pStyle w:val="Header"/>
    </w:pPr>
    <w:fldSimple w:instr=" TITLE  \* MERGEFORMAT ">
      <w:r>
        <w:t>ECE/TRANS/WP.29/GRE/2019/4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2CE" w:rsidRPr="000032CE" w:rsidRDefault="00F371BD" w:rsidP="000032CE">
    <w:pPr>
      <w:pStyle w:val="Header"/>
      <w:jc w:val="right"/>
    </w:pPr>
    <w:fldSimple w:instr=" TITLE  \* MERGEFORMAT ">
      <w:r>
        <w:t>ECE/TRANS/WP.29/GRE/2019/4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2CE" w:rsidRDefault="000032CE" w:rsidP="000032C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F477A2B"/>
    <w:multiLevelType w:val="hybridMultilevel"/>
    <w:tmpl w:val="4816CA16"/>
    <w:lvl w:ilvl="0" w:tplc="435E019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EAC0CA2"/>
    <w:multiLevelType w:val="hybridMultilevel"/>
    <w:tmpl w:val="CA6638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  <w:lvlOverride w:ilvl="0">
      <w:lvl w:ilvl="0" w:tplc="435E0196">
        <w:start w:val="1"/>
        <w:numFmt w:val="lowerLetter"/>
        <w:lvlText w:val="%1)"/>
        <w:lvlJc w:val="left"/>
        <w:pPr>
          <w:ind w:left="1854" w:hanging="360"/>
        </w:pPr>
        <w:rPr>
          <w:rFonts w:hint="default"/>
        </w:rPr>
      </w:lvl>
    </w:lvlOverride>
  </w:num>
  <w:num w:numId="23">
    <w:abstractNumId w:val="19"/>
    <w:lvlOverride w:ilvl="0">
      <w:lvl w:ilvl="0" w:tplc="04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6C"/>
    <w:rsid w:val="000032CE"/>
    <w:rsid w:val="00033EE1"/>
    <w:rsid w:val="00042B72"/>
    <w:rsid w:val="000558BD"/>
    <w:rsid w:val="000A48CF"/>
    <w:rsid w:val="000A586C"/>
    <w:rsid w:val="000B57E7"/>
    <w:rsid w:val="000B6373"/>
    <w:rsid w:val="000E4E5B"/>
    <w:rsid w:val="000F09DF"/>
    <w:rsid w:val="000F61B2"/>
    <w:rsid w:val="000F62A1"/>
    <w:rsid w:val="001075E9"/>
    <w:rsid w:val="0014152F"/>
    <w:rsid w:val="00180183"/>
    <w:rsid w:val="0018024D"/>
    <w:rsid w:val="0018649F"/>
    <w:rsid w:val="00196389"/>
    <w:rsid w:val="001B1F0F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133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A604B"/>
    <w:rsid w:val="004C1B50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69DE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D53AF"/>
    <w:rsid w:val="006F2BD5"/>
    <w:rsid w:val="006F35EE"/>
    <w:rsid w:val="007021FF"/>
    <w:rsid w:val="00712895"/>
    <w:rsid w:val="00734ACB"/>
    <w:rsid w:val="00757357"/>
    <w:rsid w:val="00761DE2"/>
    <w:rsid w:val="00767D00"/>
    <w:rsid w:val="00792497"/>
    <w:rsid w:val="008018C1"/>
    <w:rsid w:val="00806737"/>
    <w:rsid w:val="00825F8D"/>
    <w:rsid w:val="00834B71"/>
    <w:rsid w:val="00851CE7"/>
    <w:rsid w:val="0086445C"/>
    <w:rsid w:val="00885BE4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8E6"/>
    <w:rsid w:val="009C59D7"/>
    <w:rsid w:val="009C6FE6"/>
    <w:rsid w:val="009D7E7D"/>
    <w:rsid w:val="00A14DA8"/>
    <w:rsid w:val="00A312BC"/>
    <w:rsid w:val="00A669CF"/>
    <w:rsid w:val="00A84021"/>
    <w:rsid w:val="00A84D35"/>
    <w:rsid w:val="00A90252"/>
    <w:rsid w:val="00A917B3"/>
    <w:rsid w:val="00AB4B51"/>
    <w:rsid w:val="00B10CC7"/>
    <w:rsid w:val="00B34FAA"/>
    <w:rsid w:val="00B36DF7"/>
    <w:rsid w:val="00B539E7"/>
    <w:rsid w:val="00B62458"/>
    <w:rsid w:val="00BC18B2"/>
    <w:rsid w:val="00BD33EE"/>
    <w:rsid w:val="00BE1CC7"/>
    <w:rsid w:val="00C0546E"/>
    <w:rsid w:val="00C106D6"/>
    <w:rsid w:val="00C119AE"/>
    <w:rsid w:val="00C11CD3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2A26"/>
    <w:rsid w:val="00E73F76"/>
    <w:rsid w:val="00EA2C9F"/>
    <w:rsid w:val="00EA420E"/>
    <w:rsid w:val="00EC3BCA"/>
    <w:rsid w:val="00ED0BDA"/>
    <w:rsid w:val="00EE142A"/>
    <w:rsid w:val="00EF1360"/>
    <w:rsid w:val="00EF3220"/>
    <w:rsid w:val="00F2523A"/>
    <w:rsid w:val="00F371BD"/>
    <w:rsid w:val="00F37B1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FA61F65-336E-4B46-8DE3-B3AE9FFC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Footnote Text Cha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5_G_6 Char,Footnote Text Cha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ECE/TRANS/WP.29/GRE/2019/4</vt:lpstr>
      <vt:lpstr>ECE/TRANS/WP.29/GRE/2019/4</vt:lpstr>
      <vt:lpstr>A/</vt:lpstr>
    </vt:vector>
  </TitlesOfParts>
  <Company>DCM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ECE/TRANS/WP.29/GRE/2019/4</dc:title>
  <dc:subject/>
  <dc:creator>Olga OVTCHINNIKOVA</dc:creator>
  <cp:keywords/>
  <cp:lastModifiedBy>Benedicte Boudol</cp:lastModifiedBy>
  <cp:revision>2</cp:revision>
  <cp:lastPrinted>2019-02-07T09:36:00Z</cp:lastPrinted>
  <dcterms:created xsi:type="dcterms:W3CDTF">2019-02-28T14:06:00Z</dcterms:created>
  <dcterms:modified xsi:type="dcterms:W3CDTF">2019-02-28T14:06:00Z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