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7B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7BE4" w:rsidP="009C7BE4">
            <w:pPr>
              <w:jc w:val="right"/>
            </w:pPr>
            <w:r w:rsidRPr="009C7BE4">
              <w:rPr>
                <w:sz w:val="40"/>
              </w:rPr>
              <w:t>ECE</w:t>
            </w:r>
            <w:r>
              <w:t>/TRANS/WP.29/GRE/2019/1</w:t>
            </w:r>
          </w:p>
        </w:tc>
      </w:tr>
      <w:tr w:rsidR="002D5AAC" w:rsidRPr="00663D2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7B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7BE4" w:rsidRDefault="009C7BE4" w:rsidP="009C7B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January 2019</w:t>
            </w:r>
          </w:p>
          <w:p w:rsidR="009C7BE4" w:rsidRDefault="009C7BE4" w:rsidP="009C7B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7BE4" w:rsidRPr="008D53B6" w:rsidRDefault="009C7BE4" w:rsidP="009C7B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C7BE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C7BE4" w:rsidRPr="009C7BE4" w:rsidRDefault="009C7BE4" w:rsidP="009C7BE4">
      <w:pPr>
        <w:spacing w:before="120"/>
        <w:rPr>
          <w:sz w:val="28"/>
          <w:szCs w:val="28"/>
        </w:rPr>
      </w:pPr>
      <w:r w:rsidRPr="009C7BE4">
        <w:rPr>
          <w:sz w:val="28"/>
          <w:szCs w:val="28"/>
        </w:rPr>
        <w:t>Комитет по внутреннему транспорту</w:t>
      </w:r>
    </w:p>
    <w:p w:rsidR="009C7BE4" w:rsidRPr="009C7BE4" w:rsidRDefault="009C7BE4" w:rsidP="009C7BE4">
      <w:pPr>
        <w:spacing w:before="120"/>
        <w:rPr>
          <w:b/>
          <w:sz w:val="24"/>
          <w:szCs w:val="24"/>
        </w:rPr>
      </w:pPr>
      <w:r w:rsidRPr="009C7BE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C7BE4">
        <w:rPr>
          <w:b/>
          <w:bCs/>
          <w:sz w:val="24"/>
          <w:szCs w:val="24"/>
        </w:rPr>
        <w:t>в области транспортных средств</w:t>
      </w:r>
    </w:p>
    <w:p w:rsidR="009C7BE4" w:rsidRPr="00743EBE" w:rsidRDefault="009C7BE4" w:rsidP="009C7BE4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9C7BE4" w:rsidRPr="00743EBE" w:rsidRDefault="009C7BE4" w:rsidP="009C7BE4">
      <w:pPr>
        <w:spacing w:before="120"/>
        <w:rPr>
          <w:b/>
        </w:rPr>
      </w:pPr>
      <w:r>
        <w:rPr>
          <w:b/>
          <w:bCs/>
        </w:rPr>
        <w:t>Восемьдесят первая сессия</w:t>
      </w:r>
    </w:p>
    <w:p w:rsidR="009C7BE4" w:rsidRPr="00743EBE" w:rsidRDefault="009C7BE4" w:rsidP="009C7BE4">
      <w:r>
        <w:t>Женева, 15–18 апреля 2019 года</w:t>
      </w:r>
    </w:p>
    <w:p w:rsidR="009C7BE4" w:rsidRPr="00743EBE" w:rsidRDefault="009C7BE4" w:rsidP="009C7BE4">
      <w:r>
        <w:t>Пункт 1 предварительной повестки дня</w:t>
      </w:r>
    </w:p>
    <w:p w:rsidR="00E12C5F" w:rsidRDefault="009C7BE4" w:rsidP="009C7BE4">
      <w:r>
        <w:rPr>
          <w:b/>
          <w:bCs/>
        </w:rPr>
        <w:t>Утверждение повестки дня</w:t>
      </w:r>
    </w:p>
    <w:p w:rsidR="009C7BE4" w:rsidRPr="00743EBE" w:rsidRDefault="009C7BE4" w:rsidP="009C7BE4">
      <w:pPr>
        <w:pStyle w:val="HChG"/>
      </w:pPr>
      <w:r>
        <w:tab/>
      </w:r>
      <w:r>
        <w:tab/>
        <w:t>Аннотированная предварительная повестка дня восемьдесят первой сессии</w:t>
      </w:r>
      <w:r w:rsidRPr="009C7BE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C7BE4">
        <w:rPr>
          <w:b w:val="0"/>
          <w:sz w:val="20"/>
        </w:rPr>
        <w:t xml:space="preserve"> </w:t>
      </w:r>
      <w:r w:rsidRPr="009C7BE4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C10E77">
        <w:rPr>
          <w:b w:val="0"/>
          <w:bCs/>
        </w:rPr>
        <w:t>,</w:t>
      </w:r>
    </w:p>
    <w:p w:rsidR="009C7BE4" w:rsidRPr="00743EBE" w:rsidRDefault="009C7BE4" w:rsidP="009C7BE4">
      <w:pPr>
        <w:pStyle w:val="SingleTxtG"/>
      </w:pPr>
      <w:r>
        <w:t>которая состоится во Дворце Наций в Женеве, начнется в 09 ч 30 мин 15 апреля 2019</w:t>
      </w:r>
      <w:r>
        <w:rPr>
          <w:lang w:val="en-US"/>
        </w:rPr>
        <w:t> </w:t>
      </w:r>
      <w:r>
        <w:t>года и завершится в 17 ч 30 мин 18 апреля 2019 года</w:t>
      </w:r>
    </w:p>
    <w:p w:rsidR="009C7BE4" w:rsidRPr="00743EBE" w:rsidRDefault="009C7BE4" w:rsidP="009C7BE4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:rsidR="009C7BE4" w:rsidRPr="00743EBE" w:rsidRDefault="009C7BE4" w:rsidP="009C7BE4">
      <w:pPr>
        <w:pStyle w:val="SingleTxtG"/>
      </w:pPr>
      <w:r>
        <w:t>1.</w:t>
      </w:r>
      <w:r>
        <w:tab/>
        <w:t>Утверждение повестки дня.</w:t>
      </w:r>
    </w:p>
    <w:p w:rsidR="009C7BE4" w:rsidRPr="0059730E" w:rsidRDefault="009C7BE4" w:rsidP="009C7BE4">
      <w:pPr>
        <w:pStyle w:val="SingleTxtG"/>
      </w:pPr>
      <w:r>
        <w:t>2.</w:t>
      </w:r>
      <w:r>
        <w:tab/>
        <w:t>Соглашение 1998 года − глобальные технические правила ООН: разработка.</w:t>
      </w:r>
    </w:p>
    <w:p w:rsidR="009C7BE4" w:rsidRPr="00743EBE" w:rsidRDefault="009C7BE4" w:rsidP="009C7BE4">
      <w:pPr>
        <w:pStyle w:val="SingleTxtG"/>
      </w:pPr>
      <w:r>
        <w:t>3.</w:t>
      </w:r>
      <w:r>
        <w:tab/>
        <w:t>Соглашение 1997 года – предписания: разработка.</w:t>
      </w:r>
    </w:p>
    <w:p w:rsidR="009C7BE4" w:rsidRPr="00743EBE" w:rsidRDefault="009C7BE4" w:rsidP="009C7BE4">
      <w:pPr>
        <w:pStyle w:val="SingleTxtG"/>
      </w:pPr>
      <w:r>
        <w:t>4.</w:t>
      </w:r>
      <w:r>
        <w:tab/>
        <w:t>Упрощение правил ООН, касающихся освещения и световой сигнализации.</w:t>
      </w:r>
    </w:p>
    <w:p w:rsidR="009C7BE4" w:rsidRPr="00743EBE" w:rsidRDefault="009C7BE4" w:rsidP="009C7BE4">
      <w:pPr>
        <w:pStyle w:val="SingleTxtG"/>
        <w:ind w:left="1701" w:hanging="567"/>
      </w:pPr>
      <w:r>
        <w:lastRenderedPageBreak/>
        <w:t>5.</w:t>
      </w:r>
      <w:r>
        <w:tab/>
        <w:t>Правила ООН № 37 (лампы накаливания),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:rsidR="009C7BE4" w:rsidRPr="00743EBE" w:rsidRDefault="009C7BE4" w:rsidP="009C7BE4">
      <w:pPr>
        <w:pStyle w:val="SingleTxtG"/>
        <w:ind w:left="1701" w:hanging="567"/>
      </w:pPr>
      <w:r>
        <w:t>6.</w:t>
      </w:r>
      <w:r>
        <w:tab/>
        <w:t>Правила № 48 ООН (установка устройств освещения и световой сигнализации):</w:t>
      </w:r>
    </w:p>
    <w:p w:rsidR="009C7BE4" w:rsidRPr="00743EBE" w:rsidRDefault="009C7BE4" w:rsidP="009C7BE4">
      <w:pPr>
        <w:pStyle w:val="SingleTxtG"/>
        <w:ind w:left="1701" w:hanging="567"/>
      </w:pPr>
      <w:r>
        <w:tab/>
      </w:r>
      <w:r>
        <w:tab/>
        <w:t>а)</w:t>
      </w:r>
      <w:r>
        <w:tab/>
        <w:t>предложения по поправкам к поправкам серии 05 и 06;</w:t>
      </w:r>
    </w:p>
    <w:p w:rsidR="009C7BE4" w:rsidRPr="00743EBE" w:rsidRDefault="009C7BE4" w:rsidP="009C7BE4">
      <w:pPr>
        <w:pStyle w:val="SingleTxtG"/>
        <w:ind w:left="1701" w:hanging="567"/>
      </w:pPr>
      <w:r>
        <w:tab/>
      </w:r>
      <w:r>
        <w:tab/>
        <w:t>b)</w:t>
      </w:r>
      <w:r>
        <w:tab/>
        <w:t>прочие предложения по поправкам к Правилам № 48 ООН.</w:t>
      </w:r>
    </w:p>
    <w:p w:rsidR="009C7BE4" w:rsidRPr="00743EBE" w:rsidRDefault="009C7BE4" w:rsidP="009C7BE4">
      <w:pPr>
        <w:pStyle w:val="SingleTxtG"/>
        <w:ind w:left="1701" w:hanging="567"/>
      </w:pPr>
      <w:r>
        <w:t>7.</w:t>
      </w:r>
      <w:r>
        <w:tab/>
        <w:t>Другие правила ООН:</w:t>
      </w:r>
    </w:p>
    <w:p w:rsidR="009C7BE4" w:rsidRPr="00743EBE" w:rsidRDefault="009C7BE4" w:rsidP="009C7BE4">
      <w:pPr>
        <w:pStyle w:val="SingleTxtG"/>
        <w:tabs>
          <w:tab w:val="left" w:pos="1701"/>
        </w:tabs>
        <w:ind w:left="2268" w:hanging="1134"/>
      </w:pPr>
      <w:r>
        <w:tab/>
        <w:t>а)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>
        <w:rPr>
          <w:vertAlign w:val="subscript"/>
        </w:rPr>
        <w:t>3</w:t>
      </w:r>
      <w:r>
        <w:t>);</w:t>
      </w:r>
    </w:p>
    <w:p w:rsidR="009C7BE4" w:rsidRPr="00743EBE" w:rsidRDefault="009C7BE4" w:rsidP="009C7BE4">
      <w:pPr>
        <w:pStyle w:val="SingleTxtG"/>
        <w:ind w:left="1701" w:hanging="567"/>
      </w:pPr>
      <w:r>
        <w:tab/>
        <w:t>b)</w:t>
      </w:r>
      <w:r>
        <w:tab/>
        <w:t>Правила № 65 ООН (специальные предупреждающие огни);</w:t>
      </w:r>
    </w:p>
    <w:p w:rsidR="009C7BE4" w:rsidRPr="00743EBE" w:rsidRDefault="009C7BE4" w:rsidP="009C7BE4">
      <w:pPr>
        <w:pStyle w:val="SingleTxtG"/>
        <w:tabs>
          <w:tab w:val="left" w:pos="1701"/>
        </w:tabs>
        <w:ind w:left="2268" w:hanging="1134"/>
      </w:pPr>
      <w:r>
        <w:tab/>
        <w:t>c)</w:t>
      </w:r>
      <w:r>
        <w:tab/>
        <w:t>Правила № 74 ООН (установка устройств освещения и световой сигнализации для мопедов).</w:t>
      </w:r>
    </w:p>
    <w:p w:rsidR="009C7BE4" w:rsidRPr="00743EBE" w:rsidRDefault="009C7BE4" w:rsidP="009C7BE4">
      <w:pPr>
        <w:pStyle w:val="SingleTxtG"/>
        <w:ind w:left="1701" w:hanging="567"/>
      </w:pPr>
      <w:r>
        <w:t>8.</w:t>
      </w:r>
      <w:r>
        <w:tab/>
        <w:t>Прочие вопросы:</w:t>
      </w:r>
    </w:p>
    <w:p w:rsidR="009C7BE4" w:rsidRPr="00743EBE" w:rsidRDefault="009C7BE4" w:rsidP="009C7BE4">
      <w:pPr>
        <w:pStyle w:val="SingleTxtG"/>
        <w:ind w:left="1701" w:hanging="567"/>
      </w:pPr>
      <w:r>
        <w:tab/>
      </w:r>
      <w:r>
        <w:tab/>
        <w:t>а)</w:t>
      </w:r>
      <w:r>
        <w:tab/>
        <w:t>поправки к Конвенции о дорожном движении (Вена, 1968 год);</w:t>
      </w:r>
    </w:p>
    <w:p w:rsidR="009C7BE4" w:rsidRPr="00743EBE" w:rsidRDefault="009C7BE4" w:rsidP="009C7BE4">
      <w:pPr>
        <w:pStyle w:val="SingleTxtG"/>
        <w:tabs>
          <w:tab w:val="left" w:pos="1701"/>
        </w:tabs>
        <w:ind w:left="2268" w:hanging="1134"/>
      </w:pPr>
      <w:r>
        <w:tab/>
        <w:t>b)</w:t>
      </w:r>
      <w:r>
        <w:tab/>
        <w:t>Десятилетие действий по обеспечению безопасности дорожного движения на 2011−2020 годы;</w:t>
      </w:r>
    </w:p>
    <w:p w:rsidR="009C7BE4" w:rsidRPr="00743EBE" w:rsidRDefault="009C7BE4" w:rsidP="009C7BE4">
      <w:pPr>
        <w:pStyle w:val="SingleTxtG"/>
        <w:tabs>
          <w:tab w:val="left" w:pos="1701"/>
        </w:tabs>
        <w:ind w:left="2268" w:hanging="1134"/>
      </w:pPr>
      <w:r>
        <w:tab/>
        <w:t>c)</w:t>
      </w:r>
      <w:r>
        <w:tab/>
        <w:t>разработка международной системы официального утверждения типа комплектного транспортного средства.</w:t>
      </w:r>
    </w:p>
    <w:p w:rsidR="009C7BE4" w:rsidRPr="00743EBE" w:rsidRDefault="009C7BE4" w:rsidP="009C7BE4">
      <w:pPr>
        <w:pStyle w:val="SingleTxtG"/>
      </w:pPr>
      <w:r>
        <w:t>9.</w:t>
      </w:r>
      <w:r>
        <w:tab/>
        <w:t>Новые вопросы и несвоевременно представленные документы.</w:t>
      </w:r>
    </w:p>
    <w:p w:rsidR="009C7BE4" w:rsidRPr="00743EBE" w:rsidRDefault="009C7BE4" w:rsidP="009C7BE4">
      <w:pPr>
        <w:pStyle w:val="SingleTxtG"/>
      </w:pPr>
      <w:r>
        <w:t>10.</w:t>
      </w:r>
      <w:r>
        <w:tab/>
        <w:t>Направления будущей работы GRE.</w:t>
      </w:r>
    </w:p>
    <w:p w:rsidR="009C7BE4" w:rsidRPr="00743EBE" w:rsidRDefault="009C7BE4" w:rsidP="009C7BE4">
      <w:pPr>
        <w:pStyle w:val="SingleTxtG"/>
      </w:pPr>
      <w:r>
        <w:t>11.</w:t>
      </w:r>
      <w:r>
        <w:tab/>
        <w:t xml:space="preserve">Предварительная повестка </w:t>
      </w:r>
      <w:r w:rsidR="003017C9">
        <w:t xml:space="preserve">дня </w:t>
      </w:r>
      <w:r>
        <w:t xml:space="preserve">следующей сессии. </w:t>
      </w:r>
    </w:p>
    <w:p w:rsidR="009C7BE4" w:rsidRPr="00743EBE" w:rsidRDefault="009C7BE4" w:rsidP="009C7BE4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:rsidR="009C7BE4" w:rsidRPr="00743EBE" w:rsidRDefault="009C7BE4" w:rsidP="009C7BE4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9C7BE4" w:rsidRPr="00743EBE" w:rsidRDefault="009C7BE4" w:rsidP="009C7BE4">
      <w:pPr>
        <w:pStyle w:val="SingleTxtG"/>
      </w:pPr>
      <w:r>
        <w:tab/>
      </w:r>
      <w:r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ее утверждение.</w:t>
      </w:r>
    </w:p>
    <w:p w:rsidR="009C7BE4" w:rsidRPr="00743EBE" w:rsidRDefault="009C7BE4" w:rsidP="009C7BE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</w:t>
      </w:r>
    </w:p>
    <w:p w:rsidR="009C7BE4" w:rsidRPr="00743EBE" w:rsidRDefault="009C7BE4" w:rsidP="009C7BE4">
      <w:pPr>
        <w:pStyle w:val="H1G"/>
      </w:pPr>
      <w:r>
        <w:tab/>
        <w:t>2.</w:t>
      </w:r>
      <w:r>
        <w:tab/>
      </w:r>
      <w:r>
        <w:rPr>
          <w:bCs/>
        </w:rPr>
        <w:t>Соглашение 1998 года − глобальные технические правила ООН: разработка</w:t>
      </w:r>
    </w:p>
    <w:p w:rsidR="009C7BE4" w:rsidRPr="00743EBE" w:rsidRDefault="009C7BE4" w:rsidP="009C7BE4">
      <w:pPr>
        <w:pStyle w:val="SingleTxtG"/>
      </w:pPr>
      <w:r>
        <w:tab/>
      </w:r>
      <w:r>
        <w:tab/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 ООН). На своей предыдущей сессии GRE отметила, что новые ГТП ООН можно разработать на этапе 2 упрощения правил ООН, касающихся освещения и световой сигнализации (УПОС), или при рассмотрении функций световой сигнализации автоматических/автономных транспортных средств.</w:t>
      </w:r>
    </w:p>
    <w:p w:rsidR="009C7BE4" w:rsidRPr="00743EBE" w:rsidRDefault="009C7BE4" w:rsidP="009C7BE4">
      <w:pPr>
        <w:pStyle w:val="SingleTxtG"/>
        <w:spacing w:after="0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ECE/TRANS/WP.29/GRE/80, пункт 5</w:t>
      </w:r>
    </w:p>
    <w:p w:rsidR="009C7BE4" w:rsidRPr="00743EBE" w:rsidRDefault="009C7BE4" w:rsidP="009C7BE4">
      <w:pPr>
        <w:pStyle w:val="H1G"/>
      </w:pPr>
      <w:r>
        <w:tab/>
        <w:t>3.</w:t>
      </w:r>
      <w:r>
        <w:tab/>
      </w:r>
      <w:r>
        <w:rPr>
          <w:bCs/>
        </w:rPr>
        <w:t>Соглашение 1997 года – предписания: разработка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 рассмотрит новые предложения по поправкам к предписаниям, если таковые будут представлены. </w:t>
      </w:r>
    </w:p>
    <w:p w:rsidR="009C7BE4" w:rsidRPr="00743EBE" w:rsidRDefault="009C7BE4" w:rsidP="009C7BE4">
      <w:pPr>
        <w:pStyle w:val="H1G"/>
      </w:pPr>
      <w:r>
        <w:lastRenderedPageBreak/>
        <w:tab/>
        <w:t>4.</w:t>
      </w:r>
      <w:r>
        <w:tab/>
      </w:r>
      <w:r>
        <w:rPr>
          <w:bCs/>
        </w:rPr>
        <w:t>Упрощение правил ООН, касающихся освещения и световой сигнализации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 будет кратко проинформирована об обсуждениях WP.29, состоявшихся на его сессиях в ноябре 2018 года и марте 2019 года, а именно о пакете предложений по поправкам к УПОС и трех новых упрощенных правилах ООН, касающихся устройств световой сигнализации (УСС), устройств освещения дороги (УОД) и светоотражающих устройств (СОУ). GRE будет также проинформирована о ходе работы неофициальной рабочей группы по упрощению правил, касающихся освещения и световой сигнализации (НРГ по УПОС). 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GRE, возможно, пожелает высказать свои соображение о предложении НРГ по УПОС, касающемся поправок новой серии 07 к поправкам к Правилам № 48 ООН.  </w:t>
      </w:r>
    </w:p>
    <w:p w:rsidR="009C7BE4" w:rsidRPr="00743EBE" w:rsidRDefault="009C7BE4" w:rsidP="009C7BE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ECE/TRANS/WP.29/GRE/2019/3 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 рассмотрит предложения по поправкам к Правилам ООН, касающимся УСС, и Правилам № 48 ООН, которые были представлены экспертами от Германии и Франции и в которых предусмотрены условия использования логотипов внутри освещающей поверхности сигнального огня.  </w:t>
      </w:r>
    </w:p>
    <w:p w:rsidR="009C7BE4" w:rsidRPr="00743EBE" w:rsidRDefault="009C7BE4" w:rsidP="009C7BE4">
      <w:pPr>
        <w:pStyle w:val="SingleTxtG"/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ECE/TRANS/WP.29/GRE/2019/6 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 рассмотрит предложение эксперта от Германии о дополнении к Правилам УСС ООН, в котором вводятся требования к испытанию на воздействие солнечного света.  </w:t>
      </w:r>
    </w:p>
    <w:p w:rsidR="009C7BE4" w:rsidRPr="00743EBE" w:rsidRDefault="009C7BE4" w:rsidP="009C7BE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ECE/TRANS/WP.29/GRE/2019/7</w:t>
      </w:r>
    </w:p>
    <w:p w:rsidR="009C7BE4" w:rsidRPr="00743EBE" w:rsidRDefault="009C7BE4" w:rsidP="009C7BE4">
      <w:pPr>
        <w:pStyle w:val="H1G"/>
      </w:pPr>
      <w:r>
        <w:tab/>
        <w:t>5.</w:t>
      </w:r>
      <w:r>
        <w:tab/>
      </w:r>
      <w:r>
        <w:rPr>
          <w:bCs/>
        </w:rPr>
        <w:t xml:space="preserve">Правила </w:t>
      </w:r>
      <w:r>
        <w:t>ООН</w:t>
      </w:r>
      <w:r>
        <w:rPr>
          <w:bCs/>
        </w:rPr>
        <w:t xml:space="preserve"> № 37 (лампы накаливания), 99 (газоразрядные источники света), 128 (источники света на светоизлучающих диодах) и Сводная резо</w:t>
      </w:r>
      <w:r w:rsidR="003017C9">
        <w:rPr>
          <w:bCs/>
        </w:rPr>
        <w:t>люция по общей спецификации для </w:t>
      </w:r>
      <w:r>
        <w:rPr>
          <w:bCs/>
        </w:rPr>
        <w:t>категорий источников света</w:t>
      </w:r>
    </w:p>
    <w:p w:rsidR="009C7BE4" w:rsidRPr="00743EBE" w:rsidRDefault="009C7BE4" w:rsidP="009C7BE4">
      <w:pPr>
        <w:pStyle w:val="SingleTxtG"/>
      </w:pPr>
      <w:r>
        <w:tab/>
      </w:r>
      <w:r>
        <w:tab/>
        <w:t>GRE рассмотрит предложение, подготовленное экспертом от Международной группы экспертов по автомобильному освещению и световой сигнализации (БРГ), относительно включения альтернативных светодиодных источников света (СИД) новых категорий С5W/LEDK и R5W/LED</w:t>
      </w:r>
      <w:r w:rsidRPr="000D019E">
        <w:t xml:space="preserve"> </w:t>
      </w:r>
      <w:r>
        <w:t>в Сводную резолюцию об общей спецификации категорий источников света (СР.5).</w:t>
      </w:r>
    </w:p>
    <w:p w:rsidR="009C7BE4" w:rsidRPr="00743EBE" w:rsidRDefault="009C7BE4" w:rsidP="009C7BE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ECE/TRANS/WP.29/GRE/2019/9, </w:t>
      </w:r>
      <w:r w:rsidR="003171DE">
        <w:br/>
      </w:r>
      <w:r>
        <w:t xml:space="preserve">неофициальный документ GRE-81-03  </w:t>
      </w:r>
    </w:p>
    <w:p w:rsidR="009C7BE4" w:rsidRPr="00743EBE" w:rsidRDefault="009C7BE4" w:rsidP="009C7BE4">
      <w:pPr>
        <w:pStyle w:val="SingleTxtG"/>
      </w:pPr>
      <w:r>
        <w:tab/>
      </w:r>
      <w:r>
        <w:tab/>
        <w:t xml:space="preserve">GRE, возможно, пожелает также рассмотреть предложение эксперта от БРГ о введении в СР.5 альтернативных светодиодных источников света новых категорий W5W/LEDK и WY5W/LED. </w:t>
      </w:r>
    </w:p>
    <w:p w:rsidR="009C7BE4" w:rsidRPr="00743EBE" w:rsidRDefault="009C7BE4" w:rsidP="003171DE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ECE/TRANS/WP.29/GRE/2019/10, </w:t>
      </w:r>
      <w:r w:rsidR="003171DE">
        <w:br/>
      </w:r>
      <w:r>
        <w:t>неофициальный документ GRE-81-04</w:t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 xml:space="preserve">GRE может ожидать представления доклада о работе целевой группы по альтернативным и модифицированным устройствам (ЦГ по АМ) и, возможно, пожелает возобновить обсуждение вопроса о том, следует ли ЦГ по АМ рассмотреть вопрос о модифицированных СИД.  </w:t>
      </w:r>
    </w:p>
    <w:p w:rsidR="009C7BE4" w:rsidRPr="00743EBE" w:rsidRDefault="009C7BE4" w:rsidP="009C7BE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ab/>
        <w:t>ECE/TRANS/WP.29/GRE/80, пункты 16 и 21</w:t>
      </w:r>
    </w:p>
    <w:p w:rsidR="009C7BE4" w:rsidRPr="00743EBE" w:rsidRDefault="009C7BE4" w:rsidP="009C7BE4">
      <w:pPr>
        <w:pStyle w:val="H1G"/>
        <w:rPr>
          <w:color w:val="000000"/>
        </w:rPr>
      </w:pPr>
      <w:r>
        <w:lastRenderedPageBreak/>
        <w:tab/>
        <w:t>6.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</w:p>
    <w:p w:rsidR="009C7BE4" w:rsidRPr="00743EBE" w:rsidRDefault="009C7BE4" w:rsidP="009C7BE4">
      <w:pPr>
        <w:pStyle w:val="H23G"/>
        <w:rPr>
          <w:color w:val="000000"/>
        </w:rPr>
      </w:pPr>
      <w:r>
        <w:tab/>
        <w:t>а)</w:t>
      </w:r>
      <w:r>
        <w:tab/>
        <w:t xml:space="preserve">Предложения по поправкам к поправкам серии 05 и 06 </w:t>
      </w:r>
    </w:p>
    <w:p w:rsidR="009C7BE4" w:rsidRPr="00743EBE" w:rsidRDefault="003171DE" w:rsidP="009C7BE4">
      <w:pPr>
        <w:pStyle w:val="SingleTxtG"/>
        <w:rPr>
          <w:color w:val="000000"/>
        </w:rPr>
      </w:pPr>
      <w:r>
        <w:tab/>
      </w:r>
      <w:r>
        <w:tab/>
      </w:r>
      <w:r w:rsidR="009C7BE4">
        <w:t>GRE, возможно, п</w:t>
      </w:r>
      <w:r w:rsidR="00ED10EB">
        <w:t>ожелает рассмотреть предложение</w:t>
      </w:r>
      <w:r w:rsidR="009C7BE4">
        <w:t>, подготовленное экспертами от Чехии и Италии при поддержке целе</w:t>
      </w:r>
      <w:r w:rsidR="00ED10EB">
        <w:t>вой группы по включению фар (ЦГ </w:t>
      </w:r>
      <w:r w:rsidR="009C7BE4">
        <w:t xml:space="preserve">по ВФ), для исправления и уточнения требований к фарам и дневным ходовым огням (ДХО).  </w:t>
      </w:r>
    </w:p>
    <w:p w:rsidR="009C7BE4" w:rsidRPr="00743EBE" w:rsidRDefault="009C7BE4" w:rsidP="009C7BE4">
      <w:pPr>
        <w:pStyle w:val="SingleTxtG"/>
        <w:ind w:left="2835" w:hanging="1701"/>
        <w:rPr>
          <w:color w:val="000000"/>
        </w:rPr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ECE/TRANS/WP.29/GRE/2019/5 </w:t>
      </w:r>
    </w:p>
    <w:p w:rsidR="009C7BE4" w:rsidRPr="00743EBE" w:rsidRDefault="003171DE" w:rsidP="009C7BE4">
      <w:pPr>
        <w:pStyle w:val="SingleTxtG"/>
        <w:rPr>
          <w:color w:val="000000"/>
        </w:rPr>
      </w:pPr>
      <w:r>
        <w:tab/>
      </w:r>
      <w:r>
        <w:tab/>
      </w:r>
      <w:r w:rsidR="009C7BE4">
        <w:t xml:space="preserve">GRE рассмотрит предложения, подготовленные экспертом от Германии, которые допускают ручное отключение всех устройств освещения в особых случаях и использование аварийных сигналов при открывании дверей.  </w:t>
      </w:r>
    </w:p>
    <w:p w:rsidR="009C7BE4" w:rsidRPr="00743EBE" w:rsidRDefault="009C7BE4" w:rsidP="009C7BE4">
      <w:pPr>
        <w:pStyle w:val="SingleTxtG"/>
        <w:ind w:left="2835" w:hanging="1701"/>
        <w:rPr>
          <w:color w:val="000000"/>
        </w:rPr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ECE/TRANS/WP.29/GRE/2019/8</w:t>
      </w:r>
      <w:r>
        <w:tab/>
      </w:r>
    </w:p>
    <w:p w:rsidR="009C7BE4" w:rsidRPr="00743EBE" w:rsidRDefault="003171DE" w:rsidP="009C7BE4">
      <w:pPr>
        <w:pStyle w:val="SingleTxtG"/>
        <w:rPr>
          <w:color w:val="000000"/>
        </w:rPr>
      </w:pPr>
      <w:r>
        <w:tab/>
      </w:r>
      <w:r>
        <w:tab/>
      </w:r>
      <w:r w:rsidR="009C7BE4">
        <w:t>GRE может ожидать представления пересмотренного предложения эксперта от БРГ и других заинтересованных сторон, направленного на ослабление дискомфортного света задних сигнальных огней, когда на них приходится смотреть в непосредственной близости в условиях замедленного дорожного движения.</w:t>
      </w:r>
    </w:p>
    <w:p w:rsidR="009C7BE4" w:rsidRPr="00743EBE" w:rsidRDefault="009C7BE4" w:rsidP="009C7BE4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ECE/TRANS/WP.29/GRE/80, пункт 23 </w:t>
      </w:r>
    </w:p>
    <w:p w:rsidR="009C7BE4" w:rsidRPr="00743EBE" w:rsidRDefault="009C7BE4" w:rsidP="009C7BE4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Прочие предложения по поправкам к Правилам № 48 ООН</w:t>
      </w:r>
    </w:p>
    <w:p w:rsidR="009C7BE4" w:rsidRPr="00743EBE" w:rsidRDefault="003171DE" w:rsidP="009C7BE4">
      <w:pPr>
        <w:pStyle w:val="SingleTxtG"/>
        <w:rPr>
          <w:color w:val="000000"/>
        </w:rPr>
      </w:pPr>
      <w:r>
        <w:tab/>
      </w:r>
      <w:r>
        <w:tab/>
      </w:r>
      <w:r w:rsidR="009C7BE4">
        <w:t>GRE, возможно, пожелает рассмотреть предл</w:t>
      </w:r>
      <w:r>
        <w:t>ожение по поправкам новой серии </w:t>
      </w:r>
      <w:r w:rsidR="009C7BE4">
        <w:t xml:space="preserve">07, подготовленное специальной группой заинтересованных экспертов GRE, вместе с дополнительным изменением, предложенным Францией. </w:t>
      </w:r>
    </w:p>
    <w:p w:rsidR="009C7BE4" w:rsidRPr="00743EBE" w:rsidRDefault="009C7BE4" w:rsidP="009C7BE4">
      <w:pPr>
        <w:pStyle w:val="SingleTxtG"/>
        <w:ind w:left="2835" w:hanging="1701"/>
        <w:rPr>
          <w:color w:val="000000"/>
        </w:rPr>
      </w:pPr>
      <w:r>
        <w:rPr>
          <w:b/>
          <w:bCs/>
        </w:rPr>
        <w:t>Документация:</w:t>
      </w:r>
      <w:r>
        <w:tab/>
        <w:t xml:space="preserve">ECE/TRANS/WP.29/GRE/2019/4, ECE/TRANS/WP.29/GRE/2019/11   </w:t>
      </w:r>
    </w:p>
    <w:p w:rsidR="009C7BE4" w:rsidRPr="00743EBE" w:rsidRDefault="009C7BE4" w:rsidP="009C7BE4">
      <w:pPr>
        <w:pStyle w:val="H1G"/>
        <w:rPr>
          <w:color w:val="000000"/>
        </w:rPr>
      </w:pPr>
      <w:r>
        <w:tab/>
        <w:t>7.</w:t>
      </w:r>
      <w:r>
        <w:tab/>
      </w:r>
      <w:r>
        <w:rPr>
          <w:bCs/>
        </w:rPr>
        <w:t>Другие правила ООН</w:t>
      </w:r>
    </w:p>
    <w:p w:rsidR="009C7BE4" w:rsidRPr="00743EBE" w:rsidRDefault="009C7BE4" w:rsidP="009C7BE4">
      <w:pPr>
        <w:pStyle w:val="H23G"/>
      </w:pPr>
      <w:r>
        <w:tab/>
        <w:t>а)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 w:rsidRPr="00717AA9">
        <w:rPr>
          <w:vertAlign w:val="subscript"/>
        </w:rPr>
        <w:t>3</w:t>
      </w:r>
      <w:r>
        <w:t>)</w:t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 xml:space="preserve">GRE, возможно, пожелает рассмотреть предложение эксперта от Международной ассоциации заводов-изготовителей мотоциклов (МАЗМ), в котором вновь вводится первоначальное требование об автоматическом включении фар для транспортных средств, не оснащенных ДХО. </w:t>
      </w:r>
    </w:p>
    <w:p w:rsidR="009C7BE4" w:rsidRPr="00743EBE" w:rsidRDefault="009C7BE4" w:rsidP="009C7BE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ECE/TRANS/WP.29/GRE/2019/12</w:t>
      </w:r>
      <w:r>
        <w:tab/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 xml:space="preserve">GRE, возможно, пожелает вернуться к рассмотрению предложения эксперта от Индии, предусматривающего факультативное требование об установке передних габаритных огней, с учетом введения в Правила № 53 ООН положений об автоматическом включении фар и предписаний о ДХО. </w:t>
      </w:r>
    </w:p>
    <w:p w:rsidR="009C7BE4" w:rsidRPr="00743EBE" w:rsidRDefault="009C7BE4" w:rsidP="009C7BE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ECE/TRANS/WP.29/GRE/80, пункт 29</w:t>
      </w:r>
    </w:p>
    <w:p w:rsidR="009C7BE4" w:rsidRPr="00743EBE" w:rsidRDefault="009C7BE4" w:rsidP="009C7BE4">
      <w:pPr>
        <w:pStyle w:val="H23G"/>
      </w:pPr>
      <w:r>
        <w:tab/>
        <w:t>b)</w:t>
      </w:r>
      <w:r>
        <w:tab/>
      </w:r>
      <w:r>
        <w:rPr>
          <w:bCs/>
        </w:rPr>
        <w:t>Правила № 65 ООН (специальные предупреждающие огни)</w:t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>GRE рассмотрит предложение по исправлениям, представленное экспертом от БРГ.</w:t>
      </w:r>
    </w:p>
    <w:p w:rsidR="009C7BE4" w:rsidRPr="00743EBE" w:rsidRDefault="009C7BE4" w:rsidP="009C7BE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GRE-81-05</w:t>
      </w:r>
    </w:p>
    <w:p w:rsidR="009C7BE4" w:rsidRPr="00743EBE" w:rsidRDefault="009C7BE4" w:rsidP="009C7BE4">
      <w:pPr>
        <w:pStyle w:val="H23G"/>
      </w:pPr>
      <w:r>
        <w:tab/>
        <w:t>c)</w:t>
      </w:r>
      <w:r>
        <w:tab/>
      </w:r>
      <w:r>
        <w:rPr>
          <w:bCs/>
        </w:rPr>
        <w:t>Правила № 74 ООН (установка устройств освещения и световой сигнализации для мопедов)</w:t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 xml:space="preserve">GRE обсудит пересмотренное предложение эксперта от </w:t>
      </w:r>
      <w:r>
        <w:t>Нидерландов, в </w:t>
      </w:r>
      <w:r w:rsidR="009C7BE4">
        <w:t>соответствии с которым требуется обязательная установка указателей поворота на мопедах.</w:t>
      </w:r>
    </w:p>
    <w:p w:rsidR="009C7BE4" w:rsidRPr="00743EBE" w:rsidRDefault="009C7BE4" w:rsidP="003171DE">
      <w:pPr>
        <w:spacing w:after="120"/>
        <w:ind w:left="2835" w:right="1134" w:hanging="1701"/>
        <w:jc w:val="both"/>
      </w:pPr>
      <w:r>
        <w:rPr>
          <w:b/>
          <w:bCs/>
        </w:rPr>
        <w:lastRenderedPageBreak/>
        <w:t>Документация:</w:t>
      </w:r>
      <w:r>
        <w:t xml:space="preserve"> </w:t>
      </w:r>
      <w:r>
        <w:tab/>
        <w:t xml:space="preserve">ECE/TRANS/WP.29/GRE/2019/2, </w:t>
      </w:r>
      <w:r w:rsidR="003171DE">
        <w:br/>
      </w:r>
      <w:r>
        <w:t>неофициальный документ GRE-81-02</w:t>
      </w:r>
    </w:p>
    <w:p w:rsidR="009C7BE4" w:rsidRPr="00743EBE" w:rsidRDefault="009C7BE4" w:rsidP="009C7BE4">
      <w:pPr>
        <w:pStyle w:val="H1G"/>
      </w:pPr>
      <w:r>
        <w:tab/>
        <w:t>8.</w:t>
      </w:r>
      <w:r>
        <w:tab/>
      </w:r>
      <w:r>
        <w:rPr>
          <w:bCs/>
        </w:rPr>
        <w:t>Прочие вопросы</w:t>
      </w:r>
    </w:p>
    <w:p w:rsidR="009C7BE4" w:rsidRPr="00743EBE" w:rsidRDefault="009C7BE4" w:rsidP="009C7BE4">
      <w:pPr>
        <w:pStyle w:val="H23G"/>
        <w:rPr>
          <w:color w:val="000000"/>
        </w:rPr>
      </w:pPr>
      <w:r>
        <w:tab/>
        <w:t>а)</w:t>
      </w:r>
      <w:r>
        <w:tab/>
      </w:r>
      <w:r>
        <w:rPr>
          <w:bCs/>
        </w:rPr>
        <w:t>Поправки к Конвенции о дорожном движении (Вена, 1968 год)</w:t>
      </w:r>
    </w:p>
    <w:p w:rsidR="009C7BE4" w:rsidRPr="00743EBE" w:rsidRDefault="009C7BE4" w:rsidP="009C7BE4">
      <w:pPr>
        <w:pStyle w:val="SingleTxtG"/>
        <w:rPr>
          <w:color w:val="000000"/>
        </w:rPr>
      </w:pPr>
      <w:r>
        <w:tab/>
      </w:r>
      <w:r>
        <w:tab/>
        <w:t>GRE будет проинформирована об итогах обсуждения, проведенного Глобальным форумом по безопасности дорожного движения (WP.1) на его недавней сессии.</w:t>
      </w:r>
    </w:p>
    <w:p w:rsidR="009C7BE4" w:rsidRPr="00743EBE" w:rsidRDefault="009C7BE4" w:rsidP="009C7BE4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Десятилетие действий по обеспечению без</w:t>
      </w:r>
      <w:r w:rsidR="008C14F2">
        <w:rPr>
          <w:bCs/>
        </w:rPr>
        <w:t>опасности дорожного движения на </w:t>
      </w:r>
      <w:r>
        <w:rPr>
          <w:bCs/>
        </w:rPr>
        <w:t>2011−2020 годы</w:t>
      </w:r>
    </w:p>
    <w:p w:rsidR="009C7BE4" w:rsidRPr="00743EBE" w:rsidRDefault="009C7BE4" w:rsidP="009C7BE4">
      <w:pPr>
        <w:pStyle w:val="SingleTxtG"/>
        <w:rPr>
          <w:rFonts w:eastAsia="MS Mincho"/>
        </w:rPr>
      </w:pPr>
      <w:r>
        <w:tab/>
      </w:r>
      <w:r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освещения и световой сигнализации.</w:t>
      </w:r>
    </w:p>
    <w:p w:rsidR="009C7BE4" w:rsidRPr="00743EBE" w:rsidRDefault="009C7BE4" w:rsidP="009C7BE4">
      <w:pPr>
        <w:pStyle w:val="H23G"/>
        <w:rPr>
          <w:color w:val="000000"/>
        </w:rPr>
      </w:pPr>
      <w:r>
        <w:tab/>
        <w:t>c)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</w:t>
      </w:r>
    </w:p>
    <w:p w:rsidR="009C7BE4" w:rsidRPr="00743EBE" w:rsidRDefault="009C7BE4" w:rsidP="009C7BE4">
      <w:pPr>
        <w:pStyle w:val="SingleTxtG"/>
        <w:rPr>
          <w:rFonts w:eastAsia="MS Mincho"/>
        </w:rPr>
      </w:pPr>
      <w:r>
        <w:tab/>
      </w:r>
      <w:r>
        <w:tab/>
        <w:t xml:space="preserve">GRE, возможно, заслушает устное сообщение специального представителя GRE по международной системе официального утверждения типа комплектного транспортного средства (МОУТКТС), а также информацию о всех необходимых последующих шагах. </w:t>
      </w:r>
    </w:p>
    <w:p w:rsidR="009C7BE4" w:rsidRPr="00743EBE" w:rsidRDefault="003171DE" w:rsidP="003171DE">
      <w:pPr>
        <w:pStyle w:val="SingleTxtG"/>
      </w:pPr>
      <w:r>
        <w:tab/>
      </w:r>
      <w:r>
        <w:tab/>
      </w:r>
      <w:r w:rsidR="009C7BE4">
        <w:t>GRE будет также проинформирована о разработке электронной базы данных для обмена документацией об официальном утверждении типа (ДЕТА).</w:t>
      </w:r>
      <w:r w:rsidR="009C7BE4">
        <w:tab/>
      </w:r>
    </w:p>
    <w:p w:rsidR="009C7BE4" w:rsidRPr="00743EBE" w:rsidRDefault="009C7BE4" w:rsidP="009C7BE4">
      <w:pPr>
        <w:pStyle w:val="H1G"/>
      </w:pPr>
      <w:r>
        <w:tab/>
        <w:t>9.</w:t>
      </w:r>
      <w:r>
        <w:tab/>
      </w:r>
      <w:r>
        <w:rPr>
          <w:bCs/>
        </w:rPr>
        <w:t>Новые вопросы и несвоевременно представленные документы</w:t>
      </w:r>
    </w:p>
    <w:p w:rsidR="009C7BE4" w:rsidRPr="00743EBE" w:rsidRDefault="003171DE" w:rsidP="009C7BE4">
      <w:pPr>
        <w:pStyle w:val="SingleTxtG"/>
      </w:pPr>
      <w:r>
        <w:tab/>
      </w:r>
      <w:r>
        <w:tab/>
      </w:r>
      <w:r w:rsidR="009C7BE4">
        <w:t>GRE, возможно, рассмотрит также новые вопросы и/или документы, которые были представлены после передачи на перевод аннотированной предварительной повестки дня.</w:t>
      </w:r>
    </w:p>
    <w:p w:rsidR="009C7BE4" w:rsidRPr="00743EBE" w:rsidRDefault="009C7BE4" w:rsidP="009C7BE4">
      <w:pPr>
        <w:pStyle w:val="H1G"/>
      </w:pPr>
      <w:r>
        <w:tab/>
        <w:t>10.</w:t>
      </w:r>
      <w:r>
        <w:tab/>
        <w:t>Направления будущей работы GRE</w:t>
      </w:r>
      <w:r>
        <w:tab/>
      </w:r>
    </w:p>
    <w:p w:rsidR="009C7BE4" w:rsidRPr="00743EBE" w:rsidRDefault="009C7BE4" w:rsidP="009C7BE4">
      <w:pPr>
        <w:pStyle w:val="SingleTxtG"/>
        <w:rPr>
          <w:b/>
          <w:bCs/>
          <w:color w:val="000000"/>
        </w:rPr>
      </w:pPr>
      <w:r>
        <w:tab/>
      </w:r>
      <w:r>
        <w:tab/>
      </w:r>
      <w:r w:rsidRPr="00743EBE">
        <w:rPr>
          <w:bCs/>
        </w:rPr>
        <w:t>GRE предлагается дать указания в отношении будущей деятельности, особенно с учетом того, что недавно была создана новая Рабочая группа по автоматизированным/автономным и подключенным транспортным средствам (GRVA). GRE будет проинформирована, в частности, о ходе работы целевой группы (ЦГ) по требования</w:t>
      </w:r>
      <w:r>
        <w:rPr>
          <w:bCs/>
        </w:rPr>
        <w:t>м</w:t>
      </w:r>
      <w:r w:rsidRPr="00743EBE">
        <w:rPr>
          <w:bCs/>
        </w:rPr>
        <w:t xml:space="preserve"> </w:t>
      </w:r>
      <w:r>
        <w:rPr>
          <w:bCs/>
        </w:rPr>
        <w:t>к</w:t>
      </w:r>
      <w:r w:rsidRPr="00743EBE">
        <w:rPr>
          <w:bCs/>
        </w:rPr>
        <w:t xml:space="preserve"> сигнализации для автоматизированных/автономных транспортных средств. </w:t>
      </w:r>
    </w:p>
    <w:p w:rsidR="009C7BE4" w:rsidRPr="00743EBE" w:rsidRDefault="009C7BE4" w:rsidP="009C7BE4">
      <w:pPr>
        <w:pStyle w:val="H1G"/>
      </w:pPr>
      <w:r>
        <w:tab/>
        <w:t>11.</w:t>
      </w:r>
      <w:r>
        <w:tab/>
      </w:r>
      <w:r>
        <w:rPr>
          <w:bCs/>
        </w:rPr>
        <w:t xml:space="preserve">Предварительная повестка </w:t>
      </w:r>
      <w:r w:rsidR="003017C9">
        <w:rPr>
          <w:bCs/>
        </w:rPr>
        <w:t xml:space="preserve">дня </w:t>
      </w:r>
      <w:r>
        <w:rPr>
          <w:bCs/>
        </w:rPr>
        <w:t>следующей сессии</w:t>
      </w:r>
    </w:p>
    <w:p w:rsidR="009C7BE4" w:rsidRPr="00743EBE" w:rsidRDefault="009C7BE4" w:rsidP="009C7BE4">
      <w:pPr>
        <w:pStyle w:val="SingleTxtG"/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</w:p>
    <w:p w:rsidR="009C7BE4" w:rsidRPr="009C7BE4" w:rsidRDefault="009C7BE4" w:rsidP="009C7B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C7BE4" w:rsidRPr="009C7BE4" w:rsidSect="009C7B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F0" w:rsidRPr="00A312BC" w:rsidRDefault="00A91AF0" w:rsidP="00A312BC"/>
  </w:endnote>
  <w:endnote w:type="continuationSeparator" w:id="0">
    <w:p w:rsidR="00A91AF0" w:rsidRPr="00A312BC" w:rsidRDefault="00A91A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E4" w:rsidRPr="009C7BE4" w:rsidRDefault="009C7BE4">
    <w:pPr>
      <w:pStyle w:val="Footer"/>
    </w:pPr>
    <w:r w:rsidRPr="009C7BE4">
      <w:rPr>
        <w:b/>
        <w:sz w:val="18"/>
      </w:rPr>
      <w:fldChar w:fldCharType="begin"/>
    </w:r>
    <w:r w:rsidRPr="009C7BE4">
      <w:rPr>
        <w:b/>
        <w:sz w:val="18"/>
      </w:rPr>
      <w:instrText xml:space="preserve"> PAGE  \* MERGEFORMAT </w:instrText>
    </w:r>
    <w:r w:rsidRPr="009C7BE4">
      <w:rPr>
        <w:b/>
        <w:sz w:val="18"/>
      </w:rPr>
      <w:fldChar w:fldCharType="separate"/>
    </w:r>
    <w:r w:rsidR="009A69FD">
      <w:rPr>
        <w:b/>
        <w:noProof/>
        <w:sz w:val="18"/>
      </w:rPr>
      <w:t>4</w:t>
    </w:r>
    <w:r w:rsidRPr="009C7BE4">
      <w:rPr>
        <w:b/>
        <w:sz w:val="18"/>
      </w:rPr>
      <w:fldChar w:fldCharType="end"/>
    </w:r>
    <w:r>
      <w:rPr>
        <w:b/>
        <w:sz w:val="18"/>
      </w:rPr>
      <w:tab/>
    </w:r>
    <w:r>
      <w:t>GE.19-01377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E4" w:rsidRPr="009C7BE4" w:rsidRDefault="009C7BE4" w:rsidP="009C7BE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GE.19-01377</w:t>
    </w:r>
    <w:r>
      <w:tab/>
    </w:r>
    <w:r w:rsidRPr="009C7BE4">
      <w:rPr>
        <w:b/>
        <w:sz w:val="18"/>
      </w:rPr>
      <w:fldChar w:fldCharType="begin"/>
    </w:r>
    <w:r w:rsidRPr="009C7BE4">
      <w:rPr>
        <w:b/>
        <w:sz w:val="18"/>
      </w:rPr>
      <w:instrText xml:space="preserve"> PAGE  \* MERGEFORMAT </w:instrText>
    </w:r>
    <w:r w:rsidRPr="009C7BE4">
      <w:rPr>
        <w:b/>
        <w:sz w:val="18"/>
      </w:rPr>
      <w:fldChar w:fldCharType="separate"/>
    </w:r>
    <w:r w:rsidR="009A69FD">
      <w:rPr>
        <w:b/>
        <w:noProof/>
        <w:sz w:val="18"/>
      </w:rPr>
      <w:t>5</w:t>
    </w:r>
    <w:r w:rsidRPr="009C7B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C7BE4" w:rsidRDefault="009C7BE4" w:rsidP="009C7BE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19-01377  (R)</w:t>
    </w:r>
    <w:r w:rsidR="008C14F2">
      <w:rPr>
        <w:lang w:val="en-US"/>
      </w:rPr>
      <w:t xml:space="preserve">  310119  010219</w:t>
    </w:r>
    <w:r>
      <w:br/>
    </w:r>
    <w:r w:rsidRPr="009C7BE4">
      <w:rPr>
        <w:rFonts w:ascii="C39T30Lfz" w:hAnsi="C39T30Lfz"/>
        <w:kern w:val="14"/>
        <w:sz w:val="56"/>
      </w:rPr>
      <w:t></w:t>
    </w:r>
    <w:r w:rsidRPr="009C7BE4">
      <w:rPr>
        <w:rFonts w:ascii="C39T30Lfz" w:hAnsi="C39T30Lfz"/>
        <w:kern w:val="14"/>
        <w:sz w:val="56"/>
      </w:rPr>
      <w:t></w:t>
    </w:r>
    <w:r w:rsidRPr="009C7BE4">
      <w:rPr>
        <w:rFonts w:ascii="C39T30Lfz" w:hAnsi="C39T30Lfz"/>
        <w:kern w:val="14"/>
        <w:sz w:val="56"/>
      </w:rPr>
      <w:t></w:t>
    </w:r>
    <w:r w:rsidRPr="009C7BE4">
      <w:rPr>
        <w:rFonts w:ascii="C39T30Lfz" w:hAnsi="C39T30Lfz"/>
        <w:kern w:val="14"/>
        <w:sz w:val="56"/>
      </w:rPr>
      <w:t></w:t>
    </w:r>
    <w:r w:rsidRPr="009C7BE4">
      <w:rPr>
        <w:rFonts w:ascii="C39T30Lfz" w:hAnsi="C39T30Lfz"/>
        <w:kern w:val="14"/>
        <w:sz w:val="56"/>
      </w:rPr>
      <w:t></w:t>
    </w:r>
    <w:r w:rsidRPr="009C7BE4">
      <w:rPr>
        <w:rFonts w:ascii="C39T30Lfz" w:hAnsi="C39T30Lfz"/>
        <w:kern w:val="14"/>
        <w:sz w:val="56"/>
      </w:rPr>
      <w:t></w:t>
    </w:r>
    <w:r w:rsidRPr="009C7BE4">
      <w:rPr>
        <w:rFonts w:ascii="C39T30Lfz" w:hAnsi="C39T30Lfz"/>
        <w:kern w:val="14"/>
        <w:sz w:val="56"/>
      </w:rPr>
      <w:t></w:t>
    </w:r>
    <w:r w:rsidRPr="009C7BE4">
      <w:rPr>
        <w:rFonts w:ascii="C39T30Lfz" w:hAnsi="C39T30Lfz"/>
        <w:kern w:val="14"/>
        <w:sz w:val="56"/>
      </w:rPr>
      <w:t></w:t>
    </w:r>
    <w:r w:rsidRPr="009C7BE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F0" w:rsidRPr="001075E9" w:rsidRDefault="00A91A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1AF0" w:rsidRDefault="00A91A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C7BE4" w:rsidRPr="00743EBE" w:rsidRDefault="009C7BE4" w:rsidP="009C7BE4">
      <w:pPr>
        <w:pStyle w:val="FootnoteText"/>
      </w:pPr>
      <w:r>
        <w:tab/>
      </w:r>
      <w:r w:rsidRPr="009C7BE4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Pr="004B4EE8">
          <w:rPr>
            <w:rStyle w:val="Hyperlink"/>
          </w:rPr>
          <w:t>www.unece.org/</w:t>
        </w:r>
        <w:r w:rsidRPr="004B4EE8">
          <w:rPr>
            <w:rStyle w:val="Hyperlink"/>
          </w:rPr>
          <w:br/>
          <w:t>trans/main/wp29/wp29wgs/wp29gre/greage.html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4B4EE8">
          <w:rPr>
            <w:rStyle w:val="Hyperlink"/>
          </w:rPr>
          <w:t>grе@unece.org</w:t>
        </w:r>
      </w:hyperlink>
      <w:r>
        <w:t>) или по факсу (</w:t>
      </w:r>
      <w:r w:rsidR="003017C9" w:rsidRPr="003017C9">
        <w:t>+</w:t>
      </w:r>
      <w:r>
        <w:t xml:space="preserve">41 22 917 00 39).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583483">
          <w:rPr>
            <w:rStyle w:val="Hyperlink"/>
          </w:rPr>
          <w:t>documents.un.org/</w:t>
        </w:r>
      </w:hyperlink>
      <w:r>
        <w:t>.</w:t>
      </w:r>
    </w:p>
  </w:footnote>
  <w:footnote w:id="2">
    <w:p w:rsidR="009C7BE4" w:rsidRPr="00743EBE" w:rsidRDefault="009C7BE4" w:rsidP="009C7BE4">
      <w:pPr>
        <w:pStyle w:val="FootnoteText"/>
      </w:pPr>
      <w:r>
        <w:tab/>
      </w:r>
      <w:r w:rsidRPr="009C7BE4">
        <w:rPr>
          <w:sz w:val="20"/>
        </w:rPr>
        <w:t>**</w:t>
      </w:r>
      <w:r>
        <w:tab/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4B4EE8">
          <w:rPr>
            <w:rStyle w:val="Hyperlink"/>
          </w:rPr>
          <w:t>https://uncdb.unece.org/app/ext/meeting-registration?id=tN8_kl</w:t>
        </w:r>
      </w:hyperlink>
      <w:r>
        <w:t xml:space="preserve">). По прибытии во Дворец Наций делегатам следует получить пропуск в Секции охраны и безопасности ЮНОГ, которая находится у въезда со стороны Прени (Pregny Gate) (14, Avenue de la Paix). В случае затруднений просьба связаться с секретариатом ЕЭК ООН по телефону (внутренний номер 74323). Схему Дворца Наций и другую полезную информацию см. </w:t>
      </w:r>
      <w:hyperlink r:id="rId5" w:history="1">
        <w:r w:rsidRPr="004B4EE8">
          <w:rPr>
            <w:rStyle w:val="Hyperlink"/>
          </w:rPr>
          <w:t>www.unece.org/</w:t>
        </w:r>
        <w:r w:rsidRPr="004B4EE8">
          <w:rPr>
            <w:rStyle w:val="Hyperlink"/>
          </w:rPr>
          <w:br/>
          <w:t>meetings/practical.htm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E4" w:rsidRPr="009C7BE4" w:rsidRDefault="00663D2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69FD">
      <w:t>ECE/TRANS/WP.29/GRE/2019/1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E4" w:rsidRPr="009C7BE4" w:rsidRDefault="00663D22" w:rsidP="009C7B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69FD">
      <w:t>ECE/TRANS/WP.29/GRE/2019/1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095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7C9"/>
    <w:rsid w:val="00305C08"/>
    <w:rsid w:val="00307FB6"/>
    <w:rsid w:val="003171DE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3D2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4F2"/>
    <w:rsid w:val="008D53B6"/>
    <w:rsid w:val="008F7609"/>
    <w:rsid w:val="00906890"/>
    <w:rsid w:val="00911BE4"/>
    <w:rsid w:val="00951972"/>
    <w:rsid w:val="009608F3"/>
    <w:rsid w:val="009A24AC"/>
    <w:rsid w:val="009A69FD"/>
    <w:rsid w:val="009C59D7"/>
    <w:rsid w:val="009C6FE6"/>
    <w:rsid w:val="009C7BE4"/>
    <w:rsid w:val="009D7E7D"/>
    <w:rsid w:val="00A14DA8"/>
    <w:rsid w:val="00A312BC"/>
    <w:rsid w:val="00A84021"/>
    <w:rsid w:val="00A84D35"/>
    <w:rsid w:val="00A917B3"/>
    <w:rsid w:val="00A91AF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10EB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C6DB34-AD79-475C-A107-10018A16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C7BE4"/>
    <w:rPr>
      <w:lang w:val="ru-RU" w:eastAsia="en-US"/>
    </w:rPr>
  </w:style>
  <w:style w:type="character" w:customStyle="1" w:styleId="H1GChar">
    <w:name w:val="_ H_1_G Char"/>
    <w:link w:val="H1G"/>
    <w:rsid w:val="009C7BE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C7BE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&#1077;@unece.org" TargetMode="External"/><Relationship Id="rId1" Type="http://schemas.openxmlformats.org/officeDocument/2006/relationships/hyperlink" Target="http://www.unece.org/trans/main/wp29/wp29wgs/wp29gre/gr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tN8_k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</vt:lpstr>
      <vt:lpstr>ECE/TRANS/WP.29/GRE/2019/1</vt:lpstr>
      <vt:lpstr>A/</vt:lpstr>
    </vt:vector>
  </TitlesOfParts>
  <Company>DCM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</dc:title>
  <dc:subject/>
  <dc:creator>Marina KOROTKOVA</dc:creator>
  <cp:keywords/>
  <cp:lastModifiedBy>Benedicte Boudol</cp:lastModifiedBy>
  <cp:revision>2</cp:revision>
  <cp:lastPrinted>2019-02-01T08:11:00Z</cp:lastPrinted>
  <dcterms:created xsi:type="dcterms:W3CDTF">2019-02-20T10:26:00Z</dcterms:created>
  <dcterms:modified xsi:type="dcterms:W3CDTF">2019-02-20T10:26:00Z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