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209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209D1" w:rsidP="007209D1">
            <w:pPr>
              <w:jc w:val="right"/>
            </w:pPr>
            <w:r w:rsidRPr="007209D1">
              <w:rPr>
                <w:sz w:val="40"/>
              </w:rPr>
              <w:t>ECE</w:t>
            </w:r>
            <w:r>
              <w:t>/TRANS/WP.29/GRB/2019/10</w:t>
            </w:r>
          </w:p>
        </w:tc>
      </w:tr>
      <w:tr w:rsidR="002D5AAC" w:rsidRPr="007209D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209D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209D1" w:rsidRDefault="007209D1" w:rsidP="007209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November 2018</w:t>
            </w:r>
          </w:p>
          <w:p w:rsidR="007209D1" w:rsidRDefault="007209D1" w:rsidP="007209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209D1" w:rsidRPr="008D53B6" w:rsidRDefault="007209D1" w:rsidP="007209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209D1" w:rsidRPr="007209D1" w:rsidRDefault="007209D1" w:rsidP="007209D1">
      <w:pPr>
        <w:spacing w:before="120"/>
        <w:jc w:val="both"/>
        <w:rPr>
          <w:sz w:val="28"/>
          <w:szCs w:val="28"/>
        </w:rPr>
      </w:pPr>
      <w:r w:rsidRPr="007209D1">
        <w:rPr>
          <w:sz w:val="28"/>
          <w:szCs w:val="28"/>
        </w:rPr>
        <w:t>Комитет по внутреннему транспорту</w:t>
      </w:r>
    </w:p>
    <w:p w:rsidR="007209D1" w:rsidRPr="007209D1" w:rsidRDefault="007209D1" w:rsidP="007209D1">
      <w:pPr>
        <w:spacing w:before="120"/>
        <w:rPr>
          <w:b/>
          <w:sz w:val="24"/>
          <w:szCs w:val="24"/>
        </w:rPr>
      </w:pPr>
      <w:r w:rsidRPr="007209D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209D1">
        <w:rPr>
          <w:b/>
          <w:bCs/>
          <w:sz w:val="24"/>
          <w:szCs w:val="24"/>
        </w:rPr>
        <w:t>в области транспортных средств</w:t>
      </w:r>
    </w:p>
    <w:p w:rsidR="007209D1" w:rsidRPr="00452E69" w:rsidRDefault="007209D1" w:rsidP="007209D1">
      <w:pPr>
        <w:spacing w:before="120"/>
        <w:jc w:val="both"/>
        <w:rPr>
          <w:b/>
        </w:rPr>
      </w:pPr>
      <w:r>
        <w:rPr>
          <w:b/>
          <w:bCs/>
        </w:rPr>
        <w:t>Рабочая группа по вопросам шума</w:t>
      </w:r>
    </w:p>
    <w:p w:rsidR="007209D1" w:rsidRPr="00452E69" w:rsidRDefault="007209D1" w:rsidP="007209D1">
      <w:pPr>
        <w:spacing w:before="120"/>
        <w:jc w:val="both"/>
        <w:rPr>
          <w:b/>
        </w:rPr>
      </w:pPr>
      <w:r>
        <w:rPr>
          <w:b/>
          <w:bCs/>
        </w:rPr>
        <w:t>Шестьдесят девятая сессия</w:t>
      </w:r>
    </w:p>
    <w:p w:rsidR="007209D1" w:rsidRPr="00452E69" w:rsidRDefault="007209D1" w:rsidP="007209D1">
      <w:pPr>
        <w:jc w:val="both"/>
      </w:pPr>
      <w:r>
        <w:t>Женева, 22–25 января 2019 года</w:t>
      </w:r>
    </w:p>
    <w:p w:rsidR="007209D1" w:rsidRPr="00452E69" w:rsidRDefault="007209D1" w:rsidP="007209D1">
      <w:pPr>
        <w:jc w:val="both"/>
      </w:pPr>
      <w:r>
        <w:t xml:space="preserve">Пункт </w:t>
      </w:r>
      <w:proofErr w:type="gramStart"/>
      <w:r>
        <w:t>4</w:t>
      </w:r>
      <w:proofErr w:type="gramEnd"/>
      <w:r>
        <w:t xml:space="preserve"> а) предварительной повестки дня</w:t>
      </w:r>
    </w:p>
    <w:p w:rsidR="007209D1" w:rsidRDefault="007209D1" w:rsidP="007209D1">
      <w:pPr>
        <w:suppressAutoHyphens w:val="0"/>
        <w:spacing w:line="240" w:lineRule="auto"/>
      </w:pPr>
      <w:r>
        <w:rPr>
          <w:b/>
          <w:bCs/>
        </w:rPr>
        <w:t xml:space="preserve">Правила № 51 ООН (шум, производимый </w:t>
      </w:r>
      <w:r>
        <w:rPr>
          <w:b/>
          <w:bCs/>
        </w:rPr>
        <w:br/>
        <w:t>транспортными средствами категорий M и N):</w:t>
      </w:r>
      <w:r>
        <w:rPr>
          <w:b/>
          <w:bCs/>
        </w:rPr>
        <w:br/>
        <w:t>Разработка</w:t>
      </w:r>
    </w:p>
    <w:p w:rsidR="007209D1" w:rsidRPr="00452E69" w:rsidRDefault="007209D1" w:rsidP="007209D1">
      <w:pPr>
        <w:pStyle w:val="HChGR"/>
      </w:pPr>
      <w:r>
        <w:tab/>
      </w:r>
      <w:r>
        <w:tab/>
        <w:t xml:space="preserve">Предложение по дополнению 6 к поправкам серии </w:t>
      </w:r>
      <w:r w:rsidR="001B454A">
        <w:t>0</w:t>
      </w:r>
      <w:r>
        <w:t>3 к</w:t>
      </w:r>
      <w:r>
        <w:rPr>
          <w:lang w:val="en-US"/>
        </w:rPr>
        <w:t> </w:t>
      </w:r>
      <w:r>
        <w:t xml:space="preserve">Правилам № 51 ООН (шум, производимый транспортными средствами категорий М и N) </w:t>
      </w:r>
    </w:p>
    <w:p w:rsidR="007209D1" w:rsidRPr="00452E69" w:rsidRDefault="007209D1" w:rsidP="007209D1">
      <w:pPr>
        <w:pStyle w:val="H1GR"/>
        <w:rPr>
          <w:szCs w:val="24"/>
        </w:rPr>
      </w:pPr>
      <w:r>
        <w:tab/>
      </w:r>
      <w:r>
        <w:tab/>
        <w:t>Представлено неофициальной рабочей группой по дополнительным положениям об уровне звука</w:t>
      </w:r>
      <w:r w:rsidRPr="007209D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7209D1" w:rsidRDefault="007209D1" w:rsidP="007209D1">
      <w:pPr>
        <w:pStyle w:val="SingleTxtGR"/>
      </w:pPr>
      <w:r>
        <w:tab/>
        <w:t>Воспроизведенный ниже текст был подготовлен неофициальной рабочей группой (НРГ) по дополнительным положениям об уровне звука (ДПУЗ) в целях включения переходных положений для дополнений 4 и 5 к поправкам серии 03 к Правилам № 51 ООН (в соответствии с переходными положениями дополнения 3), а также исправления соответствующей ссылки и уточнения требований в отношении звука в неподвижном состоянии. Предлагаемые поправки основаны на проекте дополнения 5 к поправкам серии 03 к Правилам № 51 ООН, который был принят Рабочей группой по вопросам шума на ее шестьдесят восьмой сессии (ECE/TRANS/WP.29/GRB/2018/10). Изменения выделены жирным шрифтом в случае новых элементов и зачеркиванием в случае исключенных элементов.</w:t>
      </w:r>
    </w:p>
    <w:p w:rsidR="007209D1" w:rsidRDefault="007209D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7209D1" w:rsidRPr="00452E69" w:rsidRDefault="007209D1" w:rsidP="007209D1">
      <w:pPr>
        <w:pStyle w:val="HChGR"/>
      </w:pPr>
      <w:r>
        <w:lastRenderedPageBreak/>
        <w:tab/>
        <w:t>I.</w:t>
      </w:r>
      <w:r>
        <w:tab/>
        <w:t>Предложение</w:t>
      </w:r>
    </w:p>
    <w:p w:rsidR="007209D1" w:rsidRPr="00452E69" w:rsidRDefault="007209D1" w:rsidP="007209D1">
      <w:pPr>
        <w:pStyle w:val="SingleTxtGR"/>
      </w:pPr>
      <w:r w:rsidRPr="007209D1">
        <w:rPr>
          <w:i/>
        </w:rPr>
        <w:t>Включить новый пункт 11.12</w:t>
      </w:r>
      <w:r>
        <w:t xml:space="preserve"> следующего содержания:</w:t>
      </w:r>
    </w:p>
    <w:p w:rsidR="007209D1" w:rsidRPr="00452E69" w:rsidRDefault="007209D1" w:rsidP="007209D1">
      <w:pPr>
        <w:pStyle w:val="SingleTxtGR"/>
        <w:tabs>
          <w:tab w:val="clear" w:pos="1701"/>
        </w:tabs>
        <w:ind w:left="2268" w:hanging="1134"/>
        <w:rPr>
          <w:b/>
        </w:rPr>
      </w:pPr>
      <w:r w:rsidRPr="007209D1">
        <w:rPr>
          <w:bCs/>
        </w:rPr>
        <w:t>«</w:t>
      </w:r>
      <w:r>
        <w:rPr>
          <w:b/>
          <w:bCs/>
        </w:rPr>
        <w:t>11.12</w:t>
      </w:r>
      <w:r>
        <w:tab/>
      </w:r>
      <w:r>
        <w:rPr>
          <w:b/>
          <w:bCs/>
        </w:rPr>
        <w:t>До 1 мая 2020 года дополнение 6 не применяется к существующим официальным утверждениям, первоначально предоставленным до даты вступления в силу дополнения 6</w:t>
      </w:r>
      <w:r w:rsidRPr="007209D1">
        <w:rPr>
          <w:bCs/>
        </w:rPr>
        <w:t>».</w:t>
      </w:r>
    </w:p>
    <w:p w:rsidR="007209D1" w:rsidRPr="00452E69" w:rsidRDefault="007209D1" w:rsidP="007209D1">
      <w:pPr>
        <w:pStyle w:val="SingleTxtGR"/>
      </w:pPr>
      <w:r>
        <w:rPr>
          <w:i/>
          <w:iCs/>
        </w:rPr>
        <w:t>Приложение 3, пункт 3.2.5.3</w:t>
      </w:r>
      <w:r>
        <w:t xml:space="preserve"> изменить следующим образом:</w:t>
      </w:r>
    </w:p>
    <w:p w:rsidR="007209D1" w:rsidRPr="00452E69" w:rsidRDefault="007209D1" w:rsidP="007209D1">
      <w:pPr>
        <w:pStyle w:val="SingleTxtGR"/>
        <w:tabs>
          <w:tab w:val="clear" w:pos="1701"/>
        </w:tabs>
        <w:ind w:left="2268" w:hanging="1134"/>
      </w:pPr>
      <w:r>
        <w:t>«3.2.5.3</w:t>
      </w:r>
      <w:r>
        <w:tab/>
        <w:t xml:space="preserve">Измерение шума вблизи выпускной трубы (см. рис. </w:t>
      </w:r>
      <w:r>
        <w:rPr>
          <w:b/>
          <w:bCs/>
        </w:rPr>
        <w:t xml:space="preserve">3a </w:t>
      </w:r>
      <w:r>
        <w:rPr>
          <w:b/>
          <w:bCs/>
          <w:strike/>
        </w:rPr>
        <w:t>2</w:t>
      </w:r>
      <w:r>
        <w:t xml:space="preserve"> в добавлении к приложению 3)».</w:t>
      </w:r>
    </w:p>
    <w:p w:rsidR="007209D1" w:rsidRPr="00452E69" w:rsidRDefault="007209D1" w:rsidP="007209D1">
      <w:pPr>
        <w:pStyle w:val="SingleTxtGR"/>
      </w:pPr>
      <w:r>
        <w:rPr>
          <w:i/>
          <w:iCs/>
        </w:rPr>
        <w:t>Приложение 3, пункт 3.2.5.3.2.1</w:t>
      </w:r>
      <w:r>
        <w:t xml:space="preserve"> изменить следующим образом:</w:t>
      </w:r>
    </w:p>
    <w:p w:rsidR="007209D1" w:rsidRPr="00452E69" w:rsidRDefault="007209D1" w:rsidP="007209D1">
      <w:pPr>
        <w:pStyle w:val="SingleTxtGR"/>
        <w:tabs>
          <w:tab w:val="clear" w:pos="1701"/>
        </w:tabs>
        <w:ind w:left="2268" w:hanging="1134"/>
      </w:pPr>
      <w:r>
        <w:t>«3.2.5.3.2.1</w:t>
      </w:r>
      <w:r>
        <w:tab/>
        <w:t>Целевая частота вращения двигателя</w:t>
      </w:r>
    </w:p>
    <w:p w:rsidR="007209D1" w:rsidRPr="00452E69" w:rsidRDefault="007209D1" w:rsidP="007209D1">
      <w:pPr>
        <w:pStyle w:val="SingleTxtGR"/>
        <w:tabs>
          <w:tab w:val="clear" w:pos="1701"/>
        </w:tabs>
        <w:ind w:left="2268" w:hanging="1134"/>
      </w:pPr>
      <w:r>
        <w:tab/>
        <w:t>Целевая частота вращения двигателя определяется как:</w:t>
      </w:r>
    </w:p>
    <w:p w:rsidR="007209D1" w:rsidRPr="00452E69" w:rsidRDefault="007209D1" w:rsidP="007209D1">
      <w:pPr>
        <w:pStyle w:val="SingleTxtGR"/>
        <w:tabs>
          <w:tab w:val="clear" w:pos="1701"/>
        </w:tabs>
        <w:ind w:left="2835" w:hanging="1701"/>
      </w:pPr>
      <w:r>
        <w:tab/>
        <w:t>a)</w:t>
      </w:r>
      <w:r>
        <w:tab/>
        <w:t>75% от номинальной частоты вращения двигателя S для транспортных средств с номинальной частотой вращения двигателя ≤ 5</w:t>
      </w:r>
      <w:r>
        <w:rPr>
          <w:lang w:val="en-US"/>
        </w:rPr>
        <w:t> </w:t>
      </w:r>
      <w:r>
        <w:t>000 мин</w:t>
      </w:r>
      <w:r>
        <w:rPr>
          <w:vertAlign w:val="superscript"/>
        </w:rPr>
        <w:t>−1</w:t>
      </w:r>
      <w:r>
        <w:t xml:space="preserve">;  </w:t>
      </w:r>
      <w:r>
        <w:tab/>
      </w:r>
      <w:r>
        <w:tab/>
      </w:r>
      <w:r>
        <w:tab/>
      </w:r>
    </w:p>
    <w:p w:rsidR="007209D1" w:rsidRPr="00452E69" w:rsidRDefault="007209D1" w:rsidP="007209D1">
      <w:pPr>
        <w:pStyle w:val="SingleTxtGR"/>
        <w:tabs>
          <w:tab w:val="clear" w:pos="1701"/>
        </w:tabs>
        <w:ind w:left="2835" w:hanging="1701"/>
      </w:pPr>
      <w:r>
        <w:tab/>
        <w:t>b)</w:t>
      </w:r>
      <w:r>
        <w:tab/>
        <w:t>3 750 мин</w:t>
      </w:r>
      <w:r>
        <w:rPr>
          <w:vertAlign w:val="superscript"/>
        </w:rPr>
        <w:t>−1</w:t>
      </w:r>
      <w:r>
        <w:t xml:space="preserve"> для транспортных средств с номинальной частотой вращения двигателя более 5 000 мин</w:t>
      </w:r>
      <w:r>
        <w:rPr>
          <w:vertAlign w:val="superscript"/>
        </w:rPr>
        <w:t>−1</w:t>
      </w:r>
      <w:r>
        <w:t>, но менее 7 500 мин</w:t>
      </w:r>
      <w:r>
        <w:rPr>
          <w:vertAlign w:val="superscript"/>
        </w:rPr>
        <w:t>−1</w:t>
      </w:r>
      <w:r>
        <w:t xml:space="preserve">; </w:t>
      </w:r>
    </w:p>
    <w:p w:rsidR="007209D1" w:rsidRPr="00452E69" w:rsidRDefault="007209D1" w:rsidP="007209D1">
      <w:pPr>
        <w:pStyle w:val="SingleTxtGR"/>
        <w:tabs>
          <w:tab w:val="clear" w:pos="1701"/>
        </w:tabs>
        <w:ind w:left="2835" w:hanging="1701"/>
      </w:pPr>
      <w:r>
        <w:tab/>
        <w:t>c)</w:t>
      </w:r>
      <w:r>
        <w:tab/>
        <w:t>50% от номинальной частоты вращения двигателя S для транспортных средств с номинальной частотой вращения двигателя ≥ 7</w:t>
      </w:r>
      <w:r>
        <w:rPr>
          <w:lang w:val="en-US"/>
        </w:rPr>
        <w:t> </w:t>
      </w:r>
      <w:r>
        <w:t>500 мин</w:t>
      </w:r>
      <w:r>
        <w:rPr>
          <w:vertAlign w:val="superscript"/>
        </w:rPr>
        <w:t>−1</w:t>
      </w:r>
      <w:r>
        <w:t xml:space="preserve">.  </w:t>
      </w:r>
      <w:r>
        <w:tab/>
      </w:r>
      <w:r>
        <w:tab/>
      </w:r>
      <w:r>
        <w:tab/>
      </w:r>
    </w:p>
    <w:p w:rsidR="007209D1" w:rsidRPr="00452E69" w:rsidRDefault="007209D1" w:rsidP="007209D1">
      <w:pPr>
        <w:pStyle w:val="SingleTxtGR"/>
        <w:tabs>
          <w:tab w:val="clear" w:pos="1701"/>
        </w:tabs>
        <w:ind w:left="2268" w:hanging="1134"/>
      </w:pPr>
      <w:r>
        <w:tab/>
        <w:t>Если транспортное средство не может достичь указанной выше частоты вращения двигателя, то целевая частота вращения двигателя должна быть на 5% меньше максимально возможной частоты вращения двигателя для данного испытания в неподвижном состоянии.</w:t>
      </w:r>
    </w:p>
    <w:p w:rsidR="007209D1" w:rsidRPr="00452E69" w:rsidRDefault="007209D1" w:rsidP="007209D1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  <w:bCs/>
        </w:rPr>
        <w:tab/>
        <w:t xml:space="preserve">В случае транспортных средств с постоянной частотой вращения двигателя (например, в частности, в случае транспортных средств с последовательным гибридным приводом), которая либо выше, либо ниже целевой частоты вращения двигателя и которая не может быть отрегулирована с помощью акселератора, испытание проводят </w:t>
      </w:r>
      <w:r>
        <w:rPr>
          <w:b/>
          <w:bCs/>
          <w:lang w:val="en-US"/>
        </w:rPr>
        <w:t>c</w:t>
      </w:r>
      <w:r>
        <w:rPr>
          <w:b/>
          <w:bCs/>
        </w:rPr>
        <w:t xml:space="preserve"> постоянной частотой вращения двигателя</w:t>
      </w:r>
      <w:r w:rsidRPr="007209D1">
        <w:rPr>
          <w:bCs/>
        </w:rPr>
        <w:t>».</w:t>
      </w:r>
      <w:r>
        <w:t xml:space="preserve">   </w:t>
      </w:r>
    </w:p>
    <w:p w:rsidR="007209D1" w:rsidRPr="00452E69" w:rsidRDefault="007209D1" w:rsidP="007209D1">
      <w:pPr>
        <w:pStyle w:val="SingleTxtG"/>
        <w:rPr>
          <w:lang w:val="ru-RU"/>
        </w:rPr>
      </w:pPr>
      <w:r>
        <w:rPr>
          <w:i/>
          <w:iCs/>
          <w:lang w:val="ru-RU"/>
        </w:rPr>
        <w:t>Приложение 3, пункт 3.2.6</w:t>
      </w:r>
      <w:r>
        <w:rPr>
          <w:lang w:val="ru-RU"/>
        </w:rPr>
        <w:t xml:space="preserve"> изменить следующим образом:</w:t>
      </w:r>
    </w:p>
    <w:p w:rsidR="007209D1" w:rsidRPr="00452E69" w:rsidRDefault="007209D1" w:rsidP="007209D1">
      <w:pPr>
        <w:pStyle w:val="SingleTxtG"/>
        <w:rPr>
          <w:lang w:val="ru-RU"/>
        </w:rPr>
      </w:pPr>
      <w:r>
        <w:rPr>
          <w:lang w:val="ru-RU"/>
        </w:rPr>
        <w:t>«3.2.6</w:t>
      </w:r>
      <w:r>
        <w:rPr>
          <w:lang w:val="ru-RU"/>
        </w:rPr>
        <w:tab/>
      </w:r>
      <w:r>
        <w:rPr>
          <w:lang w:val="ru-RU"/>
        </w:rPr>
        <w:tab/>
        <w:t>Результаты</w:t>
      </w:r>
      <w:r>
        <w:rPr>
          <w:lang w:val="ru-RU"/>
        </w:rPr>
        <w:tab/>
      </w:r>
    </w:p>
    <w:p w:rsidR="007209D1" w:rsidRPr="00452E69" w:rsidRDefault="007209D1" w:rsidP="007209D1">
      <w:pPr>
        <w:pStyle w:val="SingleTxtGR"/>
        <w:tabs>
          <w:tab w:val="clear" w:pos="1701"/>
        </w:tabs>
        <w:ind w:left="2268" w:hanging="1134"/>
      </w:pPr>
      <w:r>
        <w:tab/>
        <w:t xml:space="preserve">Проводят не менее трех измерений в каждом испытательном положении </w:t>
      </w:r>
      <w:r>
        <w:rPr>
          <w:b/>
          <w:bCs/>
        </w:rPr>
        <w:t>(для каждого выходного отверстия)</w:t>
      </w:r>
      <w:r>
        <w:t xml:space="preserve">. Регистрируют максимальный уровень давления звука по шкале А, указанный в ходе каждого из трех измерений. Для определения окончательного результата в данном положении, в котором проводилось измерение, используют первые три зачетных результата последовательных измерений в пределах 2 дБ(А), за исключением незачетных результатов (см. пункт 2.1, кроме технических требований к испытательной площадке). </w:t>
      </w:r>
      <w:r>
        <w:tab/>
      </w:r>
    </w:p>
    <w:p w:rsidR="007209D1" w:rsidRPr="00452E69" w:rsidRDefault="007209D1" w:rsidP="007209D1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  <w:bCs/>
        </w:rPr>
        <w:tab/>
        <w:t xml:space="preserve">Результатом для каждого из выходных отверстий является среднее арифметическое значение трех действительных измерений, округленное до ближайшего целого числа (например, 72,5 округляется до 73, а 72,4 </w:t>
      </w:r>
      <w:r w:rsidRPr="003226D3">
        <w:rPr>
          <w:b/>
          <w:bCs/>
        </w:rPr>
        <w:t>–</w:t>
      </w:r>
      <w:r>
        <w:rPr>
          <w:b/>
          <w:bCs/>
        </w:rPr>
        <w:t xml:space="preserve"> до 72).</w:t>
      </w:r>
      <w:r>
        <w:tab/>
      </w:r>
    </w:p>
    <w:p w:rsidR="007209D1" w:rsidRPr="00452E69" w:rsidRDefault="007209D1" w:rsidP="007209D1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  <w:bCs/>
        </w:rPr>
        <w:tab/>
        <w:t>В случае транспортных средств, оснащенных системой выпуска с несколькими выходными отверстиями, регистрации подлежат данные по тому отверстию, на котором был зафиксирован самый высокий средний уровень давления звука.</w:t>
      </w:r>
    </w:p>
    <w:p w:rsidR="007209D1" w:rsidRPr="00452E69" w:rsidRDefault="007209D1" w:rsidP="007209D1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  <w:bCs/>
        </w:rPr>
        <w:tab/>
        <w:t xml:space="preserve">В случае транспортных средств, оснащенных системой выпуска с различными режимами работы и устройством ручного </w:t>
      </w:r>
      <w:r>
        <w:rPr>
          <w:b/>
          <w:bCs/>
        </w:rPr>
        <w:lastRenderedPageBreak/>
        <w:t>переключения режимов выпуска, полученные данные регистрируются по тому режиму, в котором был зафиксирован самый высокий средний уровень давления звука.</w:t>
      </w:r>
    </w:p>
    <w:p w:rsidR="00E12C5F" w:rsidRDefault="007209D1" w:rsidP="007209D1">
      <w:pPr>
        <w:pStyle w:val="SingleTxtGR"/>
        <w:tabs>
          <w:tab w:val="clear" w:pos="1701"/>
        </w:tabs>
        <w:ind w:left="2268" w:hanging="1134"/>
      </w:pPr>
      <w:r>
        <w:tab/>
      </w:r>
      <w:r>
        <w:rPr>
          <w:b/>
          <w:bCs/>
          <w:strike/>
        </w:rPr>
        <w:t>За окончательный результат принимают максимальный уровень звука во всех положениях, в которых проводились измерения, и с учетом трех результатов измерений.</w:t>
      </w:r>
    </w:p>
    <w:p w:rsidR="007209D1" w:rsidRPr="007209D1" w:rsidRDefault="007209D1" w:rsidP="007209D1">
      <w:pPr>
        <w:pStyle w:val="HChGR"/>
      </w:pPr>
      <w:r>
        <w:tab/>
      </w:r>
      <w:r w:rsidRPr="007209D1">
        <w:t>II.</w:t>
      </w:r>
      <w:r w:rsidRPr="007209D1">
        <w:tab/>
        <w:t>Обоснование</w:t>
      </w:r>
    </w:p>
    <w:p w:rsidR="007209D1" w:rsidRPr="007209D1" w:rsidRDefault="007209D1" w:rsidP="007209D1">
      <w:pPr>
        <w:pStyle w:val="SingleTxtGR"/>
        <w:rPr>
          <w:i/>
        </w:rPr>
      </w:pPr>
      <w:r w:rsidRPr="007209D1">
        <w:rPr>
          <w:i/>
        </w:rPr>
        <w:t xml:space="preserve">Основная часть, пункт 11.12  </w:t>
      </w:r>
    </w:p>
    <w:p w:rsidR="007209D1" w:rsidRPr="007209D1" w:rsidRDefault="007209D1" w:rsidP="007209D1">
      <w:pPr>
        <w:pStyle w:val="SingleTxtGR"/>
      </w:pPr>
      <w:proofErr w:type="gramStart"/>
      <w:r w:rsidRPr="007209D1">
        <w:t>1.</w:t>
      </w:r>
      <w:r w:rsidRPr="007209D1">
        <w:tab/>
        <w:t>С</w:t>
      </w:r>
      <w:proofErr w:type="gramEnd"/>
      <w:r w:rsidRPr="007209D1">
        <w:t xml:space="preserve"> учетом Пересмотра 3 Соглашения 1958 года, а также переходных положений дополнения 3 необходимо также ввести переходные положения </w:t>
      </w:r>
      <w:r>
        <w:t>в дополнение 6. В </w:t>
      </w:r>
      <w:r w:rsidRPr="007209D1">
        <w:t>дополнении 6 указана та же дата применения, что и в дополнении 3.</w:t>
      </w:r>
    </w:p>
    <w:p w:rsidR="007209D1" w:rsidRPr="007209D1" w:rsidRDefault="007209D1" w:rsidP="007209D1">
      <w:pPr>
        <w:pStyle w:val="SingleTxtGR"/>
        <w:rPr>
          <w:i/>
        </w:rPr>
      </w:pPr>
      <w:r w:rsidRPr="007209D1">
        <w:rPr>
          <w:i/>
          <w:iCs/>
        </w:rPr>
        <w:t>Приложение 3, пункт 3.2.5.3</w:t>
      </w:r>
    </w:p>
    <w:p w:rsidR="007209D1" w:rsidRPr="007209D1" w:rsidRDefault="007209D1" w:rsidP="007209D1">
      <w:pPr>
        <w:pStyle w:val="SingleTxtGR"/>
      </w:pPr>
      <w:r w:rsidRPr="007209D1">
        <w:t>2.</w:t>
      </w:r>
      <w:r w:rsidRPr="007209D1">
        <w:tab/>
        <w:t xml:space="preserve">Была исправлена ссылка на соответствующий рисунок.  </w:t>
      </w:r>
    </w:p>
    <w:p w:rsidR="007209D1" w:rsidRPr="007209D1" w:rsidRDefault="007209D1" w:rsidP="007209D1">
      <w:pPr>
        <w:pStyle w:val="SingleTxtGR"/>
        <w:rPr>
          <w:i/>
        </w:rPr>
      </w:pPr>
      <w:r w:rsidRPr="007209D1">
        <w:rPr>
          <w:i/>
          <w:iCs/>
        </w:rPr>
        <w:t>Приложение 3, пункт 3.2.5.3.2.1</w:t>
      </w:r>
    </w:p>
    <w:p w:rsidR="007209D1" w:rsidRPr="007209D1" w:rsidRDefault="007209D1" w:rsidP="007209D1">
      <w:pPr>
        <w:pStyle w:val="SingleTxtGR"/>
      </w:pPr>
      <w:r w:rsidRPr="007209D1">
        <w:t>3.</w:t>
      </w:r>
      <w:r w:rsidRPr="007209D1">
        <w:tab/>
        <w:t>Для любого транспортного средства с двигателем внутреннего сгорания, который может работать, когда это транспортное средство находится в неподвижном состоянии, должен быть предусмотрен действительный режим испытания на шум в неподвижном состоянии. Некоторые транспортные средства не могут достичь целевой частоты вращения двигателя ввиду технологий, использованных в этих транспортных средствах, например электромобили (ЭМ) с увеличенным запасом хода или гибридные электромобили (ГЭМ), в которых двигатель выполняет функцию электрического генератора. Для такого рода транспортных средств было включено положение, позволяющее определить надлежащие условия для испытания в неподвижном состоянии.</w:t>
      </w:r>
    </w:p>
    <w:p w:rsidR="007209D1" w:rsidRPr="007209D1" w:rsidRDefault="007209D1" w:rsidP="007209D1">
      <w:pPr>
        <w:pStyle w:val="SingleTxtGR"/>
        <w:rPr>
          <w:i/>
        </w:rPr>
      </w:pPr>
      <w:r w:rsidRPr="007209D1">
        <w:rPr>
          <w:i/>
          <w:iCs/>
        </w:rPr>
        <w:t>Приложение 3, пункт 3.2.6</w:t>
      </w:r>
      <w:r w:rsidRPr="007209D1">
        <w:t xml:space="preserve"> </w:t>
      </w:r>
    </w:p>
    <w:p w:rsidR="007209D1" w:rsidRDefault="007209D1" w:rsidP="007209D1">
      <w:pPr>
        <w:pStyle w:val="SingleTxtGR"/>
      </w:pPr>
      <w:r w:rsidRPr="007209D1">
        <w:t>4.</w:t>
      </w:r>
      <w:r w:rsidRPr="007209D1">
        <w:tab/>
        <w:t>Были уточнены положения, касающиеся результата измерения по каждому выходному отверстию и регистрации результатов для систем выпуска с несколькими выходными отверстиями и режимами работы. Был включен пересмотренный текст, касающийся расчета окончательного результата и обработки результатов, в целях согласования с общей практикой, касающейся измерения звука и усреднения результатов, как это предусмотрено в Правилах № 51 ООН для испытаний, проводимых в движении, а также с положениями об испытании в неподвижном состоянии, содержащимися в других правилах ООН, таких как правила № 9 и 41 ООН, и стандартов ИСО.</w:t>
      </w:r>
    </w:p>
    <w:p w:rsidR="007209D1" w:rsidRPr="007209D1" w:rsidRDefault="007209D1" w:rsidP="007209D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09D1" w:rsidRPr="007209D1" w:rsidSect="007209D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FF" w:rsidRPr="00A312BC" w:rsidRDefault="009E5CFF" w:rsidP="00A312BC"/>
  </w:endnote>
  <w:endnote w:type="continuationSeparator" w:id="0">
    <w:p w:rsidR="009E5CFF" w:rsidRPr="00A312BC" w:rsidRDefault="009E5C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D1" w:rsidRPr="007209D1" w:rsidRDefault="007209D1">
    <w:pPr>
      <w:pStyle w:val="Footer"/>
    </w:pPr>
    <w:r w:rsidRPr="007209D1">
      <w:rPr>
        <w:b/>
        <w:sz w:val="18"/>
      </w:rPr>
      <w:fldChar w:fldCharType="begin"/>
    </w:r>
    <w:r w:rsidRPr="007209D1">
      <w:rPr>
        <w:b/>
        <w:sz w:val="18"/>
      </w:rPr>
      <w:instrText xml:space="preserve"> PAGE  \* MERGEFORMAT </w:instrText>
    </w:r>
    <w:r w:rsidRPr="007209D1">
      <w:rPr>
        <w:b/>
        <w:sz w:val="18"/>
      </w:rPr>
      <w:fldChar w:fldCharType="separate"/>
    </w:r>
    <w:r w:rsidR="00180F69">
      <w:rPr>
        <w:b/>
        <w:noProof/>
        <w:sz w:val="18"/>
      </w:rPr>
      <w:t>2</w:t>
    </w:r>
    <w:r w:rsidRPr="007209D1">
      <w:rPr>
        <w:b/>
        <w:sz w:val="18"/>
      </w:rPr>
      <w:fldChar w:fldCharType="end"/>
    </w:r>
    <w:r>
      <w:rPr>
        <w:b/>
        <w:sz w:val="18"/>
      </w:rPr>
      <w:tab/>
    </w:r>
    <w:r>
      <w:t>GE.18-19185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D1" w:rsidRPr="007209D1" w:rsidRDefault="007209D1" w:rsidP="007209D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GE.18-19185</w:t>
    </w:r>
    <w:r>
      <w:tab/>
    </w:r>
    <w:r w:rsidRPr="007209D1">
      <w:rPr>
        <w:b/>
        <w:sz w:val="18"/>
      </w:rPr>
      <w:fldChar w:fldCharType="begin"/>
    </w:r>
    <w:r w:rsidRPr="007209D1">
      <w:rPr>
        <w:b/>
        <w:sz w:val="18"/>
      </w:rPr>
      <w:instrText xml:space="preserve"> PAGE  \* MERGEFORMAT </w:instrText>
    </w:r>
    <w:r w:rsidRPr="007209D1">
      <w:rPr>
        <w:b/>
        <w:sz w:val="18"/>
      </w:rPr>
      <w:fldChar w:fldCharType="separate"/>
    </w:r>
    <w:r w:rsidR="00180F69">
      <w:rPr>
        <w:b/>
        <w:noProof/>
        <w:sz w:val="18"/>
      </w:rPr>
      <w:t>3</w:t>
    </w:r>
    <w:r w:rsidRPr="007209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209D1" w:rsidRDefault="007209D1" w:rsidP="007209D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19185  (</w:t>
    </w:r>
    <w:proofErr w:type="gramEnd"/>
    <w:r>
      <w:t>R)</w:t>
    </w:r>
    <w:r>
      <w:rPr>
        <w:lang w:val="en-US"/>
      </w:rPr>
      <w:t xml:space="preserve">  041218  041218</w:t>
    </w:r>
    <w:r>
      <w:br/>
    </w:r>
    <w:r w:rsidRPr="007209D1">
      <w:rPr>
        <w:rFonts w:ascii="C39T30Lfz" w:hAnsi="C39T30Lfz"/>
        <w:kern w:val="14"/>
        <w:sz w:val="56"/>
      </w:rPr>
      <w:t></w:t>
    </w:r>
    <w:r w:rsidRPr="007209D1">
      <w:rPr>
        <w:rFonts w:ascii="C39T30Lfz" w:hAnsi="C39T30Lfz"/>
        <w:kern w:val="14"/>
        <w:sz w:val="56"/>
      </w:rPr>
      <w:t></w:t>
    </w:r>
    <w:r w:rsidRPr="007209D1">
      <w:rPr>
        <w:rFonts w:ascii="C39T30Lfz" w:hAnsi="C39T30Lfz"/>
        <w:kern w:val="14"/>
        <w:sz w:val="56"/>
      </w:rPr>
      <w:t></w:t>
    </w:r>
    <w:r w:rsidRPr="007209D1">
      <w:rPr>
        <w:rFonts w:ascii="C39T30Lfz" w:hAnsi="C39T30Lfz"/>
        <w:kern w:val="14"/>
        <w:sz w:val="56"/>
      </w:rPr>
      <w:t></w:t>
    </w:r>
    <w:r w:rsidRPr="007209D1">
      <w:rPr>
        <w:rFonts w:ascii="C39T30Lfz" w:hAnsi="C39T30Lfz"/>
        <w:kern w:val="14"/>
        <w:sz w:val="56"/>
      </w:rPr>
      <w:t></w:t>
    </w:r>
    <w:r w:rsidRPr="007209D1">
      <w:rPr>
        <w:rFonts w:ascii="C39T30Lfz" w:hAnsi="C39T30Lfz"/>
        <w:kern w:val="14"/>
        <w:sz w:val="56"/>
      </w:rPr>
      <w:t></w:t>
    </w:r>
    <w:r w:rsidRPr="007209D1">
      <w:rPr>
        <w:rFonts w:ascii="C39T30Lfz" w:hAnsi="C39T30Lfz"/>
        <w:kern w:val="14"/>
        <w:sz w:val="56"/>
      </w:rPr>
      <w:t></w:t>
    </w:r>
    <w:r w:rsidRPr="007209D1">
      <w:rPr>
        <w:rFonts w:ascii="C39T30Lfz" w:hAnsi="C39T30Lfz"/>
        <w:kern w:val="14"/>
        <w:sz w:val="56"/>
      </w:rPr>
      <w:t></w:t>
    </w:r>
    <w:r w:rsidRPr="007209D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/2019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FF" w:rsidRPr="001075E9" w:rsidRDefault="009E5C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5CFF" w:rsidRDefault="009E5C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209D1" w:rsidRPr="002232AF" w:rsidRDefault="007209D1" w:rsidP="007209D1">
      <w:pPr>
        <w:pStyle w:val="FootnoteText"/>
      </w:pPr>
      <w:r>
        <w:tab/>
      </w:r>
      <w:r w:rsidRPr="007209D1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D1" w:rsidRPr="007209D1" w:rsidRDefault="0039221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80F69">
      <w:t>ECE/TRANS/WP.29/GRB/2019/10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D1" w:rsidRPr="007209D1" w:rsidRDefault="00392210" w:rsidP="007209D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80F69">
      <w:t>ECE/TRANS/WP.29/GRB/2019/10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F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0F69"/>
    <w:rsid w:val="0018649F"/>
    <w:rsid w:val="00196389"/>
    <w:rsid w:val="001B3EF6"/>
    <w:rsid w:val="001B454A"/>
    <w:rsid w:val="001C7A89"/>
    <w:rsid w:val="00207BA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2210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09D1"/>
    <w:rsid w:val="00734ACB"/>
    <w:rsid w:val="00757357"/>
    <w:rsid w:val="007651C1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9E5CFF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449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901799-D9CD-459A-BCDE-E38BA4B3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7209D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styleId="BlockText">
    <w:name w:val="Block Text"/>
    <w:basedOn w:val="Normal"/>
    <w:semiHidden/>
    <w:rsid w:val="007209D1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7209D1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qFormat/>
    <w:rsid w:val="007209D1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209D1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09D1"/>
    <w:pPr>
      <w:ind w:left="708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ECE/TRANS/WP.29/GRB/2019/10</vt:lpstr>
      <vt:lpstr>ECE/TRANS/WP.29/GRB/2019/10</vt:lpstr>
      <vt:lpstr>A/</vt:lpstr>
    </vt:vector>
  </TitlesOfParts>
  <Company>DCM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ECE/TRANS/WP.29/GRB/2019/10</dc:title>
  <dc:subject/>
  <dc:creator>Marina KOROTKOVA</dc:creator>
  <cp:keywords/>
  <cp:lastModifiedBy>Benedicte Boudol</cp:lastModifiedBy>
  <cp:revision>2</cp:revision>
  <cp:lastPrinted>2018-12-04T09:30:00Z</cp:lastPrinted>
  <dcterms:created xsi:type="dcterms:W3CDTF">2018-12-06T12:00:00Z</dcterms:created>
  <dcterms:modified xsi:type="dcterms:W3CDTF">2018-12-06T12:00:00Z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