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09F0D" w14:textId="77777777" w:rsidR="009778F3" w:rsidRPr="009778F3" w:rsidRDefault="009778F3" w:rsidP="009778F3">
      <w:pPr>
        <w:spacing w:before="0" w:beforeAutospacing="0" w:after="0" w:afterAutospacing="0"/>
        <w:contextualSpacing/>
        <w:jc w:val="center"/>
        <w:rPr>
          <w:b/>
        </w:rPr>
      </w:pPr>
      <w:r w:rsidRPr="009778F3">
        <w:rPr>
          <w:b/>
        </w:rPr>
        <w:t>Terms of Reference</w:t>
      </w:r>
    </w:p>
    <w:p w14:paraId="544AA8D7" w14:textId="0CBF1C24" w:rsidR="009778F3" w:rsidRPr="009778F3" w:rsidRDefault="009778F3" w:rsidP="00576F99">
      <w:pPr>
        <w:spacing w:before="0" w:beforeAutospacing="0" w:after="0" w:afterAutospacing="0"/>
        <w:contextualSpacing/>
        <w:jc w:val="center"/>
        <w:rPr>
          <w:b/>
        </w:rPr>
      </w:pPr>
      <w:r w:rsidRPr="009778F3">
        <w:rPr>
          <w:b/>
        </w:rPr>
        <w:t>Informal Working Group on ITS (IWG on ITS)</w:t>
      </w:r>
    </w:p>
    <w:p w14:paraId="71616086" w14:textId="69803DB1" w:rsidR="00B330E0" w:rsidRPr="00AD7862" w:rsidRDefault="00F22FCA" w:rsidP="00F22FCA">
      <w:pPr>
        <w:rPr>
          <w:b/>
        </w:rPr>
      </w:pPr>
      <w:r w:rsidRPr="00AD7862">
        <w:rPr>
          <w:b/>
        </w:rPr>
        <w:t>Background</w:t>
      </w:r>
    </w:p>
    <w:p w14:paraId="37AC84AF" w14:textId="27B2B12E" w:rsidR="00F22FCA" w:rsidRDefault="00F22FCA" w:rsidP="00E753A8">
      <w:pPr>
        <w:pStyle w:val="ListParagraph"/>
      </w:pPr>
      <w:r w:rsidRPr="00F22FCA">
        <w:t>Intelligent Transport Systems (ITS) are</w:t>
      </w:r>
      <w:r>
        <w:t xml:space="preserve"> generally</w:t>
      </w:r>
      <w:r w:rsidRPr="00F22FCA">
        <w:t xml:space="preserve"> understood as</w:t>
      </w:r>
      <w:r>
        <w:t xml:space="preserve"> </w:t>
      </w:r>
      <w:r w:rsidRPr="00F22FCA">
        <w:t>systems in which information and communication technologies are applied in the field of road transport, including infrastructure, vehicles and users, and in traffic management and mobility management, as well as for interfaces with other modes of transport.</w:t>
      </w:r>
      <w:r>
        <w:rPr>
          <w:rStyle w:val="FootnoteReference"/>
        </w:rPr>
        <w:footnoteReference w:id="2"/>
      </w:r>
    </w:p>
    <w:p w14:paraId="59CC5211" w14:textId="421F8541" w:rsidR="00F22FCA" w:rsidRDefault="00F22FCA" w:rsidP="00E753A8">
      <w:pPr>
        <w:pStyle w:val="ListParagraph"/>
      </w:pPr>
      <w:r>
        <w:t xml:space="preserve">In 2002, WP.29 established an Informal Working Group on ITS to consider these technologies and systems </w:t>
      </w:r>
      <w:r w:rsidR="002838CA">
        <w:t>in terms of motor-vehicle performance.</w:t>
      </w:r>
    </w:p>
    <w:p w14:paraId="4E47E89A" w14:textId="51A22BCC" w:rsidR="002838CA" w:rsidRDefault="002838CA" w:rsidP="00E753A8">
      <w:pPr>
        <w:pStyle w:val="ListParagraph"/>
      </w:pPr>
      <w:r>
        <w:t xml:space="preserve">During 2002-2013, the ITS informal group focused on </w:t>
      </w:r>
      <w:r w:rsidR="00015535">
        <w:t xml:space="preserve">the </w:t>
      </w:r>
      <w:r>
        <w:t xml:space="preserve">driver-assistance technologies </w:t>
      </w:r>
      <w:r w:rsidR="00015535">
        <w:t xml:space="preserve">entering </w:t>
      </w:r>
      <w:r>
        <w:t>the market and human-machine inter</w:t>
      </w:r>
      <w:r w:rsidR="00015535">
        <w:t>action</w:t>
      </w:r>
      <w:r>
        <w:t xml:space="preserve"> issues, resulting in guidelines for high-priority/safety-critical warnings and on Advanced Driver Assistance Systems (ADAS).</w:t>
      </w:r>
    </w:p>
    <w:p w14:paraId="5F074F1B" w14:textId="4F543698" w:rsidR="002838CA" w:rsidRDefault="002838CA" w:rsidP="00E753A8">
      <w:pPr>
        <w:pStyle w:val="ListParagraph"/>
      </w:pPr>
      <w:r>
        <w:t>As these technologies and systems advanced, the informal group shifted its attention towards automated driving systems (ADS). During 2014-2018, th</w:t>
      </w:r>
      <w:r w:rsidR="00764932">
        <w:t>e</w:t>
      </w:r>
      <w:r>
        <w:t xml:space="preserve"> ITS/Automated Driving (ITS/AD) informal group</w:t>
      </w:r>
      <w:r w:rsidR="00E31F4E">
        <w:t xml:space="preserve"> considered the intersection of automated driving and traffic rules, developed definitions for automated driving terms and concepts, and proposed recommendations along with draft regulatory texts to address cybersecurity and software integrity.</w:t>
      </w:r>
    </w:p>
    <w:p w14:paraId="292938A7" w14:textId="451EDC10" w:rsidR="00E31F4E" w:rsidRDefault="00276CCB" w:rsidP="00E753A8">
      <w:pPr>
        <w:pStyle w:val="ListParagraph"/>
      </w:pPr>
      <w:proofErr w:type="gramStart"/>
      <w:r>
        <w:t>In light of</w:t>
      </w:r>
      <w:proofErr w:type="gramEnd"/>
      <w:r>
        <w:t xml:space="preserve"> rapid advances in automated driving technologies, WP.29 </w:t>
      </w:r>
      <w:r w:rsidR="0052362D">
        <w:t xml:space="preserve">decided in 2018 to convert its </w:t>
      </w:r>
      <w:r w:rsidR="00764932">
        <w:t xml:space="preserve">subsidiary </w:t>
      </w:r>
      <w:r w:rsidR="0052362D">
        <w:t xml:space="preserve">Working Party on Brakes and Running Gear (GRRF) into a </w:t>
      </w:r>
      <w:r w:rsidR="00764932">
        <w:t xml:space="preserve">subsidiary </w:t>
      </w:r>
      <w:r w:rsidR="0052362D">
        <w:t>Working Party of Automated/Autonomous and Connected Vehicles (GRVA)</w:t>
      </w:r>
      <w:r w:rsidR="00015535">
        <w:t xml:space="preserve">. This </w:t>
      </w:r>
      <w:r w:rsidR="0052362D">
        <w:t>anticipat</w:t>
      </w:r>
      <w:r w:rsidR="00015535">
        <w:t>ed</w:t>
      </w:r>
      <w:r w:rsidR="0052362D">
        <w:t xml:space="preserve"> the transformative effect automation </w:t>
      </w:r>
      <w:r w:rsidR="00015535">
        <w:t xml:space="preserve">is expected to </w:t>
      </w:r>
      <w:r w:rsidR="0052362D">
        <w:t xml:space="preserve">have on </w:t>
      </w:r>
      <w:r w:rsidR="00015535">
        <w:t>the basic vehicle control</w:t>
      </w:r>
      <w:r w:rsidR="00764932">
        <w:t>s</w:t>
      </w:r>
      <w:r w:rsidR="00015535">
        <w:t xml:space="preserve"> of </w:t>
      </w:r>
      <w:r w:rsidR="0052362D">
        <w:t>braking</w:t>
      </w:r>
      <w:r w:rsidR="00764932">
        <w:t xml:space="preserve"> &amp;</w:t>
      </w:r>
      <w:r w:rsidR="00DA7067">
        <w:t xml:space="preserve"> </w:t>
      </w:r>
      <w:r w:rsidR="0052362D">
        <w:t>steering</w:t>
      </w:r>
      <w:r w:rsidR="00764932">
        <w:t>,</w:t>
      </w:r>
      <w:r w:rsidR="0052362D">
        <w:t xml:space="preserve"> and related systems</w:t>
      </w:r>
      <w:r w:rsidR="00015535">
        <w:t>, and the changing role of the driver</w:t>
      </w:r>
      <w:r w:rsidR="0052362D">
        <w:t>.</w:t>
      </w:r>
    </w:p>
    <w:p w14:paraId="5FCA4CBE" w14:textId="528B6D29" w:rsidR="00054A0B" w:rsidRDefault="00054A0B" w:rsidP="00E753A8">
      <w:pPr>
        <w:pStyle w:val="ListParagraph"/>
      </w:pPr>
      <w:r>
        <w:lastRenderedPageBreak/>
        <w:t>As a result, GRVA assumed responsibility for the A</w:t>
      </w:r>
      <w:r w:rsidR="00015535">
        <w:t xml:space="preserve">utomated </w:t>
      </w:r>
      <w:r>
        <w:t>D</w:t>
      </w:r>
      <w:r w:rsidR="00015535">
        <w:t>riving</w:t>
      </w:r>
      <w:r>
        <w:t xml:space="preserve"> activities</w:t>
      </w:r>
      <w:r w:rsidR="00015535">
        <w:t xml:space="preserve"> formerly overseen by </w:t>
      </w:r>
      <w:r w:rsidR="004E2DAC">
        <w:t xml:space="preserve">the ITS/AD </w:t>
      </w:r>
      <w:r w:rsidR="00764932">
        <w:t>informal group.</w:t>
      </w:r>
    </w:p>
    <w:p w14:paraId="2057B204" w14:textId="1B9352C8" w:rsidR="0052362D" w:rsidRDefault="0052362D" w:rsidP="00E753A8">
      <w:pPr>
        <w:pStyle w:val="ListParagraph"/>
      </w:pPr>
      <w:r>
        <w:t xml:space="preserve">Nonetheless, as noted above, </w:t>
      </w:r>
      <w:r w:rsidR="00764932">
        <w:t xml:space="preserve">Intelligent </w:t>
      </w:r>
      <w:r>
        <w:t>T</w:t>
      </w:r>
      <w:r w:rsidR="00764932">
        <w:t xml:space="preserve">ransport </w:t>
      </w:r>
      <w:r>
        <w:t>S</w:t>
      </w:r>
      <w:r w:rsidR="00764932">
        <w:t>ystems</w:t>
      </w:r>
      <w:r>
        <w:t xml:space="preserve"> extend beyond the scope of WP.29’s focus on the regulation of vehicle</w:t>
      </w:r>
      <w:r w:rsidR="00764932">
        <w:t>s</w:t>
      </w:r>
      <w:r>
        <w:t xml:space="preserve"> to intersect with traffic rules, road infrastructure, and communications technologies.</w:t>
      </w:r>
    </w:p>
    <w:p w14:paraId="0264C7FB" w14:textId="40142E6C" w:rsidR="000C6B94" w:rsidRDefault="00054A0B" w:rsidP="00E753A8">
      <w:pPr>
        <w:pStyle w:val="ListParagraph"/>
      </w:pPr>
      <w:r>
        <w:t>Recognizing these important interrelationships</w:t>
      </w:r>
      <w:r w:rsidR="0052362D">
        <w:t xml:space="preserve">, WP.1 and WP.29 </w:t>
      </w:r>
      <w:r w:rsidR="000C6B94">
        <w:t>have embarked upon closer collaboration and joint activities</w:t>
      </w:r>
      <w:r w:rsidR="00764932">
        <w:t>,</w:t>
      </w:r>
      <w:r w:rsidR="000C6B94">
        <w:t xml:space="preserve"> and WP.29 discussions have noted external activities relevant to its efforts.</w:t>
      </w:r>
    </w:p>
    <w:p w14:paraId="50D9CFED" w14:textId="7EB597A3" w:rsidR="0052362D" w:rsidRDefault="000C6B94" w:rsidP="00E753A8">
      <w:pPr>
        <w:pStyle w:val="ListParagraph"/>
      </w:pPr>
      <w:r>
        <w:t xml:space="preserve">Therefore, </w:t>
      </w:r>
      <w:r w:rsidR="005111A2">
        <w:t xml:space="preserve">pursuant to WP.29 discussions, </w:t>
      </w:r>
      <w:r>
        <w:t>this document proposes a third phase</w:t>
      </w:r>
      <w:r w:rsidR="005111A2">
        <w:t xml:space="preserve"> of work</w:t>
      </w:r>
      <w:r>
        <w:t xml:space="preserve"> under the ITS informal working group to </w:t>
      </w:r>
      <w:r w:rsidR="00D03B3F">
        <w:t>facilitate</w:t>
      </w:r>
      <w:r>
        <w:t xml:space="preserve"> WP.29 outreach to other UNECE groups and external organizations</w:t>
      </w:r>
      <w:r w:rsidR="00764932">
        <w:t xml:space="preserve"> so as to </w:t>
      </w:r>
      <w:r>
        <w:t xml:space="preserve">ensure WP.29 awareness of </w:t>
      </w:r>
      <w:r w:rsidR="005111A2">
        <w:t>developments</w:t>
      </w:r>
      <w:r>
        <w:t xml:space="preserve"> relevant to its role in the regulation of motor-vehicle performance</w:t>
      </w:r>
      <w:r w:rsidR="00764932">
        <w:t>, and to ensure th</w:t>
      </w:r>
      <w:r w:rsidR="00E75CC6">
        <w:t xml:space="preserve">ose </w:t>
      </w:r>
      <w:r w:rsidR="00764932">
        <w:t>other organizations and institutions are aware of WP</w:t>
      </w:r>
      <w:r w:rsidR="009F22DA">
        <w:t>.</w:t>
      </w:r>
      <w:r w:rsidR="00764932">
        <w:t xml:space="preserve">29, its role and responsibilities in this </w:t>
      </w:r>
      <w:r w:rsidR="00BC0927">
        <w:t>important area</w:t>
      </w:r>
      <w:r>
        <w:t>.</w:t>
      </w:r>
    </w:p>
    <w:p w14:paraId="27A791C9" w14:textId="4F3C1573" w:rsidR="00FD60B1" w:rsidRDefault="00E753A8" w:rsidP="002838CA">
      <w:pPr>
        <w:rPr>
          <w:b/>
        </w:rPr>
      </w:pPr>
      <w:r>
        <w:rPr>
          <w:b/>
        </w:rPr>
        <w:t>Terms of Reference</w:t>
      </w:r>
    </w:p>
    <w:p w14:paraId="45BBD362" w14:textId="5F67A85E" w:rsidR="00E753A8" w:rsidRDefault="00E753A8" w:rsidP="00E753A8">
      <w:pPr>
        <w:pStyle w:val="ListParagraph"/>
      </w:pPr>
      <w:r>
        <w:t>The ITS informal working group shall:</w:t>
      </w:r>
    </w:p>
    <w:p w14:paraId="05EF7FB1" w14:textId="3F7E44A7" w:rsidR="005111A2" w:rsidRDefault="005C232E" w:rsidP="00E753A8">
      <w:pPr>
        <w:pStyle w:val="ListParagraph"/>
        <w:numPr>
          <w:ilvl w:val="1"/>
          <w:numId w:val="18"/>
        </w:numPr>
        <w:ind w:left="990"/>
      </w:pPr>
      <w:r>
        <w:t>E</w:t>
      </w:r>
      <w:r w:rsidR="005111A2">
        <w:t xml:space="preserve">xchange information on developments </w:t>
      </w:r>
      <w:r w:rsidR="00FA248B">
        <w:t xml:space="preserve">on intelligent transport systems </w:t>
      </w:r>
      <w:r w:rsidR="005111A2">
        <w:t>pertinent to, but distinct from, the regulation of motor-vehicle performance;</w:t>
      </w:r>
    </w:p>
    <w:p w14:paraId="1066FE7F" w14:textId="6D03E082" w:rsidR="00AD7862" w:rsidRDefault="00AD7862" w:rsidP="00E753A8">
      <w:pPr>
        <w:pStyle w:val="ListParagraph"/>
        <w:numPr>
          <w:ilvl w:val="1"/>
          <w:numId w:val="18"/>
        </w:numPr>
        <w:ind w:left="990"/>
      </w:pPr>
      <w:r>
        <w:t>Monitor and report to WP.29 on external developments and activities regarding traffic laws, intelligent and connected transportation systems</w:t>
      </w:r>
      <w:r w:rsidR="009778F3">
        <w:t xml:space="preserve"> (including intermodal transport)</w:t>
      </w:r>
      <w:r>
        <w:t>, telecommunications, infrastructure planning, Mobility as a Service (</w:t>
      </w:r>
      <w:proofErr w:type="spellStart"/>
      <w:r>
        <w:t>MaaS</w:t>
      </w:r>
      <w:proofErr w:type="spellEnd"/>
      <w:r>
        <w:t>) and similar fields adjacent to the deployment of vehicles equipped with A</w:t>
      </w:r>
      <w:r w:rsidR="00E75CC6">
        <w:t xml:space="preserve">utomated </w:t>
      </w:r>
      <w:r>
        <w:t>D</w:t>
      </w:r>
      <w:r w:rsidR="00E75CC6">
        <w:t xml:space="preserve">riving </w:t>
      </w:r>
      <w:r>
        <w:t>S</w:t>
      </w:r>
      <w:r w:rsidR="00E75CC6">
        <w:t>ystems</w:t>
      </w:r>
      <w:r>
        <w:t>;</w:t>
      </w:r>
    </w:p>
    <w:p w14:paraId="48C8C900" w14:textId="064D05BB" w:rsidR="005F7C9D" w:rsidRPr="005111A2" w:rsidRDefault="005F7C9D" w:rsidP="00E753A8">
      <w:pPr>
        <w:pStyle w:val="ListParagraph"/>
        <w:numPr>
          <w:ilvl w:val="1"/>
          <w:numId w:val="18"/>
        </w:numPr>
        <w:ind w:left="990"/>
      </w:pPr>
      <w:r w:rsidRPr="005F7C9D">
        <w:t xml:space="preserve">Provide guidance to WP.29 on activities, outreach and collaboration with other UNECE bodies and international organizations such as, for example, the Inland Transport Committee, the </w:t>
      </w:r>
      <w:r w:rsidR="005A402C">
        <w:t>Global Forum</w:t>
      </w:r>
      <w:r w:rsidRPr="005F7C9D">
        <w:t xml:space="preserve"> </w:t>
      </w:r>
      <w:r w:rsidR="005A402C">
        <w:t>for</w:t>
      </w:r>
      <w:r w:rsidRPr="005F7C9D">
        <w:t xml:space="preserve"> </w:t>
      </w:r>
      <w:r w:rsidR="005A402C">
        <w:t xml:space="preserve">Road </w:t>
      </w:r>
      <w:r w:rsidRPr="005F7C9D">
        <w:t xml:space="preserve">Traffic Safety (WP1), the International Telecommunication Union (ITU) and the International Road Federation (IRF) on ITS related issues relevant to vehicle automation, including how to represent the Working Party’s participation in </w:t>
      </w:r>
      <w:r w:rsidRPr="005F7C9D">
        <w:lastRenderedPageBreak/>
        <w:t>events, and</w:t>
      </w:r>
      <w:r w:rsidR="00A92CE9">
        <w:t xml:space="preserve"> ITS related external relations</w:t>
      </w:r>
      <w:r w:rsidRPr="005F7C9D">
        <w:t>;</w:t>
      </w:r>
    </w:p>
    <w:p w14:paraId="0454ED77" w14:textId="73D5C5FA" w:rsidR="009778F3" w:rsidRDefault="00054A0B" w:rsidP="00735760">
      <w:pPr>
        <w:pStyle w:val="ListParagraph"/>
        <w:numPr>
          <w:ilvl w:val="1"/>
          <w:numId w:val="18"/>
        </w:numPr>
        <w:ind w:left="990"/>
      </w:pPr>
      <w:r>
        <w:t xml:space="preserve">Propose </w:t>
      </w:r>
      <w:r w:rsidR="005F7C9D">
        <w:t>to WP</w:t>
      </w:r>
      <w:r w:rsidR="00180A7D">
        <w:t>.</w:t>
      </w:r>
      <w:r w:rsidR="005F7C9D">
        <w:t>29 wider o</w:t>
      </w:r>
      <w:r>
        <w:t>utreach and collaborative initiatives</w:t>
      </w:r>
      <w:r w:rsidR="00C63F84">
        <w:t>,</w:t>
      </w:r>
      <w:r>
        <w:t xml:space="preserve"> and prepare </w:t>
      </w:r>
      <w:r w:rsidR="00C63F84">
        <w:t xml:space="preserve">a base/common communications package </w:t>
      </w:r>
      <w:r w:rsidR="005F7C9D">
        <w:t xml:space="preserve">on ITS related issues </w:t>
      </w:r>
      <w:r w:rsidR="00C63F84">
        <w:t>(e.g. slides and fact sheets) to be used at external facing events</w:t>
      </w:r>
      <w:r>
        <w:t>; and</w:t>
      </w:r>
    </w:p>
    <w:p w14:paraId="70089017" w14:textId="5AD90F09" w:rsidR="00735760" w:rsidRDefault="009778F3" w:rsidP="00054A0B">
      <w:pPr>
        <w:pStyle w:val="ListParagraph"/>
        <w:numPr>
          <w:ilvl w:val="1"/>
          <w:numId w:val="18"/>
        </w:numPr>
        <w:ind w:left="990"/>
      </w:pPr>
      <w:r>
        <w:t xml:space="preserve">Prepare recommendations </w:t>
      </w:r>
      <w:r w:rsidR="004D348B">
        <w:t>for WP.29 consideration</w:t>
      </w:r>
      <w:r>
        <w:t xml:space="preserve"> to support and inform decision-making across WP.29 and its subsidiary bodies</w:t>
      </w:r>
      <w:r w:rsidR="00E75CC6">
        <w:t xml:space="preserve"> on ITS related issues</w:t>
      </w:r>
      <w:r w:rsidR="00054A0B">
        <w:t>.</w:t>
      </w:r>
    </w:p>
    <w:p w14:paraId="768F2CBF" w14:textId="2511A351" w:rsidR="00E753A8" w:rsidRDefault="00735760" w:rsidP="005111A2">
      <w:pPr>
        <w:rPr>
          <w:b/>
        </w:rPr>
      </w:pPr>
      <w:r>
        <w:rPr>
          <w:b/>
        </w:rPr>
        <w:t>Rules of Procedure</w:t>
      </w:r>
    </w:p>
    <w:p w14:paraId="40221B84" w14:textId="77777777" w:rsidR="00735760" w:rsidRDefault="00735760" w:rsidP="00735760">
      <w:pPr>
        <w:pStyle w:val="ListParagraph"/>
      </w:pPr>
      <w:r>
        <w:t>Following the Rules of Procedure of WP.29. Chapter 1, Rule 1, the IWG is open to all experts from any country or organization of WP.29 and its subsidiary bodies.</w:t>
      </w:r>
    </w:p>
    <w:p w14:paraId="7786724A" w14:textId="644CF692" w:rsidR="00735760" w:rsidRDefault="00C63F84" w:rsidP="00735760">
      <w:pPr>
        <w:pStyle w:val="ListParagraph"/>
      </w:pPr>
      <w:r>
        <w:t xml:space="preserve">Three </w:t>
      </w:r>
      <w:r w:rsidR="00735760">
        <w:t>Co-Chairs (Japan</w:t>
      </w:r>
      <w:r>
        <w:t>,</w:t>
      </w:r>
      <w:r w:rsidR="00735760">
        <w:t xml:space="preserve"> United Kingdom</w:t>
      </w:r>
      <w:r>
        <w:t xml:space="preserve"> and the United State</w:t>
      </w:r>
      <w:r w:rsidR="00763BAD">
        <w:t>s</w:t>
      </w:r>
      <w:r w:rsidR="00180A7D">
        <w:t xml:space="preserve"> of America</w:t>
      </w:r>
      <w:r w:rsidR="00735760">
        <w:t>) will manage the IWG</w:t>
      </w:r>
      <w:r w:rsidR="004910B2">
        <w:t xml:space="preserve">. </w:t>
      </w:r>
      <w:r w:rsidR="008F31F4">
        <w:t xml:space="preserve">A </w:t>
      </w:r>
      <w:r w:rsidR="00180A7D">
        <w:t>S</w:t>
      </w:r>
      <w:r w:rsidR="004910B2">
        <w:t>ecretary</w:t>
      </w:r>
      <w:r w:rsidR="008F31F4">
        <w:t xml:space="preserve"> will be appointed</w:t>
      </w:r>
      <w:r w:rsidR="00CE5F56">
        <w:t>.</w:t>
      </w:r>
    </w:p>
    <w:p w14:paraId="7BDB6AD4" w14:textId="77777777" w:rsidR="00735760" w:rsidRDefault="00735760" w:rsidP="00735760">
      <w:pPr>
        <w:pStyle w:val="ListParagraph"/>
      </w:pPr>
      <w:r>
        <w:t xml:space="preserve">The working language of the IWG will be English. </w:t>
      </w:r>
    </w:p>
    <w:p w14:paraId="2B9E413A" w14:textId="77777777" w:rsidR="00735760" w:rsidRDefault="00735760" w:rsidP="00735760">
      <w:pPr>
        <w:pStyle w:val="ListParagraph"/>
      </w:pPr>
      <w:r>
        <w:t xml:space="preserve">All documents and/or proposals shall be submitted to the Co-Chairs of the Group in a suitable electronic format, preferably in line with the UNECE guidelines, in advance of the meetings. The Group may refuse to discuss any item or proposal which has not been circulated five working days in advance of the scheduled meetings. </w:t>
      </w:r>
    </w:p>
    <w:p w14:paraId="71390B6F" w14:textId="77777777" w:rsidR="00735760" w:rsidRDefault="00735760" w:rsidP="00735760">
      <w:pPr>
        <w:pStyle w:val="ListParagraph"/>
      </w:pPr>
      <w:r>
        <w:t xml:space="preserve">The IWG shall meet at least once a year in conjunction with the WP.29 sessions, presuming the availability of meeting rooms. Additional meetings will be </w:t>
      </w:r>
      <w:proofErr w:type="spellStart"/>
      <w:r>
        <w:t>organ</w:t>
      </w:r>
      <w:bookmarkStart w:id="0" w:name="_GoBack"/>
      <w:bookmarkEnd w:id="0"/>
      <w:r>
        <w:t>ised</w:t>
      </w:r>
      <w:proofErr w:type="spellEnd"/>
      <w:r>
        <w:t xml:space="preserve"> on demand. </w:t>
      </w:r>
    </w:p>
    <w:p w14:paraId="34789876" w14:textId="77777777" w:rsidR="00735760" w:rsidRDefault="00735760" w:rsidP="00735760">
      <w:pPr>
        <w:pStyle w:val="ListParagraph"/>
      </w:pPr>
      <w:r>
        <w:t xml:space="preserve">An agenda and related documents will be circulated to all members of the informal working group in advance of all scheduled meetings. </w:t>
      </w:r>
    </w:p>
    <w:p w14:paraId="117DB984" w14:textId="19A5D5CE" w:rsidR="00735760" w:rsidRDefault="00735760" w:rsidP="00735760">
      <w:pPr>
        <w:pStyle w:val="ListParagraph"/>
      </w:pPr>
      <w:r>
        <w:t>The work process</w:t>
      </w:r>
      <w:r w:rsidR="008F31F4">
        <w:t xml:space="preserve"> and </w:t>
      </w:r>
      <w:proofErr w:type="spellStart"/>
      <w:r w:rsidR="008F31F4">
        <w:t>programme</w:t>
      </w:r>
      <w:proofErr w:type="spellEnd"/>
      <w:r>
        <w:t xml:space="preserve"> will be developed by consensus. Whe</w:t>
      </w:r>
      <w:r w:rsidR="008F31F4">
        <w:t>re</w:t>
      </w:r>
      <w:r>
        <w:t xml:space="preserve"> consensus cannot be reached, the Co-Chairs of the informal group shall present the different points of view to WP.29. The Co-Chairs may seek guidance from WP.29 as appropriate</w:t>
      </w:r>
      <w:r w:rsidR="004910B2">
        <w:t>.</w:t>
      </w:r>
    </w:p>
    <w:p w14:paraId="2AA8907A" w14:textId="0F164BA5" w:rsidR="004910B2" w:rsidRDefault="004910B2" w:rsidP="00735760">
      <w:pPr>
        <w:pStyle w:val="ListParagraph"/>
      </w:pPr>
      <w:r>
        <w:t>The co-chairs or secretary shall prepare</w:t>
      </w:r>
      <w:r w:rsidR="00FB646C">
        <w:t xml:space="preserve"> minutes or a summary of each meeting </w:t>
      </w:r>
      <w:r w:rsidR="00FB646C">
        <w:lastRenderedPageBreak/>
        <w:t>within 15 working days of the meeting.</w:t>
      </w:r>
    </w:p>
    <w:p w14:paraId="1F42BDD8" w14:textId="2B0DBEE0" w:rsidR="00735760" w:rsidRDefault="00735760" w:rsidP="00735760">
      <w:pPr>
        <w:pStyle w:val="ListParagraph"/>
      </w:pPr>
      <w:r>
        <w:t>The</w:t>
      </w:r>
      <w:r w:rsidR="00054A0B">
        <w:t xml:space="preserve"> co-chairs of the</w:t>
      </w:r>
      <w:r>
        <w:t xml:space="preserve"> informal group will </w:t>
      </w:r>
      <w:r w:rsidR="00054A0B">
        <w:t>report on recent, current, and anticipated activities during each WP.29 session.</w:t>
      </w:r>
    </w:p>
    <w:p w14:paraId="4B320129" w14:textId="256A9C73" w:rsidR="009778F3" w:rsidRDefault="00735760" w:rsidP="00F22FCA">
      <w:pPr>
        <w:pStyle w:val="ListParagraph"/>
      </w:pPr>
      <w:r>
        <w:t>All documents shall be distributed in digital format. The UNECE website shall be used for this purpose.</w:t>
      </w:r>
    </w:p>
    <w:p w14:paraId="06009CAE" w14:textId="42786785" w:rsidR="00180A7D" w:rsidRPr="00180A7D" w:rsidRDefault="00180A7D" w:rsidP="00180A7D">
      <w:pPr>
        <w:pStyle w:val="ListParagraph"/>
        <w:numPr>
          <w:ilvl w:val="0"/>
          <w:numId w:val="0"/>
        </w:numPr>
        <w:ind w:left="547" w:firstLine="293"/>
        <w:jc w:val="center"/>
      </w:pPr>
      <w:r w:rsidRPr="00180A7D">
        <w:t>----------------------------</w:t>
      </w:r>
    </w:p>
    <w:sectPr w:rsidR="00180A7D" w:rsidRPr="00180A7D" w:rsidSect="00693C66">
      <w:headerReference w:type="default" r:id="rId8"/>
      <w:footerReference w:type="default" r:id="rId9"/>
      <w:headerReference w:type="first" r:id="rId10"/>
      <w:footerReference w:type="first" r:id="rId11"/>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5936F" w14:textId="77777777" w:rsidR="006D457D" w:rsidRDefault="006D457D" w:rsidP="00F22FCA">
      <w:r>
        <w:separator/>
      </w:r>
    </w:p>
    <w:p w14:paraId="3C15ADD1" w14:textId="77777777" w:rsidR="006D457D" w:rsidRDefault="006D457D" w:rsidP="00F22FCA"/>
  </w:endnote>
  <w:endnote w:type="continuationSeparator" w:id="0">
    <w:p w14:paraId="463968B3" w14:textId="77777777" w:rsidR="006D457D" w:rsidRDefault="006D457D" w:rsidP="00F22FCA">
      <w:r>
        <w:continuationSeparator/>
      </w:r>
    </w:p>
    <w:p w14:paraId="23726B0E" w14:textId="77777777" w:rsidR="006D457D" w:rsidRDefault="006D457D" w:rsidP="00F22FCA"/>
  </w:endnote>
  <w:endnote w:type="continuationNotice" w:id="1">
    <w:p w14:paraId="44940580" w14:textId="77777777" w:rsidR="006D457D" w:rsidRDefault="006D457D" w:rsidP="00F22FCA"/>
    <w:p w14:paraId="7DA3E985" w14:textId="77777777" w:rsidR="006D457D" w:rsidRDefault="006D457D" w:rsidP="00F22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w:charset w:val="80"/>
    <w:family w:val="swiss"/>
    <w:pitch w:val="variable"/>
    <w:sig w:usb0="E10102FF" w:usb1="EAC7FFFF" w:usb2="0801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3768439"/>
      <w:docPartObj>
        <w:docPartGallery w:val="Page Numbers (Bottom of Page)"/>
        <w:docPartUnique/>
      </w:docPartObj>
    </w:sdtPr>
    <w:sdtEndPr/>
    <w:sdtContent>
      <w:sdt>
        <w:sdtPr>
          <w:id w:val="1728636285"/>
          <w:docPartObj>
            <w:docPartGallery w:val="Page Numbers (Top of Page)"/>
            <w:docPartUnique/>
          </w:docPartObj>
        </w:sdtPr>
        <w:sdtEndPr/>
        <w:sdtContent>
          <w:p w14:paraId="44874906" w14:textId="2EC95DBB" w:rsidR="00930E0A" w:rsidRPr="00693C66" w:rsidRDefault="00930E0A" w:rsidP="00180A7D">
            <w:pPr>
              <w:pStyle w:val="Footer"/>
              <w:jc w:val="right"/>
            </w:pPr>
            <w:r w:rsidRPr="00693C66">
              <w:rPr>
                <w:lang w:val="ja-JP"/>
              </w:rPr>
              <w:t xml:space="preserve"> </w:t>
            </w:r>
            <w:r w:rsidR="00C41E26" w:rsidRPr="00693C66">
              <w:fldChar w:fldCharType="begin"/>
            </w:r>
            <w:r w:rsidRPr="00693C66">
              <w:instrText>PAGE</w:instrText>
            </w:r>
            <w:r w:rsidR="00C41E26" w:rsidRPr="00693C66">
              <w:fldChar w:fldCharType="separate"/>
            </w:r>
            <w:r w:rsidR="00A92CE9">
              <w:rPr>
                <w:noProof/>
              </w:rPr>
              <w:t>3</w:t>
            </w:r>
            <w:r w:rsidR="00C41E26" w:rsidRPr="00693C66">
              <w:fldChar w:fldCharType="end"/>
            </w:r>
            <w:r w:rsidRPr="00693C66">
              <w:rPr>
                <w:lang w:val="ja-JP"/>
              </w:rPr>
              <w:t xml:space="preserve"> / </w:t>
            </w:r>
            <w:r w:rsidR="00C41E26" w:rsidRPr="00693C66">
              <w:fldChar w:fldCharType="begin"/>
            </w:r>
            <w:r w:rsidRPr="00693C66">
              <w:instrText>NUMPAGES</w:instrText>
            </w:r>
            <w:r w:rsidR="00C41E26" w:rsidRPr="00693C66">
              <w:fldChar w:fldCharType="separate"/>
            </w:r>
            <w:r w:rsidR="00A92CE9">
              <w:rPr>
                <w:noProof/>
              </w:rPr>
              <w:t>4</w:t>
            </w:r>
            <w:r w:rsidR="00C41E26" w:rsidRPr="00693C66">
              <w:fldChar w:fldCharType="end"/>
            </w:r>
          </w:p>
        </w:sdtContent>
      </w:sdt>
    </w:sdtContent>
  </w:sdt>
  <w:p w14:paraId="1509349D" w14:textId="77777777" w:rsidR="00930E0A" w:rsidRDefault="00930E0A" w:rsidP="00F22FCA">
    <w:pPr>
      <w:pStyle w:val="Footer"/>
    </w:pPr>
  </w:p>
  <w:p w14:paraId="161E0DBA" w14:textId="77777777" w:rsidR="006C3DDD" w:rsidRDefault="006C3DDD" w:rsidP="00F22FC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hd w:val="pct15" w:color="auto" w:fill="FFFFFF"/>
      </w:rPr>
      <w:id w:val="-1815949707"/>
      <w:docPartObj>
        <w:docPartGallery w:val="Page Numbers (Top of Page)"/>
        <w:docPartUnique/>
      </w:docPartObj>
    </w:sdtPr>
    <w:sdtEndPr>
      <w:rPr>
        <w:shd w:val="clear" w:color="auto" w:fill="auto"/>
      </w:rPr>
    </w:sdtEndPr>
    <w:sdtContent>
      <w:p w14:paraId="677E990C" w14:textId="37846F71" w:rsidR="00693C66" w:rsidRDefault="00693C66" w:rsidP="00180A7D">
        <w:pPr>
          <w:pStyle w:val="Footer"/>
          <w:jc w:val="right"/>
          <w:rPr>
            <w:rFonts w:eastAsiaTheme="minorEastAsia" w:hAnsi="Arial Unicode MS" w:cs="Arial Unicode MS"/>
            <w:b/>
            <w:bCs/>
            <w:sz w:val="24"/>
            <w:szCs w:val="24"/>
            <w:lang w:val="ru-RU"/>
          </w:rPr>
        </w:pPr>
        <w:r w:rsidRPr="00693C66">
          <w:rPr>
            <w:shd w:val="pct15" w:color="auto" w:fill="FFFFFF"/>
            <w:lang w:val="ja-JP"/>
          </w:rPr>
          <w:t xml:space="preserve"> </w:t>
        </w:r>
        <w:r w:rsidRPr="00693C66">
          <w:rPr>
            <w:shd w:val="pct15" w:color="auto" w:fill="FFFFFF"/>
          </w:rPr>
          <w:fldChar w:fldCharType="begin"/>
        </w:r>
        <w:r w:rsidRPr="00693C66">
          <w:rPr>
            <w:shd w:val="pct15" w:color="auto" w:fill="FFFFFF"/>
          </w:rPr>
          <w:instrText>PAGE</w:instrText>
        </w:r>
        <w:r w:rsidRPr="00693C66">
          <w:rPr>
            <w:shd w:val="pct15" w:color="auto" w:fill="FFFFFF"/>
          </w:rPr>
          <w:fldChar w:fldCharType="separate"/>
        </w:r>
        <w:r w:rsidR="00A92CE9">
          <w:rPr>
            <w:noProof/>
            <w:shd w:val="pct15" w:color="auto" w:fill="FFFFFF"/>
          </w:rPr>
          <w:t>1</w:t>
        </w:r>
        <w:r w:rsidRPr="00693C66">
          <w:rPr>
            <w:shd w:val="pct15" w:color="auto" w:fill="FFFFFF"/>
          </w:rPr>
          <w:fldChar w:fldCharType="end"/>
        </w:r>
        <w:r w:rsidRPr="00693C66">
          <w:rPr>
            <w:shd w:val="pct15" w:color="auto" w:fill="FFFFFF"/>
            <w:lang w:val="ja-JP"/>
          </w:rPr>
          <w:t xml:space="preserve"> / </w:t>
        </w:r>
        <w:r w:rsidRPr="00693C66">
          <w:rPr>
            <w:shd w:val="pct15" w:color="auto" w:fill="FFFFFF"/>
          </w:rPr>
          <w:fldChar w:fldCharType="begin"/>
        </w:r>
        <w:r w:rsidRPr="00693C66">
          <w:rPr>
            <w:shd w:val="pct15" w:color="auto" w:fill="FFFFFF"/>
          </w:rPr>
          <w:instrText>NUMPAGES</w:instrText>
        </w:r>
        <w:r w:rsidRPr="00693C66">
          <w:rPr>
            <w:shd w:val="pct15" w:color="auto" w:fill="FFFFFF"/>
          </w:rPr>
          <w:fldChar w:fldCharType="separate"/>
        </w:r>
        <w:r w:rsidR="00A92CE9">
          <w:rPr>
            <w:noProof/>
            <w:shd w:val="pct15" w:color="auto" w:fill="FFFFFF"/>
          </w:rPr>
          <w:t>4</w:t>
        </w:r>
        <w:r w:rsidRPr="00693C66">
          <w:rPr>
            <w:shd w:val="pct15" w:color="auto" w:fill="FFFFFF"/>
          </w:rPr>
          <w:fldChar w:fldCharType="end"/>
        </w:r>
      </w:p>
    </w:sdtContent>
  </w:sdt>
  <w:p w14:paraId="238814F5" w14:textId="4FE1BBB5" w:rsidR="00693C66" w:rsidRDefault="00693C66" w:rsidP="00F22FCA">
    <w:pPr>
      <w:pStyle w:val="Footer"/>
    </w:pPr>
  </w:p>
  <w:p w14:paraId="3334BE92" w14:textId="77777777" w:rsidR="006C3DDD" w:rsidRDefault="006C3DDD" w:rsidP="00F22F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0CA3F" w14:textId="77777777" w:rsidR="006D457D" w:rsidRDefault="006D457D" w:rsidP="00F22FCA">
      <w:r>
        <w:separator/>
      </w:r>
    </w:p>
    <w:p w14:paraId="3DFB93DA" w14:textId="77777777" w:rsidR="006D457D" w:rsidRDefault="006D457D" w:rsidP="00F22FCA"/>
  </w:footnote>
  <w:footnote w:type="continuationSeparator" w:id="0">
    <w:p w14:paraId="4C692936" w14:textId="77777777" w:rsidR="006D457D" w:rsidRDefault="006D457D" w:rsidP="00F22FCA">
      <w:r>
        <w:continuationSeparator/>
      </w:r>
    </w:p>
    <w:p w14:paraId="795EE7FC" w14:textId="77777777" w:rsidR="006D457D" w:rsidRDefault="006D457D" w:rsidP="00F22FCA"/>
  </w:footnote>
  <w:footnote w:type="continuationNotice" w:id="1">
    <w:p w14:paraId="3C471A27" w14:textId="77777777" w:rsidR="006D457D" w:rsidRDefault="006D457D" w:rsidP="00F22FCA"/>
    <w:p w14:paraId="0EC32356" w14:textId="77777777" w:rsidR="006D457D" w:rsidRDefault="006D457D" w:rsidP="00F22FCA"/>
  </w:footnote>
  <w:footnote w:id="2">
    <w:p w14:paraId="13AA8D5E" w14:textId="5850705D" w:rsidR="00F22FCA" w:rsidRDefault="00F22FCA">
      <w:pPr>
        <w:pStyle w:val="FootnoteText"/>
      </w:pPr>
      <w:r>
        <w:rPr>
          <w:rStyle w:val="FootnoteReference"/>
        </w:rPr>
        <w:footnoteRef/>
      </w:r>
      <w:r>
        <w:t xml:space="preserve"> Reference </w:t>
      </w:r>
      <w:hyperlink r:id="rId1" w:history="1">
        <w:r>
          <w:rPr>
            <w:rStyle w:val="Hyperlink"/>
          </w:rPr>
          <w:t>http://www.unece.org/trans/themes/transtheme-its/background.html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8BBBE" w14:textId="416427EB" w:rsidR="00693C66" w:rsidRDefault="00693C66" w:rsidP="00F22FCA">
    <w:pPr>
      <w:pStyle w:val="Header"/>
    </w:pPr>
  </w:p>
  <w:p w14:paraId="0647521D" w14:textId="77777777" w:rsidR="00693C66" w:rsidRDefault="00693C66" w:rsidP="00F22FCA">
    <w:pPr>
      <w:pStyle w:val="Header"/>
    </w:pPr>
  </w:p>
  <w:p w14:paraId="6F413D1B" w14:textId="77777777" w:rsidR="006C3DDD" w:rsidRDefault="006C3DDD" w:rsidP="00F22F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3C169" w14:textId="71532FB6" w:rsidR="00A44A8B" w:rsidRPr="00A44A8B" w:rsidRDefault="00180A7D" w:rsidP="00180A7D">
    <w:pPr>
      <w:widowControl/>
      <w:tabs>
        <w:tab w:val="center" w:pos="4680"/>
        <w:tab w:val="right" w:pos="9360"/>
      </w:tabs>
      <w:snapToGrid w:val="0"/>
      <w:spacing w:before="0" w:beforeAutospacing="0" w:after="0" w:afterAutospacing="0"/>
      <w:contextualSpacing/>
      <w:rPr>
        <w:rFonts w:ascii="Calibri" w:hAnsi="Calibri"/>
        <w:kern w:val="0"/>
      </w:rPr>
    </w:pPr>
    <w:r>
      <w:rPr>
        <w:rFonts w:ascii="Calibri" w:hAnsi="Calibri"/>
        <w:kern w:val="0"/>
      </w:rPr>
      <w:t>Submitted</w:t>
    </w:r>
    <w:r w:rsidR="00A44A8B" w:rsidRPr="00A44A8B">
      <w:rPr>
        <w:rFonts w:ascii="Calibri" w:hAnsi="Calibri" w:hint="eastAsia"/>
        <w:kern w:val="0"/>
      </w:rPr>
      <w:t xml:space="preserve"> by </w:t>
    </w:r>
    <w:r w:rsidR="00A44A8B" w:rsidRPr="00A44A8B">
      <w:rPr>
        <w:rFonts w:ascii="Calibri" w:hAnsi="Calibri"/>
        <w:kern w:val="0"/>
      </w:rPr>
      <w:t xml:space="preserve">the </w:t>
    </w:r>
    <w:r w:rsidR="00A44A8B">
      <w:rPr>
        <w:rFonts w:ascii="Calibri" w:hAnsi="Calibri"/>
        <w:kern w:val="0"/>
      </w:rPr>
      <w:t>Co-Chairs of the IWG</w:t>
    </w:r>
    <w:r w:rsidR="00A44A8B" w:rsidRPr="00A44A8B">
      <w:rPr>
        <w:rFonts w:ascii="Calibri" w:hAnsi="Calibri"/>
        <w:kern w:val="0"/>
      </w:rPr>
      <w:tab/>
    </w:r>
    <w:r w:rsidR="00A44A8B" w:rsidRPr="00A44A8B">
      <w:rPr>
        <w:rFonts w:ascii="Calibri" w:hAnsi="Calibri"/>
        <w:kern w:val="0"/>
      </w:rPr>
      <w:tab/>
    </w:r>
    <w:r w:rsidRPr="00180A7D">
      <w:rPr>
        <w:rFonts w:ascii="Calibri" w:hAnsi="Calibri"/>
        <w:kern w:val="0"/>
        <w:u w:val="single"/>
      </w:rPr>
      <w:t xml:space="preserve">Informal </w:t>
    </w:r>
    <w:r w:rsidR="00A44A8B" w:rsidRPr="00180A7D">
      <w:rPr>
        <w:rFonts w:ascii="Calibri" w:hAnsi="Calibri"/>
        <w:kern w:val="0"/>
        <w:u w:val="single"/>
      </w:rPr>
      <w:t>D</w:t>
    </w:r>
    <w:r w:rsidR="00A44A8B" w:rsidRPr="00180A7D">
      <w:rPr>
        <w:rFonts w:ascii="Calibri" w:hAnsi="Calibri" w:hint="eastAsia"/>
        <w:kern w:val="0"/>
        <w:u w:val="single"/>
      </w:rPr>
      <w:t>ocument</w:t>
    </w:r>
    <w:r w:rsidR="00A44A8B" w:rsidRPr="00A44A8B">
      <w:rPr>
        <w:rFonts w:ascii="Calibri" w:hAnsi="Calibri" w:hint="eastAsia"/>
        <w:kern w:val="0"/>
      </w:rPr>
      <w:t xml:space="preserve"> </w:t>
    </w:r>
    <w:r w:rsidRPr="00180A7D">
      <w:rPr>
        <w:rFonts w:ascii="Calibri" w:hAnsi="Calibri"/>
        <w:b/>
        <w:bCs/>
        <w:kern w:val="0"/>
      </w:rPr>
      <w:t>WP.29-178-28</w:t>
    </w:r>
  </w:p>
  <w:p w14:paraId="1AB99491" w14:textId="0159CE57" w:rsidR="0076018D" w:rsidRPr="00D875FB" w:rsidRDefault="00A44A8B" w:rsidP="00A44A8B">
    <w:pPr>
      <w:snapToGrid w:val="0"/>
      <w:contextualSpacing/>
      <w:jc w:val="right"/>
      <w:rPr>
        <w:lang w:val="en-GB"/>
      </w:rPr>
    </w:pPr>
    <w:r w:rsidRPr="00A44A8B">
      <w:rPr>
        <w:rFonts w:ascii="Calibri" w:eastAsia="Calibri" w:hAnsi="Calibri" w:cs="Century"/>
        <w:kern w:val="0"/>
        <w:szCs w:val="21"/>
        <w:lang w:val="en-GB" w:eastAsia="en-US"/>
      </w:rPr>
      <w:tab/>
      <w:t>(</w:t>
    </w:r>
    <w:r w:rsidR="00180A7D">
      <w:rPr>
        <w:rFonts w:ascii="Calibri" w:eastAsia="Calibri" w:hAnsi="Calibri" w:cs="Century"/>
        <w:kern w:val="0"/>
        <w:szCs w:val="21"/>
        <w:lang w:val="en-GB" w:eastAsia="en-US"/>
      </w:rPr>
      <w:t>178</w:t>
    </w:r>
    <w:r w:rsidRPr="00A44A8B">
      <w:rPr>
        <w:rFonts w:ascii="Calibri" w:eastAsia="Calibri" w:hAnsi="Calibri" w:cs="Century"/>
        <w:kern w:val="0"/>
        <w:szCs w:val="21"/>
        <w:lang w:val="en-GB" w:eastAsia="en-US"/>
      </w:rPr>
      <w:t>th WP.29, 2</w:t>
    </w:r>
    <w:r w:rsidR="00180A7D">
      <w:rPr>
        <w:rFonts w:ascii="Calibri" w:eastAsia="Calibri" w:hAnsi="Calibri" w:cs="Century"/>
        <w:kern w:val="0"/>
        <w:szCs w:val="21"/>
        <w:lang w:val="en-GB" w:eastAsia="en-US"/>
      </w:rPr>
      <w:t>5-28</w:t>
    </w:r>
    <w:r w:rsidRPr="00A44A8B">
      <w:rPr>
        <w:rFonts w:ascii="Calibri" w:eastAsia="Calibri" w:hAnsi="Calibri" w:cs="Century"/>
        <w:kern w:val="0"/>
        <w:szCs w:val="21"/>
        <w:lang w:val="en-GB" w:eastAsia="en-US"/>
      </w:rPr>
      <w:t xml:space="preserve"> June 2019</w:t>
    </w:r>
    <w:r w:rsidR="00180A7D">
      <w:rPr>
        <w:rFonts w:ascii="Calibri" w:eastAsia="Calibri" w:hAnsi="Calibri" w:cs="Century"/>
        <w:kern w:val="0"/>
        <w:szCs w:val="21"/>
        <w:lang w:val="en-GB" w:eastAsia="en-US"/>
      </w:rPr>
      <w:t>, agenda item 2.3</w:t>
    </w:r>
    <w:r>
      <w:rPr>
        <w:rFonts w:ascii="Calibri" w:eastAsia="Calibri" w:hAnsi="Calibri" w:cs="Century"/>
        <w:kern w:val="0"/>
        <w:szCs w:val="21"/>
        <w:lang w:val="en-GB" w:eastAsia="en-US"/>
      </w:rPr>
      <w:t>)</w:t>
    </w:r>
  </w:p>
  <w:p w14:paraId="120B541C" w14:textId="77777777" w:rsidR="006C3DDD" w:rsidRDefault="006C3DDD" w:rsidP="00F22F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26FD"/>
    <w:multiLevelType w:val="hybridMultilevel"/>
    <w:tmpl w:val="841CC3BA"/>
    <w:lvl w:ilvl="0" w:tplc="718EB66A">
      <w:start w:val="1"/>
      <w:numFmt w:val="lowerLetter"/>
      <w:lvlText w:val="(%1)"/>
      <w:lvlJc w:val="left"/>
      <w:pPr>
        <w:ind w:left="1205" w:hanging="360"/>
      </w:pPr>
      <w:rPr>
        <w:rFonts w:hint="default"/>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1642118E"/>
    <w:multiLevelType w:val="hybridMultilevel"/>
    <w:tmpl w:val="DE82CE18"/>
    <w:lvl w:ilvl="0" w:tplc="A0EC17CA">
      <w:numFmt w:val="bullet"/>
      <w:lvlText w:val=""/>
      <w:lvlJc w:val="left"/>
      <w:pPr>
        <w:ind w:left="1205" w:hanging="360"/>
      </w:pPr>
      <w:rPr>
        <w:rFonts w:ascii="Wingdings" w:eastAsia="MS Mincho" w:hAnsi="Wingdings" w:cs="Times New Roman" w:hint="default"/>
      </w:rPr>
    </w:lvl>
    <w:lvl w:ilvl="1" w:tplc="0409000B" w:tentative="1">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abstractNum w:abstractNumId="2" w15:restartNumberingAfterBreak="0">
    <w:nsid w:val="17AA141C"/>
    <w:multiLevelType w:val="hybridMultilevel"/>
    <w:tmpl w:val="DEA2A508"/>
    <w:lvl w:ilvl="0" w:tplc="61D48BCE">
      <w:start w:val="1"/>
      <w:numFmt w:val="decimal"/>
      <w:lvlText w:val="%1"/>
      <w:lvlJc w:val="left"/>
      <w:pPr>
        <w:ind w:left="845" w:hanging="4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1B507FD2"/>
    <w:multiLevelType w:val="hybridMultilevel"/>
    <w:tmpl w:val="8114626A"/>
    <w:lvl w:ilvl="0" w:tplc="B606902C">
      <w:numFmt w:val="bullet"/>
      <w:lvlText w:val="-"/>
      <w:lvlJc w:val="left"/>
      <w:pPr>
        <w:ind w:left="784" w:hanging="360"/>
      </w:pPr>
      <w:rPr>
        <w:rFonts w:ascii="Century" w:eastAsia="Meiryo" w:hAnsi="Century" w:cs="Times New Roman"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 w15:restartNumberingAfterBreak="0">
    <w:nsid w:val="1ED0477C"/>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20F3380B"/>
    <w:multiLevelType w:val="hybridMultilevel"/>
    <w:tmpl w:val="77D488CE"/>
    <w:lvl w:ilvl="0" w:tplc="E07A54C0">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66DB2"/>
    <w:multiLevelType w:val="hybridMultilevel"/>
    <w:tmpl w:val="B4081AE6"/>
    <w:lvl w:ilvl="0" w:tplc="E1A88B24">
      <w:start w:val="1"/>
      <w:numFmt w:val="decimal"/>
      <w:lvlText w:val="%1"/>
      <w:lvlJc w:val="left"/>
      <w:pPr>
        <w:ind w:left="845" w:hanging="420"/>
      </w:pPr>
      <w:rPr>
        <w:rFonts w:hint="default"/>
      </w:rPr>
    </w:lvl>
    <w:lvl w:ilvl="1" w:tplc="04090017">
      <w:start w:val="1"/>
      <w:numFmt w:val="aiueoFullWidth"/>
      <w:lvlText w:val="(%2)"/>
      <w:lvlJc w:val="left"/>
      <w:pPr>
        <w:ind w:left="1265" w:hanging="420"/>
      </w:pPr>
    </w:lvl>
    <w:lvl w:ilvl="2" w:tplc="0409001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28295A35"/>
    <w:multiLevelType w:val="hybridMultilevel"/>
    <w:tmpl w:val="DEA2A508"/>
    <w:lvl w:ilvl="0" w:tplc="61D48BCE">
      <w:start w:val="1"/>
      <w:numFmt w:val="decimal"/>
      <w:lvlText w:val="%1"/>
      <w:lvlJc w:val="left"/>
      <w:pPr>
        <w:ind w:left="845" w:hanging="4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33D22DFD"/>
    <w:multiLevelType w:val="hybridMultilevel"/>
    <w:tmpl w:val="1A36FB38"/>
    <w:lvl w:ilvl="0" w:tplc="9A4E3368">
      <w:start w:val="1"/>
      <w:numFmt w:val="bullet"/>
      <w:lvlText w:val=""/>
      <w:lvlJc w:val="left"/>
      <w:pPr>
        <w:ind w:left="844" w:hanging="420"/>
      </w:pPr>
      <w:rPr>
        <w:rFonts w:ascii="Wingdings" w:hAnsi="Wingdings" w:hint="default"/>
      </w:rPr>
    </w:lvl>
    <w:lvl w:ilvl="1" w:tplc="0409000B">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9" w15:restartNumberingAfterBreak="0">
    <w:nsid w:val="3480481D"/>
    <w:multiLevelType w:val="hybridMultilevel"/>
    <w:tmpl w:val="47C2450E"/>
    <w:lvl w:ilvl="0" w:tplc="11BCAC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860E21"/>
    <w:multiLevelType w:val="hybridMultilevel"/>
    <w:tmpl w:val="1D7C740A"/>
    <w:lvl w:ilvl="0" w:tplc="9A4E3368">
      <w:start w:val="1"/>
      <w:numFmt w:val="bullet"/>
      <w:lvlText w:val=""/>
      <w:lvlJc w:val="left"/>
      <w:pPr>
        <w:ind w:left="845" w:hanging="420"/>
      </w:pPr>
      <w:rPr>
        <w:rFonts w:ascii="Wingdings" w:hAnsi="Wingding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15:restartNumberingAfterBreak="0">
    <w:nsid w:val="500104FB"/>
    <w:multiLevelType w:val="hybridMultilevel"/>
    <w:tmpl w:val="99327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E754E6"/>
    <w:multiLevelType w:val="hybridMultilevel"/>
    <w:tmpl w:val="99A02A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C26357"/>
    <w:multiLevelType w:val="hybridMultilevel"/>
    <w:tmpl w:val="DEA2A508"/>
    <w:lvl w:ilvl="0" w:tplc="61D48BCE">
      <w:start w:val="1"/>
      <w:numFmt w:val="decimal"/>
      <w:lvlText w:val="%1"/>
      <w:lvlJc w:val="left"/>
      <w:pPr>
        <w:ind w:left="845" w:hanging="4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666B62DC"/>
    <w:multiLevelType w:val="hybridMultilevel"/>
    <w:tmpl w:val="86A62DC4"/>
    <w:lvl w:ilvl="0" w:tplc="984AED42">
      <w:numFmt w:val="bullet"/>
      <w:lvlText w:val=""/>
      <w:lvlJc w:val="left"/>
      <w:pPr>
        <w:ind w:left="1205" w:hanging="360"/>
      </w:pPr>
      <w:rPr>
        <w:rFonts w:ascii="Wingdings" w:eastAsia="MS Mincho" w:hAnsi="Wingdings" w:cs="Times New Roman" w:hint="default"/>
      </w:rPr>
    </w:lvl>
    <w:lvl w:ilvl="1" w:tplc="0409000B" w:tentative="1">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abstractNum w:abstractNumId="15" w15:restartNumberingAfterBreak="0">
    <w:nsid w:val="69971810"/>
    <w:multiLevelType w:val="hybridMultilevel"/>
    <w:tmpl w:val="8138D764"/>
    <w:lvl w:ilvl="0" w:tplc="9A4E3368">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6" w15:restartNumberingAfterBreak="0">
    <w:nsid w:val="6BDC19E3"/>
    <w:multiLevelType w:val="hybridMultilevel"/>
    <w:tmpl w:val="D624ABA6"/>
    <w:lvl w:ilvl="0" w:tplc="9A4E3368">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7" w15:restartNumberingAfterBreak="0">
    <w:nsid w:val="6ECA0CDC"/>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7A2D7205"/>
    <w:multiLevelType w:val="multilevel"/>
    <w:tmpl w:val="E68C44A8"/>
    <w:lvl w:ilvl="0">
      <w:start w:val="1"/>
      <w:numFmt w:val="decimal"/>
      <w:lvlText w:val="%1"/>
      <w:lvlJc w:val="left"/>
      <w:pPr>
        <w:tabs>
          <w:tab w:val="num" w:pos="360"/>
        </w:tabs>
        <w:ind w:left="340" w:hanging="340"/>
      </w:pPr>
      <w:rPr>
        <w:rFonts w:hint="eastAsia"/>
      </w:rPr>
    </w:lvl>
    <w:lvl w:ilvl="1">
      <w:start w:val="2"/>
      <w:numFmt w:val="decimal"/>
      <w:lvlText w:val="%1.%2"/>
      <w:lvlJc w:val="left"/>
      <w:pPr>
        <w:tabs>
          <w:tab w:val="num" w:pos="794"/>
        </w:tabs>
        <w:ind w:left="794" w:hanging="794"/>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7FB775BF"/>
    <w:multiLevelType w:val="hybridMultilevel"/>
    <w:tmpl w:val="D9342512"/>
    <w:lvl w:ilvl="0" w:tplc="063450F2">
      <w:numFmt w:val="bullet"/>
      <w:lvlText w:val=""/>
      <w:lvlJc w:val="left"/>
      <w:pPr>
        <w:ind w:left="1205" w:hanging="360"/>
      </w:pPr>
      <w:rPr>
        <w:rFonts w:ascii="Wingdings" w:eastAsia="MS Mincho" w:hAnsi="Wingdings" w:cs="Times New Roman" w:hint="default"/>
      </w:rPr>
    </w:lvl>
    <w:lvl w:ilvl="1" w:tplc="0409000B" w:tentative="1">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num w:numId="1">
    <w:abstractNumId w:val="4"/>
  </w:num>
  <w:num w:numId="2">
    <w:abstractNumId w:val="17"/>
  </w:num>
  <w:num w:numId="3">
    <w:abstractNumId w:val="10"/>
  </w:num>
  <w:num w:numId="4">
    <w:abstractNumId w:val="7"/>
  </w:num>
  <w:num w:numId="5">
    <w:abstractNumId w:val="2"/>
  </w:num>
  <w:num w:numId="6">
    <w:abstractNumId w:val="1"/>
  </w:num>
  <w:num w:numId="7">
    <w:abstractNumId w:val="19"/>
  </w:num>
  <w:num w:numId="8">
    <w:abstractNumId w:val="14"/>
  </w:num>
  <w:num w:numId="9">
    <w:abstractNumId w:val="13"/>
  </w:num>
  <w:num w:numId="10">
    <w:abstractNumId w:val="6"/>
  </w:num>
  <w:num w:numId="11">
    <w:abstractNumId w:val="0"/>
  </w:num>
  <w:num w:numId="12">
    <w:abstractNumId w:val="9"/>
  </w:num>
  <w:num w:numId="13">
    <w:abstractNumId w:val="18"/>
  </w:num>
  <w:num w:numId="14">
    <w:abstractNumId w:val="8"/>
  </w:num>
  <w:num w:numId="15">
    <w:abstractNumId w:val="3"/>
  </w:num>
  <w:num w:numId="16">
    <w:abstractNumId w:val="16"/>
  </w:num>
  <w:num w:numId="17">
    <w:abstractNumId w:val="15"/>
  </w:num>
  <w:num w:numId="18">
    <w:abstractNumId w:val="5"/>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hyphenationZone w:val="425"/>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B330E0"/>
    <w:rsid w:val="00001910"/>
    <w:rsid w:val="00001D7C"/>
    <w:rsid w:val="00015535"/>
    <w:rsid w:val="00023156"/>
    <w:rsid w:val="00054A0B"/>
    <w:rsid w:val="00087F23"/>
    <w:rsid w:val="000A6690"/>
    <w:rsid w:val="000B085C"/>
    <w:rsid w:val="000C20FE"/>
    <w:rsid w:val="000C2700"/>
    <w:rsid w:val="000C6B94"/>
    <w:rsid w:val="000D328A"/>
    <w:rsid w:val="000E2BF5"/>
    <w:rsid w:val="00102162"/>
    <w:rsid w:val="00127FAD"/>
    <w:rsid w:val="00141115"/>
    <w:rsid w:val="00142767"/>
    <w:rsid w:val="00143B11"/>
    <w:rsid w:val="0014706F"/>
    <w:rsid w:val="00164384"/>
    <w:rsid w:val="00180A7D"/>
    <w:rsid w:val="00194B3A"/>
    <w:rsid w:val="001A7114"/>
    <w:rsid w:val="001C0599"/>
    <w:rsid w:val="001D251A"/>
    <w:rsid w:val="001D49BF"/>
    <w:rsid w:val="001E2D43"/>
    <w:rsid w:val="001F5614"/>
    <w:rsid w:val="00200E90"/>
    <w:rsid w:val="0020670F"/>
    <w:rsid w:val="0021312F"/>
    <w:rsid w:val="00213B44"/>
    <w:rsid w:val="00215DB9"/>
    <w:rsid w:val="00227C0A"/>
    <w:rsid w:val="00260F94"/>
    <w:rsid w:val="0026627B"/>
    <w:rsid w:val="00276CCB"/>
    <w:rsid w:val="002806A8"/>
    <w:rsid w:val="002838CA"/>
    <w:rsid w:val="00285ED8"/>
    <w:rsid w:val="00286556"/>
    <w:rsid w:val="002A0F96"/>
    <w:rsid w:val="002B107D"/>
    <w:rsid w:val="002B2CAF"/>
    <w:rsid w:val="002F482A"/>
    <w:rsid w:val="0030549E"/>
    <w:rsid w:val="00306A5B"/>
    <w:rsid w:val="0031627B"/>
    <w:rsid w:val="003327D2"/>
    <w:rsid w:val="00364686"/>
    <w:rsid w:val="00375182"/>
    <w:rsid w:val="00382EC3"/>
    <w:rsid w:val="003A3E2B"/>
    <w:rsid w:val="003A5993"/>
    <w:rsid w:val="003B227B"/>
    <w:rsid w:val="003C0FF9"/>
    <w:rsid w:val="003E465F"/>
    <w:rsid w:val="003E4A18"/>
    <w:rsid w:val="00431CDC"/>
    <w:rsid w:val="00432BED"/>
    <w:rsid w:val="00460A39"/>
    <w:rsid w:val="00464CAD"/>
    <w:rsid w:val="004750E6"/>
    <w:rsid w:val="0047526B"/>
    <w:rsid w:val="00482C2F"/>
    <w:rsid w:val="00486C9C"/>
    <w:rsid w:val="004910B2"/>
    <w:rsid w:val="004A6ED1"/>
    <w:rsid w:val="004C5FFA"/>
    <w:rsid w:val="004D348B"/>
    <w:rsid w:val="004D5C30"/>
    <w:rsid w:val="004D600D"/>
    <w:rsid w:val="004E2DAC"/>
    <w:rsid w:val="004E382A"/>
    <w:rsid w:val="0050023B"/>
    <w:rsid w:val="005058CD"/>
    <w:rsid w:val="005111A2"/>
    <w:rsid w:val="0052362D"/>
    <w:rsid w:val="005673AB"/>
    <w:rsid w:val="00576F99"/>
    <w:rsid w:val="005802B2"/>
    <w:rsid w:val="00590124"/>
    <w:rsid w:val="005A402C"/>
    <w:rsid w:val="005B5ECD"/>
    <w:rsid w:val="005C232E"/>
    <w:rsid w:val="005E1F66"/>
    <w:rsid w:val="005F7C9D"/>
    <w:rsid w:val="00601C90"/>
    <w:rsid w:val="00603835"/>
    <w:rsid w:val="0065036A"/>
    <w:rsid w:val="00654BD0"/>
    <w:rsid w:val="00666499"/>
    <w:rsid w:val="00667A00"/>
    <w:rsid w:val="00693C66"/>
    <w:rsid w:val="006A3A99"/>
    <w:rsid w:val="006C3DDD"/>
    <w:rsid w:val="006D457D"/>
    <w:rsid w:val="006F712A"/>
    <w:rsid w:val="006F7240"/>
    <w:rsid w:val="007053F9"/>
    <w:rsid w:val="00705E50"/>
    <w:rsid w:val="007243B7"/>
    <w:rsid w:val="00735760"/>
    <w:rsid w:val="0075010C"/>
    <w:rsid w:val="0076018D"/>
    <w:rsid w:val="00763BAD"/>
    <w:rsid w:val="00764932"/>
    <w:rsid w:val="00766990"/>
    <w:rsid w:val="00786750"/>
    <w:rsid w:val="007905AC"/>
    <w:rsid w:val="00790D13"/>
    <w:rsid w:val="00796EE3"/>
    <w:rsid w:val="007A3D7E"/>
    <w:rsid w:val="007A54FF"/>
    <w:rsid w:val="007A69A9"/>
    <w:rsid w:val="007B571E"/>
    <w:rsid w:val="007C6BAC"/>
    <w:rsid w:val="007D2497"/>
    <w:rsid w:val="007D4549"/>
    <w:rsid w:val="007D612B"/>
    <w:rsid w:val="007E3A3E"/>
    <w:rsid w:val="007E6A5B"/>
    <w:rsid w:val="007F2D08"/>
    <w:rsid w:val="00860C56"/>
    <w:rsid w:val="00872EC3"/>
    <w:rsid w:val="00880291"/>
    <w:rsid w:val="008A51C9"/>
    <w:rsid w:val="008D007B"/>
    <w:rsid w:val="008F31F4"/>
    <w:rsid w:val="008F6CF0"/>
    <w:rsid w:val="0090288E"/>
    <w:rsid w:val="00905D93"/>
    <w:rsid w:val="00905FFA"/>
    <w:rsid w:val="009061F7"/>
    <w:rsid w:val="0092480A"/>
    <w:rsid w:val="00930E0A"/>
    <w:rsid w:val="0094487F"/>
    <w:rsid w:val="009513A5"/>
    <w:rsid w:val="00957E01"/>
    <w:rsid w:val="009778F3"/>
    <w:rsid w:val="0098724D"/>
    <w:rsid w:val="00994F71"/>
    <w:rsid w:val="009C4DA4"/>
    <w:rsid w:val="009F22DA"/>
    <w:rsid w:val="009F2BA7"/>
    <w:rsid w:val="00A226C7"/>
    <w:rsid w:val="00A44A8B"/>
    <w:rsid w:val="00A476A7"/>
    <w:rsid w:val="00A92CE9"/>
    <w:rsid w:val="00AD7862"/>
    <w:rsid w:val="00AE6ECD"/>
    <w:rsid w:val="00B068BB"/>
    <w:rsid w:val="00B21B93"/>
    <w:rsid w:val="00B330E0"/>
    <w:rsid w:val="00B37C6A"/>
    <w:rsid w:val="00B65897"/>
    <w:rsid w:val="00B8046F"/>
    <w:rsid w:val="00B926AA"/>
    <w:rsid w:val="00BB1324"/>
    <w:rsid w:val="00BB674C"/>
    <w:rsid w:val="00BC0927"/>
    <w:rsid w:val="00BC1401"/>
    <w:rsid w:val="00BC32B8"/>
    <w:rsid w:val="00BD3271"/>
    <w:rsid w:val="00BE1576"/>
    <w:rsid w:val="00C41E26"/>
    <w:rsid w:val="00C54987"/>
    <w:rsid w:val="00C63F84"/>
    <w:rsid w:val="00C71E71"/>
    <w:rsid w:val="00C725BF"/>
    <w:rsid w:val="00CC23B0"/>
    <w:rsid w:val="00CD179F"/>
    <w:rsid w:val="00CE5F56"/>
    <w:rsid w:val="00CE7F1F"/>
    <w:rsid w:val="00CF1750"/>
    <w:rsid w:val="00D03B3F"/>
    <w:rsid w:val="00D03C65"/>
    <w:rsid w:val="00D12849"/>
    <w:rsid w:val="00D13CD7"/>
    <w:rsid w:val="00D2116B"/>
    <w:rsid w:val="00D54063"/>
    <w:rsid w:val="00D64EAF"/>
    <w:rsid w:val="00DA7067"/>
    <w:rsid w:val="00DC13BE"/>
    <w:rsid w:val="00DC27CC"/>
    <w:rsid w:val="00DC3E1B"/>
    <w:rsid w:val="00DD6B36"/>
    <w:rsid w:val="00DE6C04"/>
    <w:rsid w:val="00DF5B5F"/>
    <w:rsid w:val="00E005E0"/>
    <w:rsid w:val="00E31F4E"/>
    <w:rsid w:val="00E35B0F"/>
    <w:rsid w:val="00E44DCE"/>
    <w:rsid w:val="00E50E95"/>
    <w:rsid w:val="00E752C5"/>
    <w:rsid w:val="00E753A8"/>
    <w:rsid w:val="00E7593E"/>
    <w:rsid w:val="00E75CC6"/>
    <w:rsid w:val="00EB19F1"/>
    <w:rsid w:val="00ED0C62"/>
    <w:rsid w:val="00ED1230"/>
    <w:rsid w:val="00ED3972"/>
    <w:rsid w:val="00EE5606"/>
    <w:rsid w:val="00EF5C41"/>
    <w:rsid w:val="00F032CD"/>
    <w:rsid w:val="00F1006E"/>
    <w:rsid w:val="00F22FCA"/>
    <w:rsid w:val="00F4003B"/>
    <w:rsid w:val="00F745D0"/>
    <w:rsid w:val="00F855E4"/>
    <w:rsid w:val="00FA248B"/>
    <w:rsid w:val="00FB1050"/>
    <w:rsid w:val="00FB646C"/>
    <w:rsid w:val="00FD126D"/>
    <w:rsid w:val="00FD60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38B8ED1"/>
  <w15:docId w15:val="{D6D0B766-309D-4660-BBC7-0DB69066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FCA"/>
    <w:pPr>
      <w:widowControl w:val="0"/>
      <w:spacing w:before="100" w:beforeAutospacing="1" w:after="100" w:afterAutospacing="1"/>
    </w:pPr>
    <w:rPr>
      <w:rFonts w:ascii="Arial" w:hAnsi="Arial" w:cs="Arial"/>
      <w:kern w:val="2"/>
      <w:sz w:val="22"/>
      <w:szCs w:val="22"/>
    </w:rPr>
  </w:style>
  <w:style w:type="paragraph" w:styleId="Heading1">
    <w:name w:val="heading 1"/>
    <w:basedOn w:val="Normal"/>
    <w:next w:val="Normal"/>
    <w:link w:val="Heading1Char"/>
    <w:uiPriority w:val="9"/>
    <w:qFormat/>
    <w:rsid w:val="009778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0124"/>
    <w:pPr>
      <w:widowControl w:val="0"/>
      <w:jc w:val="both"/>
    </w:pPr>
    <w:rPr>
      <w:kern w:val="2"/>
      <w:sz w:val="21"/>
      <w:szCs w:val="22"/>
    </w:rPr>
  </w:style>
  <w:style w:type="paragraph" w:styleId="ListParagraph">
    <w:name w:val="List Paragraph"/>
    <w:basedOn w:val="Normal"/>
    <w:uiPriority w:val="34"/>
    <w:qFormat/>
    <w:rsid w:val="00E753A8"/>
    <w:pPr>
      <w:numPr>
        <w:numId w:val="18"/>
      </w:numPr>
      <w:spacing w:before="120" w:beforeAutospacing="0"/>
      <w:ind w:left="547" w:hanging="547"/>
    </w:pPr>
  </w:style>
  <w:style w:type="paragraph" w:styleId="Header">
    <w:name w:val="header"/>
    <w:basedOn w:val="Normal"/>
    <w:link w:val="HeaderChar"/>
    <w:uiPriority w:val="99"/>
    <w:unhideWhenUsed/>
    <w:rsid w:val="00930E0A"/>
    <w:pPr>
      <w:tabs>
        <w:tab w:val="center" w:pos="4252"/>
        <w:tab w:val="right" w:pos="8504"/>
      </w:tabs>
      <w:snapToGrid w:val="0"/>
    </w:pPr>
  </w:style>
  <w:style w:type="character" w:customStyle="1" w:styleId="HeaderChar">
    <w:name w:val="Header Char"/>
    <w:basedOn w:val="DefaultParagraphFont"/>
    <w:link w:val="Header"/>
    <w:uiPriority w:val="99"/>
    <w:rsid w:val="00930E0A"/>
    <w:rPr>
      <w:kern w:val="2"/>
      <w:sz w:val="21"/>
      <w:szCs w:val="22"/>
    </w:rPr>
  </w:style>
  <w:style w:type="paragraph" w:styleId="Footer">
    <w:name w:val="footer"/>
    <w:basedOn w:val="Normal"/>
    <w:link w:val="FooterChar"/>
    <w:uiPriority w:val="99"/>
    <w:unhideWhenUsed/>
    <w:rsid w:val="00930E0A"/>
    <w:pPr>
      <w:tabs>
        <w:tab w:val="center" w:pos="4252"/>
        <w:tab w:val="right" w:pos="8504"/>
      </w:tabs>
      <w:snapToGrid w:val="0"/>
    </w:pPr>
  </w:style>
  <w:style w:type="character" w:customStyle="1" w:styleId="FooterChar">
    <w:name w:val="Footer Char"/>
    <w:basedOn w:val="DefaultParagraphFont"/>
    <w:link w:val="Footer"/>
    <w:uiPriority w:val="99"/>
    <w:rsid w:val="00930E0A"/>
    <w:rPr>
      <w:kern w:val="2"/>
      <w:sz w:val="21"/>
      <w:szCs w:val="22"/>
    </w:rPr>
  </w:style>
  <w:style w:type="paragraph" w:styleId="BalloonText">
    <w:name w:val="Balloon Text"/>
    <w:basedOn w:val="Normal"/>
    <w:link w:val="BalloonTextChar"/>
    <w:uiPriority w:val="99"/>
    <w:semiHidden/>
    <w:unhideWhenUsed/>
    <w:rsid w:val="00DC13B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C13BE"/>
    <w:rPr>
      <w:rFonts w:asciiTheme="majorHAnsi" w:eastAsiaTheme="majorEastAsia" w:hAnsiTheme="majorHAnsi" w:cstheme="majorBidi"/>
      <w:kern w:val="2"/>
      <w:sz w:val="18"/>
      <w:szCs w:val="18"/>
    </w:rPr>
  </w:style>
  <w:style w:type="character" w:styleId="CommentReference">
    <w:name w:val="annotation reference"/>
    <w:basedOn w:val="DefaultParagraphFont"/>
    <w:uiPriority w:val="99"/>
    <w:semiHidden/>
    <w:unhideWhenUsed/>
    <w:rsid w:val="003A5993"/>
    <w:rPr>
      <w:sz w:val="18"/>
      <w:szCs w:val="18"/>
    </w:rPr>
  </w:style>
  <w:style w:type="paragraph" w:styleId="CommentText">
    <w:name w:val="annotation text"/>
    <w:basedOn w:val="Normal"/>
    <w:link w:val="CommentTextChar"/>
    <w:uiPriority w:val="99"/>
    <w:semiHidden/>
    <w:unhideWhenUsed/>
    <w:rsid w:val="003A5993"/>
  </w:style>
  <w:style w:type="character" w:customStyle="1" w:styleId="CommentTextChar">
    <w:name w:val="Comment Text Char"/>
    <w:basedOn w:val="DefaultParagraphFont"/>
    <w:link w:val="CommentText"/>
    <w:uiPriority w:val="99"/>
    <w:semiHidden/>
    <w:rsid w:val="003A5993"/>
    <w:rPr>
      <w:kern w:val="2"/>
      <w:sz w:val="21"/>
      <w:szCs w:val="22"/>
    </w:rPr>
  </w:style>
  <w:style w:type="paragraph" w:styleId="CommentSubject">
    <w:name w:val="annotation subject"/>
    <w:basedOn w:val="CommentText"/>
    <w:next w:val="CommentText"/>
    <w:link w:val="CommentSubjectChar"/>
    <w:uiPriority w:val="99"/>
    <w:semiHidden/>
    <w:unhideWhenUsed/>
    <w:rsid w:val="003A5993"/>
    <w:rPr>
      <w:b/>
      <w:bCs/>
    </w:rPr>
  </w:style>
  <w:style w:type="character" w:customStyle="1" w:styleId="CommentSubjectChar">
    <w:name w:val="Comment Subject Char"/>
    <w:basedOn w:val="CommentTextChar"/>
    <w:link w:val="CommentSubject"/>
    <w:uiPriority w:val="99"/>
    <w:semiHidden/>
    <w:rsid w:val="003A5993"/>
    <w:rPr>
      <w:b/>
      <w:bCs/>
      <w:kern w:val="2"/>
      <w:sz w:val="21"/>
      <w:szCs w:val="22"/>
    </w:rPr>
  </w:style>
  <w:style w:type="paragraph" w:styleId="Revision">
    <w:name w:val="Revision"/>
    <w:hidden/>
    <w:uiPriority w:val="99"/>
    <w:semiHidden/>
    <w:rsid w:val="004750E6"/>
    <w:rPr>
      <w:kern w:val="2"/>
      <w:sz w:val="21"/>
      <w:szCs w:val="22"/>
    </w:rPr>
  </w:style>
  <w:style w:type="paragraph" w:styleId="FootnoteText">
    <w:name w:val="footnote text"/>
    <w:basedOn w:val="Normal"/>
    <w:link w:val="FootnoteTextChar"/>
    <w:uiPriority w:val="99"/>
    <w:semiHidden/>
    <w:unhideWhenUsed/>
    <w:rsid w:val="00F22FCA"/>
    <w:pPr>
      <w:spacing w:before="0" w:after="0"/>
    </w:pPr>
    <w:rPr>
      <w:sz w:val="20"/>
      <w:szCs w:val="20"/>
    </w:rPr>
  </w:style>
  <w:style w:type="character" w:customStyle="1" w:styleId="FootnoteTextChar">
    <w:name w:val="Footnote Text Char"/>
    <w:basedOn w:val="DefaultParagraphFont"/>
    <w:link w:val="FootnoteText"/>
    <w:uiPriority w:val="99"/>
    <w:semiHidden/>
    <w:rsid w:val="00F22FCA"/>
    <w:rPr>
      <w:rFonts w:ascii="Arial" w:hAnsi="Arial" w:cs="Arial"/>
      <w:kern w:val="2"/>
    </w:rPr>
  </w:style>
  <w:style w:type="character" w:styleId="FootnoteReference">
    <w:name w:val="footnote reference"/>
    <w:basedOn w:val="DefaultParagraphFont"/>
    <w:uiPriority w:val="99"/>
    <w:semiHidden/>
    <w:unhideWhenUsed/>
    <w:rsid w:val="00F22FCA"/>
    <w:rPr>
      <w:vertAlign w:val="superscript"/>
    </w:rPr>
  </w:style>
  <w:style w:type="character" w:styleId="Hyperlink">
    <w:name w:val="Hyperlink"/>
    <w:basedOn w:val="DefaultParagraphFont"/>
    <w:uiPriority w:val="99"/>
    <w:semiHidden/>
    <w:unhideWhenUsed/>
    <w:rsid w:val="00F22FCA"/>
    <w:rPr>
      <w:color w:val="0000FF"/>
      <w:u w:val="single"/>
    </w:rPr>
  </w:style>
  <w:style w:type="character" w:customStyle="1" w:styleId="Heading1Char">
    <w:name w:val="Heading 1 Char"/>
    <w:basedOn w:val="DefaultParagraphFont"/>
    <w:link w:val="Heading1"/>
    <w:uiPriority w:val="9"/>
    <w:rsid w:val="009778F3"/>
    <w:rPr>
      <w:rFonts w:asciiTheme="majorHAnsi" w:eastAsiaTheme="majorEastAsia" w:hAnsiTheme="majorHAnsi" w:cstheme="majorBidi"/>
      <w:color w:val="365F91" w:themeColor="accent1" w:themeShade="BF"/>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816375">
      <w:bodyDiv w:val="1"/>
      <w:marLeft w:val="0"/>
      <w:marRight w:val="0"/>
      <w:marTop w:val="0"/>
      <w:marBottom w:val="0"/>
      <w:divBdr>
        <w:top w:val="none" w:sz="0" w:space="0" w:color="auto"/>
        <w:left w:val="none" w:sz="0" w:space="0" w:color="auto"/>
        <w:bottom w:val="none" w:sz="0" w:space="0" w:color="auto"/>
        <w:right w:val="none" w:sz="0" w:space="0" w:color="auto"/>
      </w:divBdr>
    </w:div>
    <w:div w:id="983705979">
      <w:bodyDiv w:val="1"/>
      <w:marLeft w:val="0"/>
      <w:marRight w:val="0"/>
      <w:marTop w:val="0"/>
      <w:marBottom w:val="0"/>
      <w:divBdr>
        <w:top w:val="none" w:sz="0" w:space="0" w:color="auto"/>
        <w:left w:val="none" w:sz="0" w:space="0" w:color="auto"/>
        <w:bottom w:val="none" w:sz="0" w:space="0" w:color="auto"/>
        <w:right w:val="none" w:sz="0" w:space="0" w:color="auto"/>
      </w:divBdr>
    </w:div>
    <w:div w:id="1101222192">
      <w:bodyDiv w:val="1"/>
      <w:marLeft w:val="0"/>
      <w:marRight w:val="0"/>
      <w:marTop w:val="0"/>
      <w:marBottom w:val="0"/>
      <w:divBdr>
        <w:top w:val="none" w:sz="0" w:space="0" w:color="auto"/>
        <w:left w:val="none" w:sz="0" w:space="0" w:color="auto"/>
        <w:bottom w:val="none" w:sz="0" w:space="0" w:color="auto"/>
        <w:right w:val="none" w:sz="0" w:space="0" w:color="auto"/>
      </w:divBdr>
    </w:div>
    <w:div w:id="1541359201">
      <w:bodyDiv w:val="1"/>
      <w:marLeft w:val="0"/>
      <w:marRight w:val="0"/>
      <w:marTop w:val="0"/>
      <w:marBottom w:val="0"/>
      <w:divBdr>
        <w:top w:val="none" w:sz="0" w:space="0" w:color="auto"/>
        <w:left w:val="none" w:sz="0" w:space="0" w:color="auto"/>
        <w:bottom w:val="none" w:sz="0" w:space="0" w:color="auto"/>
        <w:right w:val="none" w:sz="0" w:space="0" w:color="auto"/>
      </w:divBdr>
    </w:div>
    <w:div w:id="159994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themes/transtheme-its/background.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D2F4D-9710-46DE-B913-E836B08AB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845</Words>
  <Characters>4817</Characters>
  <Application>Microsoft Office Word</Application>
  <DocSecurity>0</DocSecurity>
  <Lines>40</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k-hira</dc:creator>
  <cp:lastModifiedBy>Francois Guichard</cp:lastModifiedBy>
  <cp:revision>5</cp:revision>
  <cp:lastPrinted>2019-02-12T06:59:00Z</cp:lastPrinted>
  <dcterms:created xsi:type="dcterms:W3CDTF">2019-06-25T14:42:00Z</dcterms:created>
  <dcterms:modified xsi:type="dcterms:W3CDTF">2019-06-27T17:30:00Z</dcterms:modified>
</cp:coreProperties>
</file>