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A39CF" w14:paraId="08C1FDD3" w14:textId="77777777" w:rsidTr="00C97039">
        <w:trPr>
          <w:trHeight w:hRule="exact" w:val="851"/>
        </w:trPr>
        <w:tc>
          <w:tcPr>
            <w:tcW w:w="1276" w:type="dxa"/>
            <w:tcBorders>
              <w:bottom w:val="single" w:sz="4" w:space="0" w:color="auto"/>
            </w:tcBorders>
          </w:tcPr>
          <w:p w14:paraId="6E8CD30F" w14:textId="77777777" w:rsidR="00F35BAF" w:rsidRPr="008A39CF" w:rsidRDefault="00F35BAF" w:rsidP="00BB4111">
            <w:bookmarkStart w:id="0" w:name="_GoBack"/>
            <w:bookmarkEnd w:id="0"/>
          </w:p>
        </w:tc>
        <w:tc>
          <w:tcPr>
            <w:tcW w:w="2268" w:type="dxa"/>
            <w:tcBorders>
              <w:bottom w:val="single" w:sz="4" w:space="0" w:color="auto"/>
            </w:tcBorders>
            <w:vAlign w:val="bottom"/>
          </w:tcPr>
          <w:p w14:paraId="2B89DF3C" w14:textId="77777777" w:rsidR="00F35BAF" w:rsidRPr="008A39CF" w:rsidRDefault="00F35BAF" w:rsidP="00C97039">
            <w:pPr>
              <w:spacing w:after="80" w:line="300" w:lineRule="exact"/>
              <w:rPr>
                <w:sz w:val="28"/>
              </w:rPr>
            </w:pPr>
            <w:r w:rsidRPr="008A39CF">
              <w:rPr>
                <w:sz w:val="28"/>
              </w:rPr>
              <w:t>Nations Unies</w:t>
            </w:r>
          </w:p>
        </w:tc>
        <w:tc>
          <w:tcPr>
            <w:tcW w:w="6095" w:type="dxa"/>
            <w:gridSpan w:val="2"/>
            <w:tcBorders>
              <w:bottom w:val="single" w:sz="4" w:space="0" w:color="auto"/>
            </w:tcBorders>
            <w:vAlign w:val="bottom"/>
          </w:tcPr>
          <w:p w14:paraId="6345D324" w14:textId="77777777" w:rsidR="00F35BAF" w:rsidRPr="008A39CF" w:rsidRDefault="00BB4111" w:rsidP="00BB4111">
            <w:pPr>
              <w:jc w:val="right"/>
            </w:pPr>
            <w:r w:rsidRPr="008A39CF">
              <w:rPr>
                <w:sz w:val="40"/>
              </w:rPr>
              <w:t>ECE</w:t>
            </w:r>
            <w:r w:rsidRPr="008A39CF">
              <w:t>/TRANS/WP.29/2019/71</w:t>
            </w:r>
          </w:p>
        </w:tc>
      </w:tr>
      <w:tr w:rsidR="00F35BAF" w:rsidRPr="008A39CF" w14:paraId="08D40928" w14:textId="77777777" w:rsidTr="00C97039">
        <w:trPr>
          <w:trHeight w:hRule="exact" w:val="2835"/>
        </w:trPr>
        <w:tc>
          <w:tcPr>
            <w:tcW w:w="1276" w:type="dxa"/>
            <w:tcBorders>
              <w:top w:val="single" w:sz="4" w:space="0" w:color="auto"/>
              <w:bottom w:val="single" w:sz="12" w:space="0" w:color="auto"/>
            </w:tcBorders>
          </w:tcPr>
          <w:p w14:paraId="153330CA" w14:textId="77777777" w:rsidR="00F35BAF" w:rsidRPr="008A39CF" w:rsidRDefault="00F35BAF" w:rsidP="00C97039">
            <w:pPr>
              <w:spacing w:before="120"/>
              <w:jc w:val="center"/>
            </w:pPr>
            <w:r w:rsidRPr="008A39CF">
              <w:rPr>
                <w:noProof/>
                <w:lang w:eastAsia="fr-CH"/>
              </w:rPr>
              <w:drawing>
                <wp:inline distT="0" distB="0" distL="0" distR="0" wp14:anchorId="2A445E51" wp14:editId="1BE314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7E38481" w14:textId="77777777" w:rsidR="00F35BAF" w:rsidRPr="008A39CF" w:rsidRDefault="00F35BAF" w:rsidP="00C97039">
            <w:pPr>
              <w:spacing w:before="120" w:line="420" w:lineRule="exact"/>
              <w:rPr>
                <w:b/>
                <w:sz w:val="40"/>
                <w:szCs w:val="40"/>
              </w:rPr>
            </w:pPr>
            <w:r w:rsidRPr="008A39CF">
              <w:rPr>
                <w:b/>
                <w:sz w:val="40"/>
                <w:szCs w:val="40"/>
              </w:rPr>
              <w:t>Conseil économique et social</w:t>
            </w:r>
          </w:p>
        </w:tc>
        <w:tc>
          <w:tcPr>
            <w:tcW w:w="2835" w:type="dxa"/>
            <w:tcBorders>
              <w:top w:val="single" w:sz="4" w:space="0" w:color="auto"/>
              <w:bottom w:val="single" w:sz="12" w:space="0" w:color="auto"/>
            </w:tcBorders>
          </w:tcPr>
          <w:p w14:paraId="1E5F41E0" w14:textId="77777777" w:rsidR="00F35BAF" w:rsidRPr="008A39CF" w:rsidRDefault="00BB4111" w:rsidP="00C97039">
            <w:pPr>
              <w:spacing w:before="240"/>
            </w:pPr>
            <w:r w:rsidRPr="008A39CF">
              <w:t xml:space="preserve">Distr. </w:t>
            </w:r>
            <w:proofErr w:type="gramStart"/>
            <w:r w:rsidRPr="008A39CF">
              <w:t>générale</w:t>
            </w:r>
            <w:proofErr w:type="gramEnd"/>
          </w:p>
          <w:p w14:paraId="476EEF43" w14:textId="77777777" w:rsidR="00BB4111" w:rsidRPr="008A39CF" w:rsidRDefault="00BB4111" w:rsidP="00BB4111">
            <w:pPr>
              <w:spacing w:line="240" w:lineRule="exact"/>
            </w:pPr>
            <w:r w:rsidRPr="008A39CF">
              <w:t>11 avril 2019</w:t>
            </w:r>
          </w:p>
          <w:p w14:paraId="05DDC2B9" w14:textId="77777777" w:rsidR="00BB4111" w:rsidRPr="008A39CF" w:rsidRDefault="00BB4111" w:rsidP="00BB4111">
            <w:pPr>
              <w:spacing w:line="240" w:lineRule="exact"/>
            </w:pPr>
            <w:r w:rsidRPr="008A39CF">
              <w:t>Français</w:t>
            </w:r>
          </w:p>
          <w:p w14:paraId="2783DD78" w14:textId="77777777" w:rsidR="00BB4111" w:rsidRPr="008A39CF" w:rsidRDefault="00BB4111" w:rsidP="00BB4111">
            <w:pPr>
              <w:spacing w:line="240" w:lineRule="exact"/>
            </w:pPr>
            <w:r w:rsidRPr="008A39CF">
              <w:t>Original</w:t>
            </w:r>
            <w:r w:rsidR="00960780" w:rsidRPr="008A39CF">
              <w:t> </w:t>
            </w:r>
            <w:r w:rsidRPr="008A39CF">
              <w:t>: anglais</w:t>
            </w:r>
          </w:p>
        </w:tc>
      </w:tr>
    </w:tbl>
    <w:p w14:paraId="496FFEB9" w14:textId="77777777" w:rsidR="007F20FA" w:rsidRPr="008A39CF" w:rsidRDefault="007F20FA" w:rsidP="007F20FA">
      <w:pPr>
        <w:spacing w:before="120"/>
        <w:rPr>
          <w:b/>
          <w:sz w:val="28"/>
          <w:szCs w:val="28"/>
        </w:rPr>
      </w:pPr>
      <w:r w:rsidRPr="008A39CF">
        <w:rPr>
          <w:b/>
          <w:sz w:val="28"/>
          <w:szCs w:val="28"/>
        </w:rPr>
        <w:t>Commission économique pour l’Europe</w:t>
      </w:r>
    </w:p>
    <w:p w14:paraId="688BEC13" w14:textId="77777777" w:rsidR="007F20FA" w:rsidRPr="008A39CF" w:rsidRDefault="007F20FA" w:rsidP="007F20FA">
      <w:pPr>
        <w:spacing w:before="120"/>
        <w:rPr>
          <w:sz w:val="28"/>
          <w:szCs w:val="28"/>
        </w:rPr>
      </w:pPr>
      <w:r w:rsidRPr="008A39CF">
        <w:rPr>
          <w:sz w:val="28"/>
          <w:szCs w:val="28"/>
        </w:rPr>
        <w:t>Comité des transports intérieurs</w:t>
      </w:r>
    </w:p>
    <w:p w14:paraId="5AEC922E" w14:textId="77777777" w:rsidR="00A8030E" w:rsidRPr="008A39CF" w:rsidRDefault="00A8030E" w:rsidP="00A8030E">
      <w:pPr>
        <w:spacing w:before="120"/>
        <w:rPr>
          <w:b/>
          <w:sz w:val="24"/>
          <w:szCs w:val="24"/>
        </w:rPr>
      </w:pPr>
      <w:r w:rsidRPr="008A39CF">
        <w:rPr>
          <w:b/>
          <w:sz w:val="24"/>
          <w:szCs w:val="24"/>
        </w:rPr>
        <w:t>Forum mondial de l’harmonisation</w:t>
      </w:r>
      <w:r w:rsidRPr="008A39CF">
        <w:rPr>
          <w:b/>
          <w:sz w:val="24"/>
          <w:szCs w:val="24"/>
        </w:rPr>
        <w:br/>
        <w:t>des Règlements concernant les véhicules</w:t>
      </w:r>
    </w:p>
    <w:p w14:paraId="40B0E386" w14:textId="77777777" w:rsidR="00A8030E" w:rsidRPr="008A39CF" w:rsidRDefault="00A8030E" w:rsidP="00A8030E">
      <w:pPr>
        <w:spacing w:before="120" w:line="240" w:lineRule="exact"/>
        <w:rPr>
          <w:b/>
        </w:rPr>
      </w:pPr>
      <w:r w:rsidRPr="008A39CF">
        <w:rPr>
          <w:b/>
        </w:rPr>
        <w:t>178</w:t>
      </w:r>
      <w:r w:rsidRPr="008A39CF">
        <w:rPr>
          <w:b/>
          <w:vertAlign w:val="superscript"/>
        </w:rPr>
        <w:t>e</w:t>
      </w:r>
      <w:r w:rsidRPr="008A39CF">
        <w:rPr>
          <w:b/>
        </w:rPr>
        <w:t> session</w:t>
      </w:r>
    </w:p>
    <w:p w14:paraId="5D156C56" w14:textId="77777777" w:rsidR="00A8030E" w:rsidRPr="008A39CF" w:rsidRDefault="00A8030E" w:rsidP="00A8030E">
      <w:pPr>
        <w:spacing w:line="240" w:lineRule="exact"/>
      </w:pPr>
      <w:r w:rsidRPr="008A39CF">
        <w:t>Genève, 25-28 juin 2019</w:t>
      </w:r>
    </w:p>
    <w:p w14:paraId="19EA0539" w14:textId="77777777" w:rsidR="00A8030E" w:rsidRPr="008A39CF" w:rsidRDefault="00A8030E" w:rsidP="00A8030E">
      <w:pPr>
        <w:spacing w:line="240" w:lineRule="exact"/>
      </w:pPr>
      <w:r w:rsidRPr="008A39CF">
        <w:t>Point 16 de l’ordre du jour provisoire</w:t>
      </w:r>
    </w:p>
    <w:p w14:paraId="41D7175A" w14:textId="77777777" w:rsidR="00A8030E" w:rsidRPr="008A39CF" w:rsidRDefault="00A8030E" w:rsidP="00A8030E">
      <w:pPr>
        <w:rPr>
          <w:b/>
        </w:rPr>
      </w:pPr>
      <w:r w:rsidRPr="008A39CF">
        <w:rPr>
          <w:b/>
        </w:rPr>
        <w:t>Examen des amendements à la Résolution mutuelle</w:t>
      </w:r>
    </w:p>
    <w:p w14:paraId="73A7A1A6" w14:textId="77777777" w:rsidR="00A8030E" w:rsidRPr="008A39CF" w:rsidRDefault="00A8030E" w:rsidP="00A8030E">
      <w:pPr>
        <w:pStyle w:val="HChG"/>
      </w:pPr>
      <w:r w:rsidRPr="008A39CF">
        <w:tab/>
      </w:r>
      <w:r w:rsidRPr="008A39CF">
        <w:tab/>
        <w:t>Proposition d’amendement 1 à la Résolution mutuelle n</w:t>
      </w:r>
      <w:r w:rsidRPr="008A39CF">
        <w:rPr>
          <w:vertAlign w:val="superscript"/>
        </w:rPr>
        <w:t>o</w:t>
      </w:r>
      <w:r w:rsidRPr="008A39CF">
        <w:t> 2 (R.M.2) contenant des définitions des systèmes de propulsion des véhicules</w:t>
      </w:r>
    </w:p>
    <w:p w14:paraId="00F141DD" w14:textId="77777777" w:rsidR="00A8030E" w:rsidRPr="008A39CF" w:rsidRDefault="00A8030E" w:rsidP="00A8030E">
      <w:pPr>
        <w:pStyle w:val="H1G"/>
      </w:pPr>
      <w:r w:rsidRPr="008A39CF">
        <w:tab/>
      </w:r>
      <w:r w:rsidRPr="008A39CF">
        <w:tab/>
        <w:t>Communication du Groupe de travail de la pollution et de l’énergie</w:t>
      </w:r>
      <w:r w:rsidRPr="008A39CF">
        <w:rPr>
          <w:rStyle w:val="FootnoteReference"/>
          <w:b w:val="0"/>
          <w:sz w:val="20"/>
          <w:vertAlign w:val="baseline"/>
        </w:rPr>
        <w:footnoteReference w:customMarkFollows="1" w:id="2"/>
        <w:t>*</w:t>
      </w:r>
    </w:p>
    <w:p w14:paraId="427865C5" w14:textId="77777777" w:rsidR="00A8030E" w:rsidRPr="008A39CF" w:rsidRDefault="00A8030E" w:rsidP="00A8030E">
      <w:pPr>
        <w:pStyle w:val="SingleTxtG"/>
        <w:ind w:firstLine="567"/>
      </w:pPr>
      <w:r w:rsidRPr="008A39CF">
        <w:t>Le texte ci-dessous a été</w:t>
      </w:r>
      <w:r w:rsidR="008A39CF" w:rsidRPr="008A39CF">
        <w:t xml:space="preserve"> </w:t>
      </w:r>
      <w:r w:rsidRPr="008A39CF">
        <w:t xml:space="preserve">adopté par le Groupe de travail de la pollution et de l’énergie (GRPE) à sa soixante-dix-huitième session (ECE/TRANS/WP.29/GRPE/78, par. 57). Il est fondé sur le document ECE/TRANS/WP.29/GRPE/2019/5 et est soumis au Forum mondial de l’harmonisation des Règlements concernant les véhicules (WP.29), au Comité d’administration AC.1 et au Comité exécutif de l’Accord de 1998 (AC.3) pour examen à </w:t>
      </w:r>
      <w:proofErr w:type="gramStart"/>
      <w:r w:rsidRPr="008A39CF">
        <w:t>leurs</w:t>
      </w:r>
      <w:proofErr w:type="gramEnd"/>
      <w:r w:rsidRPr="008A39CF">
        <w:t xml:space="preserve"> sessions de juin 2019.</w:t>
      </w:r>
    </w:p>
    <w:p w14:paraId="1FE51009" w14:textId="77777777" w:rsidR="00A8030E" w:rsidRPr="008A39CF" w:rsidRDefault="00A8030E" w:rsidP="00A8030E">
      <w:pPr>
        <w:pStyle w:val="HChG"/>
      </w:pPr>
      <w:r w:rsidRPr="008A39CF">
        <w:br w:type="page"/>
      </w:r>
      <w:r w:rsidRPr="008A39CF">
        <w:lastRenderedPageBreak/>
        <w:tab/>
      </w:r>
      <w:r w:rsidRPr="008A39CF">
        <w:tab/>
        <w:t xml:space="preserve">Amendement 1 à la Résolution mutuelle </w:t>
      </w:r>
      <w:r w:rsidRPr="008A39CF">
        <w:rPr>
          <w:rFonts w:eastAsia="MS Mincho"/>
        </w:rPr>
        <w:t>n</w:t>
      </w:r>
      <w:r w:rsidRPr="008A39CF">
        <w:rPr>
          <w:rFonts w:eastAsia="MS Mincho"/>
          <w:vertAlign w:val="superscript"/>
        </w:rPr>
        <w:t>o</w:t>
      </w:r>
      <w:r w:rsidRPr="008A39CF">
        <w:t> 2 contenant des définitions des systèmes de propulsion des véhicules</w:t>
      </w:r>
    </w:p>
    <w:p w14:paraId="31A4E391" w14:textId="77777777" w:rsidR="00A8030E" w:rsidRPr="008A39CF" w:rsidRDefault="00A8030E" w:rsidP="00A8030E">
      <w:pPr>
        <w:pStyle w:val="SingleTxtG"/>
      </w:pPr>
      <w:r w:rsidRPr="008A39CF">
        <w:rPr>
          <w:i/>
        </w:rPr>
        <w:t>Section A, paragraphe 37</w:t>
      </w:r>
      <w:r w:rsidRPr="008A39CF">
        <w:t>, lire :</w:t>
      </w:r>
    </w:p>
    <w:p w14:paraId="1DBAF14B" w14:textId="77777777" w:rsidR="00A8030E" w:rsidRPr="008A39CF" w:rsidRDefault="00A8030E" w:rsidP="00A8030E">
      <w:pPr>
        <w:pStyle w:val="SingleTxtG"/>
      </w:pPr>
      <w:r w:rsidRPr="008A39CF">
        <w:t>« 37.</w:t>
      </w:r>
      <w:r w:rsidRPr="008A39CF">
        <w:tab/>
        <w:t>Les dispositifs périphériques font partie de la chaîne de traction. Il peut s’agir de dispositifs de stockage, de conversion, de fourniture ou de consommation d’énergie, indispensables au fonctionnement de la chaîne de traction. Ils ne sont pas considérés comme systèmes de stockage de l’énergie de propulsion ou convertisseurs de cette énergie. Ils ne servent pas à fournir différentes formes d’énergie de façon directe ou indirecte aux fins de la propulsion. Les batteries 12 V, le moteur de démarrage, le système d’admission, le système d’alimentation en carburant, le dispositif de conditionnement de l’énergie électrique, les capteurs, les actionneurs, les condensateurs, les modules de gestion électronique, les turbocompresseurs ou encore le système de traitement aval des gaz d’échappement sont autant d’exemples de dispositifs périphériques. ».</w:t>
      </w:r>
    </w:p>
    <w:p w14:paraId="27C785E4" w14:textId="77777777" w:rsidR="00A8030E" w:rsidRPr="008A39CF" w:rsidRDefault="00A8030E" w:rsidP="00A8030E">
      <w:pPr>
        <w:pStyle w:val="SingleTxtG"/>
      </w:pPr>
      <w:r w:rsidRPr="008A39CF">
        <w:rPr>
          <w:i/>
        </w:rPr>
        <w:t>Section B, paragraphe 1.4</w:t>
      </w:r>
      <w:r w:rsidRPr="008A39CF">
        <w:t xml:space="preserve">, </w:t>
      </w:r>
      <w:r w:rsidRPr="008A39CF">
        <w:rPr>
          <w:iCs/>
        </w:rPr>
        <w:t>lire :</w:t>
      </w:r>
    </w:p>
    <w:p w14:paraId="2C6845C9" w14:textId="77777777" w:rsidR="00A8030E" w:rsidRPr="008A39CF" w:rsidRDefault="00A8030E" w:rsidP="00A8030E">
      <w:pPr>
        <w:pStyle w:val="SingleTxtG"/>
      </w:pPr>
      <w:r w:rsidRPr="008A39CF">
        <w:t>« 1.4</w:t>
      </w:r>
      <w:r w:rsidRPr="008A39CF">
        <w:tab/>
        <w:t>“Dispositifs périphériques</w:t>
      </w:r>
      <w:r w:rsidRPr="008A39CF">
        <w:rPr>
          <w:rFonts w:eastAsia="MS Mincho"/>
        </w:rPr>
        <w:t>” </w:t>
      </w:r>
      <w:r w:rsidRPr="008A39CF">
        <w:t>: tous dispositifs consommant, convertissant, stockant ou fournissant de l’énergie, dont l’énergie ne sert pas directement ou indirectement à la propulsion du véhicule, mais qui sont indispensables au fonctionnement de la chaîne de traction et sont donc considérés comme en faisant partie intégrante. ».</w:t>
      </w:r>
    </w:p>
    <w:p w14:paraId="3749EE36" w14:textId="77777777" w:rsidR="00F9573C" w:rsidRPr="008A39CF" w:rsidRDefault="00A8030E" w:rsidP="00A8030E">
      <w:pPr>
        <w:pStyle w:val="SingleTxtG"/>
        <w:spacing w:before="240" w:after="0"/>
        <w:jc w:val="center"/>
        <w:rPr>
          <w:u w:val="single"/>
        </w:rPr>
      </w:pPr>
      <w:r w:rsidRPr="008A39CF">
        <w:rPr>
          <w:u w:val="single"/>
        </w:rPr>
        <w:tab/>
      </w:r>
      <w:r w:rsidRPr="008A39CF">
        <w:rPr>
          <w:u w:val="single"/>
        </w:rPr>
        <w:tab/>
      </w:r>
      <w:r w:rsidRPr="008A39CF">
        <w:rPr>
          <w:u w:val="single"/>
        </w:rPr>
        <w:tab/>
      </w:r>
    </w:p>
    <w:sectPr w:rsidR="00F9573C" w:rsidRPr="008A39CF" w:rsidSect="00BB411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B869" w14:textId="77777777" w:rsidR="00D658A3" w:rsidRDefault="00D658A3" w:rsidP="00F95C08">
      <w:pPr>
        <w:spacing w:line="240" w:lineRule="auto"/>
      </w:pPr>
    </w:p>
  </w:endnote>
  <w:endnote w:type="continuationSeparator" w:id="0">
    <w:p w14:paraId="790EDE62" w14:textId="77777777" w:rsidR="00D658A3" w:rsidRPr="00AC3823" w:rsidRDefault="00D658A3" w:rsidP="00AC3823">
      <w:pPr>
        <w:pStyle w:val="Footer"/>
      </w:pPr>
    </w:p>
  </w:endnote>
  <w:endnote w:type="continuationNotice" w:id="1">
    <w:p w14:paraId="356DF81F" w14:textId="77777777" w:rsidR="00D658A3" w:rsidRDefault="00D658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53E5F" w14:textId="77777777" w:rsidR="00BB4111" w:rsidRPr="00BB4111" w:rsidRDefault="00BB4111" w:rsidP="00BB4111">
    <w:pPr>
      <w:pStyle w:val="Footer"/>
      <w:tabs>
        <w:tab w:val="right" w:pos="9638"/>
      </w:tabs>
    </w:pPr>
    <w:r w:rsidRPr="00BB4111">
      <w:rPr>
        <w:b/>
        <w:sz w:val="18"/>
      </w:rPr>
      <w:fldChar w:fldCharType="begin"/>
    </w:r>
    <w:r w:rsidRPr="00BB4111">
      <w:rPr>
        <w:b/>
        <w:sz w:val="18"/>
      </w:rPr>
      <w:instrText xml:space="preserve"> PAGE  \* MERGEFORMAT </w:instrText>
    </w:r>
    <w:r w:rsidRPr="00BB4111">
      <w:rPr>
        <w:b/>
        <w:sz w:val="18"/>
      </w:rPr>
      <w:fldChar w:fldCharType="separate"/>
    </w:r>
    <w:r w:rsidRPr="00BB4111">
      <w:rPr>
        <w:b/>
        <w:noProof/>
        <w:sz w:val="18"/>
      </w:rPr>
      <w:t>2</w:t>
    </w:r>
    <w:r w:rsidRPr="00BB4111">
      <w:rPr>
        <w:b/>
        <w:sz w:val="18"/>
      </w:rPr>
      <w:fldChar w:fldCharType="end"/>
    </w:r>
    <w:r>
      <w:rPr>
        <w:b/>
        <w:sz w:val="18"/>
      </w:rPr>
      <w:tab/>
    </w:r>
    <w:r>
      <w:t>GE.19-06148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36A8A" w14:textId="77777777" w:rsidR="00BB4111" w:rsidRPr="00BB4111" w:rsidRDefault="00BB4111" w:rsidP="00BB4111">
    <w:pPr>
      <w:pStyle w:val="Footer"/>
      <w:tabs>
        <w:tab w:val="right" w:pos="9638"/>
      </w:tabs>
      <w:rPr>
        <w:b/>
        <w:sz w:val="18"/>
      </w:rPr>
    </w:pPr>
    <w:r>
      <w:t>GE.19-06148</w:t>
    </w:r>
    <w:r>
      <w:tab/>
    </w:r>
    <w:r w:rsidRPr="00BB4111">
      <w:rPr>
        <w:b/>
        <w:sz w:val="18"/>
      </w:rPr>
      <w:fldChar w:fldCharType="begin"/>
    </w:r>
    <w:r w:rsidRPr="00BB4111">
      <w:rPr>
        <w:b/>
        <w:sz w:val="18"/>
      </w:rPr>
      <w:instrText xml:space="preserve"> PAGE  \* MERGEFORMAT </w:instrText>
    </w:r>
    <w:r w:rsidRPr="00BB4111">
      <w:rPr>
        <w:b/>
        <w:sz w:val="18"/>
      </w:rPr>
      <w:fldChar w:fldCharType="separate"/>
    </w:r>
    <w:r w:rsidRPr="00BB4111">
      <w:rPr>
        <w:b/>
        <w:noProof/>
        <w:sz w:val="18"/>
      </w:rPr>
      <w:t>3</w:t>
    </w:r>
    <w:r w:rsidRPr="00BB411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5D" w14:textId="77777777" w:rsidR="007F20FA" w:rsidRPr="00BB4111" w:rsidRDefault="00BB4111" w:rsidP="00BB4111">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35C8D60B" wp14:editId="74C831C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06148  (</w:t>
    </w:r>
    <w:proofErr w:type="gramEnd"/>
    <w:r>
      <w:rPr>
        <w:sz w:val="20"/>
      </w:rPr>
      <w:t>F)</w:t>
    </w:r>
    <w:r w:rsidR="00960780">
      <w:rPr>
        <w:sz w:val="20"/>
      </w:rPr>
      <w:t xml:space="preserve">    010519    010519</w:t>
    </w:r>
    <w:r>
      <w:rPr>
        <w:sz w:val="20"/>
      </w:rPr>
      <w:br/>
    </w:r>
    <w:r w:rsidRPr="00BB4111">
      <w:rPr>
        <w:rFonts w:ascii="C39T30Lfz" w:hAnsi="C39T30Lfz"/>
        <w:sz w:val="56"/>
      </w:rPr>
      <w:t></w:t>
    </w:r>
    <w:r w:rsidRPr="00BB4111">
      <w:rPr>
        <w:rFonts w:ascii="C39T30Lfz" w:hAnsi="C39T30Lfz"/>
        <w:sz w:val="56"/>
      </w:rPr>
      <w:t></w:t>
    </w:r>
    <w:r w:rsidRPr="00BB4111">
      <w:rPr>
        <w:rFonts w:ascii="C39T30Lfz" w:hAnsi="C39T30Lfz"/>
        <w:sz w:val="56"/>
      </w:rPr>
      <w:t></w:t>
    </w:r>
    <w:r w:rsidRPr="00BB4111">
      <w:rPr>
        <w:rFonts w:ascii="C39T30Lfz" w:hAnsi="C39T30Lfz"/>
        <w:sz w:val="56"/>
      </w:rPr>
      <w:t></w:t>
    </w:r>
    <w:r w:rsidRPr="00BB4111">
      <w:rPr>
        <w:rFonts w:ascii="C39T30Lfz" w:hAnsi="C39T30Lfz"/>
        <w:sz w:val="56"/>
      </w:rPr>
      <w:t></w:t>
    </w:r>
    <w:r w:rsidRPr="00BB4111">
      <w:rPr>
        <w:rFonts w:ascii="C39T30Lfz" w:hAnsi="C39T30Lfz"/>
        <w:sz w:val="56"/>
      </w:rPr>
      <w:t></w:t>
    </w:r>
    <w:r w:rsidRPr="00BB4111">
      <w:rPr>
        <w:rFonts w:ascii="C39T30Lfz" w:hAnsi="C39T30Lfz"/>
        <w:sz w:val="56"/>
      </w:rPr>
      <w:t></w:t>
    </w:r>
    <w:r w:rsidRPr="00BB4111">
      <w:rPr>
        <w:rFonts w:ascii="C39T30Lfz" w:hAnsi="C39T30Lfz"/>
        <w:sz w:val="56"/>
      </w:rPr>
      <w:t></w:t>
    </w:r>
    <w:r w:rsidRPr="00BB4111">
      <w:rPr>
        <w:rFonts w:ascii="C39T30Lfz" w:hAnsi="C39T30Lfz"/>
        <w:sz w:val="56"/>
      </w:rPr>
      <w:t></w:t>
    </w:r>
    <w:r>
      <w:rPr>
        <w:noProof/>
        <w:sz w:val="20"/>
      </w:rPr>
      <w:drawing>
        <wp:anchor distT="0" distB="0" distL="114300" distR="114300" simplePos="0" relativeHeight="251658240" behindDoc="0" locked="0" layoutInCell="1" allowOverlap="1" wp14:anchorId="3F2A413C" wp14:editId="53157F93">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7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7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7B213" w14:textId="77777777" w:rsidR="00D658A3" w:rsidRPr="00AC3823" w:rsidRDefault="00D658A3" w:rsidP="00AC3823">
      <w:pPr>
        <w:pStyle w:val="Footer"/>
        <w:tabs>
          <w:tab w:val="right" w:pos="2155"/>
        </w:tabs>
        <w:spacing w:after="80" w:line="240" w:lineRule="atLeast"/>
        <w:ind w:left="680"/>
        <w:rPr>
          <w:u w:val="single"/>
        </w:rPr>
      </w:pPr>
      <w:r>
        <w:rPr>
          <w:u w:val="single"/>
        </w:rPr>
        <w:tab/>
      </w:r>
    </w:p>
  </w:footnote>
  <w:footnote w:type="continuationSeparator" w:id="0">
    <w:p w14:paraId="2046355A" w14:textId="77777777" w:rsidR="00D658A3" w:rsidRPr="00AC3823" w:rsidRDefault="00D658A3" w:rsidP="00AC3823">
      <w:pPr>
        <w:pStyle w:val="Footer"/>
        <w:tabs>
          <w:tab w:val="right" w:pos="2155"/>
        </w:tabs>
        <w:spacing w:after="80" w:line="240" w:lineRule="atLeast"/>
        <w:ind w:left="680"/>
        <w:rPr>
          <w:u w:val="single"/>
        </w:rPr>
      </w:pPr>
      <w:r>
        <w:rPr>
          <w:u w:val="single"/>
        </w:rPr>
        <w:tab/>
      </w:r>
    </w:p>
  </w:footnote>
  <w:footnote w:type="continuationNotice" w:id="1">
    <w:p w14:paraId="1102739D" w14:textId="77777777" w:rsidR="00D658A3" w:rsidRPr="00AC3823" w:rsidRDefault="00D658A3">
      <w:pPr>
        <w:spacing w:line="240" w:lineRule="auto"/>
        <w:rPr>
          <w:sz w:val="2"/>
          <w:szCs w:val="2"/>
        </w:rPr>
      </w:pPr>
    </w:p>
  </w:footnote>
  <w:footnote w:id="2">
    <w:p w14:paraId="7ACC1000" w14:textId="77777777" w:rsidR="00A8030E" w:rsidRPr="008A39CF" w:rsidRDefault="00A8030E" w:rsidP="00A8030E">
      <w:pPr>
        <w:pStyle w:val="FootnoteText"/>
        <w:rPr>
          <w:spacing w:val="-2"/>
        </w:rPr>
      </w:pPr>
      <w:r w:rsidRPr="008A39CF">
        <w:rPr>
          <w:rStyle w:val="FootnoteReference"/>
          <w:vertAlign w:val="baseline"/>
        </w:rPr>
        <w:tab/>
      </w:r>
      <w:r w:rsidRPr="008A39CF">
        <w:rPr>
          <w:rStyle w:val="FootnoteReference"/>
          <w:sz w:val="20"/>
          <w:vertAlign w:val="baseline"/>
        </w:rPr>
        <w:t>*</w:t>
      </w:r>
      <w:r w:rsidRPr="008A39CF">
        <w:rPr>
          <w:rStyle w:val="FootnoteReference"/>
          <w:sz w:val="20"/>
          <w:vertAlign w:val="baseline"/>
        </w:rPr>
        <w:tab/>
      </w:r>
      <w:r w:rsidRPr="008A39CF">
        <w:rPr>
          <w:spacing w:val="-2"/>
        </w:rPr>
        <w:t>Conformément au programme de travail du Comité des transports intérieurs pour la période 2018</w:t>
      </w:r>
      <w:r w:rsidRPr="008A39CF">
        <w:rPr>
          <w:spacing w:val="-2"/>
        </w:rPr>
        <w:noBreakHyphen/>
        <w:t>2019 (ECE/TRANS/274, par. 123, et ECE/TRANS/2018/21,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E617" w14:textId="389DC74C" w:rsidR="00BB4111" w:rsidRPr="00BB4111" w:rsidRDefault="0073495B">
    <w:pPr>
      <w:pStyle w:val="Header"/>
    </w:pPr>
    <w:r>
      <w:fldChar w:fldCharType="begin"/>
    </w:r>
    <w:r>
      <w:instrText xml:space="preserve"> TITLE  \* MERGEFORMAT </w:instrText>
    </w:r>
    <w:r>
      <w:fldChar w:fldCharType="separate"/>
    </w:r>
    <w:r>
      <w:t>ECE/TRANS/WP.29/2019/71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A1F8" w14:textId="70FAE129" w:rsidR="00BB4111" w:rsidRPr="00BB4111" w:rsidRDefault="0073495B" w:rsidP="00BB4111">
    <w:pPr>
      <w:pStyle w:val="Header"/>
      <w:jc w:val="right"/>
    </w:pPr>
    <w:r>
      <w:fldChar w:fldCharType="begin"/>
    </w:r>
    <w:r>
      <w:instrText xml:space="preserve"> TITLE  \* MERGEFORMAT </w:instrText>
    </w:r>
    <w:r>
      <w:fldChar w:fldCharType="separate"/>
    </w:r>
    <w:r>
      <w:t>ECE/TRANS/WP.29/2019/71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A3"/>
    <w:rsid w:val="00017F94"/>
    <w:rsid w:val="00023842"/>
    <w:rsid w:val="000334F9"/>
    <w:rsid w:val="00045FEB"/>
    <w:rsid w:val="0007796D"/>
    <w:rsid w:val="000B7790"/>
    <w:rsid w:val="00111F2F"/>
    <w:rsid w:val="0014365E"/>
    <w:rsid w:val="00143C66"/>
    <w:rsid w:val="00176178"/>
    <w:rsid w:val="00184787"/>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616156"/>
    <w:rsid w:val="0071601D"/>
    <w:rsid w:val="0073495B"/>
    <w:rsid w:val="007A62E6"/>
    <w:rsid w:val="007F20FA"/>
    <w:rsid w:val="0080684C"/>
    <w:rsid w:val="00871C75"/>
    <w:rsid w:val="008776DC"/>
    <w:rsid w:val="008A39CF"/>
    <w:rsid w:val="009446C0"/>
    <w:rsid w:val="00960780"/>
    <w:rsid w:val="009705C8"/>
    <w:rsid w:val="009C1CF4"/>
    <w:rsid w:val="009F6B74"/>
    <w:rsid w:val="00A3029F"/>
    <w:rsid w:val="00A30353"/>
    <w:rsid w:val="00A8030E"/>
    <w:rsid w:val="00AC3823"/>
    <w:rsid w:val="00AE323C"/>
    <w:rsid w:val="00AF0CB5"/>
    <w:rsid w:val="00B00181"/>
    <w:rsid w:val="00B00B0D"/>
    <w:rsid w:val="00B45F2E"/>
    <w:rsid w:val="00B765F7"/>
    <w:rsid w:val="00BA0CA9"/>
    <w:rsid w:val="00BB4111"/>
    <w:rsid w:val="00C02897"/>
    <w:rsid w:val="00C97039"/>
    <w:rsid w:val="00D3439C"/>
    <w:rsid w:val="00D658A3"/>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3D085"/>
  <w15:docId w15:val="{64652466-4B32-4EA4-8969-FE51DCE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8030E"/>
    <w:rPr>
      <w:rFonts w:ascii="Times New Roman" w:eastAsiaTheme="minorHAnsi" w:hAnsi="Times New Roman" w:cs="Times New Roman"/>
      <w:sz w:val="20"/>
      <w:szCs w:val="20"/>
      <w:lang w:eastAsia="en-US"/>
    </w:rPr>
  </w:style>
  <w:style w:type="character" w:customStyle="1" w:styleId="HChGChar">
    <w:name w:val="_ H _Ch_G Char"/>
    <w:link w:val="HChG"/>
    <w:rsid w:val="00A8030E"/>
    <w:rPr>
      <w:rFonts w:ascii="Times New Roman" w:eastAsiaTheme="minorHAnsi" w:hAnsi="Times New Roman" w:cs="Times New Roman"/>
      <w:b/>
      <w:sz w:val="28"/>
      <w:szCs w:val="20"/>
      <w:lang w:eastAsia="en-US"/>
    </w:rPr>
  </w:style>
  <w:style w:type="character" w:customStyle="1" w:styleId="H1GChar">
    <w:name w:val="_ H_1_G Char"/>
    <w:link w:val="H1G"/>
    <w:rsid w:val="00A8030E"/>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2068</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ECE/TRANS/WP.29/2019/71</vt:lpstr>
      <vt:lpstr/>
    </vt:vector>
  </TitlesOfParts>
  <Company>DCM</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ECE/TRANS/WP.29/2019/71</dc:title>
  <dc:subject/>
  <dc:creator>Nicolas MORIN</dc:creator>
  <cp:keywords/>
  <cp:lastModifiedBy>Marie-Claude Collet</cp:lastModifiedBy>
  <cp:revision>3</cp:revision>
  <cp:lastPrinted>2019-05-02T06:40:00Z</cp:lastPrinted>
  <dcterms:created xsi:type="dcterms:W3CDTF">2019-05-02T06:40:00Z</dcterms:created>
  <dcterms:modified xsi:type="dcterms:W3CDTF">2019-05-02T06:40:00Z</dcterms:modified>
</cp:coreProperties>
</file>