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AB17C41" w14:textId="77777777" w:rsidTr="00C97039">
        <w:trPr>
          <w:trHeight w:hRule="exact" w:val="851"/>
        </w:trPr>
        <w:tc>
          <w:tcPr>
            <w:tcW w:w="1276" w:type="dxa"/>
            <w:tcBorders>
              <w:bottom w:val="single" w:sz="4" w:space="0" w:color="auto"/>
            </w:tcBorders>
          </w:tcPr>
          <w:p w14:paraId="5E233997" w14:textId="77777777" w:rsidR="00F35BAF" w:rsidRPr="00DB58B5" w:rsidRDefault="00F35BAF" w:rsidP="00453727">
            <w:bookmarkStart w:id="0" w:name="_GoBack"/>
            <w:bookmarkEnd w:id="0"/>
          </w:p>
        </w:tc>
        <w:tc>
          <w:tcPr>
            <w:tcW w:w="2268" w:type="dxa"/>
            <w:tcBorders>
              <w:bottom w:val="single" w:sz="4" w:space="0" w:color="auto"/>
            </w:tcBorders>
            <w:vAlign w:val="bottom"/>
          </w:tcPr>
          <w:p w14:paraId="08652DE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C9E9471" w14:textId="77777777" w:rsidR="00F35BAF" w:rsidRPr="00DB58B5" w:rsidRDefault="00453727" w:rsidP="00453727">
            <w:pPr>
              <w:jc w:val="right"/>
            </w:pPr>
            <w:r w:rsidRPr="00453727">
              <w:rPr>
                <w:sz w:val="40"/>
              </w:rPr>
              <w:t>ECE</w:t>
            </w:r>
            <w:r>
              <w:t>/TRANS/WP.29/2019/42</w:t>
            </w:r>
          </w:p>
        </w:tc>
      </w:tr>
      <w:tr w:rsidR="00F35BAF" w:rsidRPr="00DB58B5" w14:paraId="7363232D" w14:textId="77777777" w:rsidTr="00C97039">
        <w:trPr>
          <w:trHeight w:hRule="exact" w:val="2835"/>
        </w:trPr>
        <w:tc>
          <w:tcPr>
            <w:tcW w:w="1276" w:type="dxa"/>
            <w:tcBorders>
              <w:top w:val="single" w:sz="4" w:space="0" w:color="auto"/>
              <w:bottom w:val="single" w:sz="12" w:space="0" w:color="auto"/>
            </w:tcBorders>
          </w:tcPr>
          <w:p w14:paraId="65F8B535" w14:textId="77777777" w:rsidR="00F35BAF" w:rsidRPr="00DB58B5" w:rsidRDefault="00F35BAF" w:rsidP="00C97039">
            <w:pPr>
              <w:spacing w:before="120"/>
              <w:jc w:val="center"/>
            </w:pPr>
            <w:r>
              <w:rPr>
                <w:noProof/>
                <w:lang w:eastAsia="ja-JP"/>
              </w:rPr>
              <w:drawing>
                <wp:inline distT="0" distB="0" distL="0" distR="0" wp14:anchorId="7FD81201" wp14:editId="1F37A36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4CAC2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5758F0A" w14:textId="77777777" w:rsidR="00F35BAF" w:rsidRDefault="00453727" w:rsidP="00C97039">
            <w:pPr>
              <w:spacing w:before="240"/>
            </w:pPr>
            <w:proofErr w:type="spellStart"/>
            <w:r>
              <w:t>Distr</w:t>
            </w:r>
            <w:proofErr w:type="spellEnd"/>
            <w:r>
              <w:t xml:space="preserve">. </w:t>
            </w:r>
            <w:proofErr w:type="gramStart"/>
            <w:r>
              <w:t>générale</w:t>
            </w:r>
            <w:proofErr w:type="gramEnd"/>
          </w:p>
          <w:p w14:paraId="49FD4CEC" w14:textId="77777777" w:rsidR="00453727" w:rsidRDefault="00453727" w:rsidP="00453727">
            <w:pPr>
              <w:spacing w:line="240" w:lineRule="exact"/>
            </w:pPr>
            <w:r>
              <w:t>12 avril 2019</w:t>
            </w:r>
          </w:p>
          <w:p w14:paraId="157CCEDB" w14:textId="77777777" w:rsidR="00453727" w:rsidRDefault="00453727" w:rsidP="00453727">
            <w:pPr>
              <w:spacing w:line="240" w:lineRule="exact"/>
            </w:pPr>
            <w:r>
              <w:t>Français</w:t>
            </w:r>
          </w:p>
          <w:p w14:paraId="70186838" w14:textId="77777777" w:rsidR="00453727" w:rsidRPr="00DB58B5" w:rsidRDefault="00453727" w:rsidP="00453727">
            <w:pPr>
              <w:spacing w:line="240" w:lineRule="exact"/>
            </w:pPr>
            <w:r>
              <w:t>Original</w:t>
            </w:r>
            <w:r w:rsidR="009F1E50">
              <w:t> :</w:t>
            </w:r>
            <w:r>
              <w:t xml:space="preserve"> anglais</w:t>
            </w:r>
          </w:p>
        </w:tc>
      </w:tr>
    </w:tbl>
    <w:p w14:paraId="3D4978D9" w14:textId="77777777" w:rsidR="007F20FA" w:rsidRPr="000312C0" w:rsidRDefault="007F20FA" w:rsidP="007F20FA">
      <w:pPr>
        <w:spacing w:before="120"/>
        <w:rPr>
          <w:b/>
          <w:sz w:val="28"/>
          <w:szCs w:val="28"/>
        </w:rPr>
      </w:pPr>
      <w:r w:rsidRPr="000312C0">
        <w:rPr>
          <w:b/>
          <w:sz w:val="28"/>
          <w:szCs w:val="28"/>
        </w:rPr>
        <w:t>Commission économique pour l’Europe</w:t>
      </w:r>
    </w:p>
    <w:p w14:paraId="46ADEE47" w14:textId="77777777" w:rsidR="007F20FA" w:rsidRDefault="007F20FA" w:rsidP="007F20FA">
      <w:pPr>
        <w:spacing w:before="120"/>
        <w:rPr>
          <w:sz w:val="28"/>
          <w:szCs w:val="28"/>
        </w:rPr>
      </w:pPr>
      <w:r w:rsidRPr="00685843">
        <w:rPr>
          <w:sz w:val="28"/>
          <w:szCs w:val="28"/>
        </w:rPr>
        <w:t>Comité des transports intérieurs</w:t>
      </w:r>
    </w:p>
    <w:p w14:paraId="199B04A5" w14:textId="77777777" w:rsidR="00E41D4B" w:rsidRDefault="00E41D4B"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B0DE22A" w14:textId="77777777" w:rsidR="00E41D4B" w:rsidRDefault="00E41D4B" w:rsidP="00AF0CB5">
      <w:pPr>
        <w:spacing w:before="120" w:line="240" w:lineRule="exact"/>
        <w:rPr>
          <w:b/>
        </w:rPr>
      </w:pPr>
      <w:r>
        <w:rPr>
          <w:b/>
        </w:rPr>
        <w:t>178</w:t>
      </w:r>
      <w:r w:rsidRPr="00E41D4B">
        <w:rPr>
          <w:b/>
          <w:vertAlign w:val="superscript"/>
        </w:rPr>
        <w:t>e</w:t>
      </w:r>
      <w:r>
        <w:rPr>
          <w:b/>
        </w:rPr>
        <w:t> session</w:t>
      </w:r>
    </w:p>
    <w:p w14:paraId="0EAA5641" w14:textId="77777777" w:rsidR="00E41D4B" w:rsidRDefault="00E41D4B" w:rsidP="00E41D4B">
      <w:pPr>
        <w:spacing w:line="240" w:lineRule="exact"/>
      </w:pPr>
      <w:r>
        <w:t xml:space="preserve">Genève, </w:t>
      </w:r>
      <w:r w:rsidR="00716549" w:rsidRPr="00E41D4B">
        <w:rPr>
          <w:lang w:val="fr-FR"/>
        </w:rPr>
        <w:t>25-28 juin 2019</w:t>
      </w:r>
    </w:p>
    <w:p w14:paraId="37BBABCB" w14:textId="77777777" w:rsidR="00E41D4B" w:rsidRDefault="00E41D4B" w:rsidP="00E41D4B">
      <w:pPr>
        <w:spacing w:line="240" w:lineRule="exact"/>
      </w:pPr>
      <w:r>
        <w:t xml:space="preserve">Point </w:t>
      </w:r>
      <w:r w:rsidR="00716549" w:rsidRPr="00E41D4B">
        <w:rPr>
          <w:lang w:val="fr-FR"/>
        </w:rPr>
        <w:t>4.7.2 de l’ordre du jour provisoire</w:t>
      </w:r>
    </w:p>
    <w:p w14:paraId="35BA5CB8" w14:textId="77777777" w:rsidR="009F3388" w:rsidRPr="00E41D4B" w:rsidRDefault="00716549" w:rsidP="00471D7C">
      <w:pPr>
        <w:rPr>
          <w:b/>
        </w:rPr>
      </w:pPr>
      <w:r w:rsidRPr="00E41D4B">
        <w:rPr>
          <w:b/>
          <w:bCs/>
          <w:lang w:val="fr-FR"/>
        </w:rPr>
        <w:t>Accord de 1958</w:t>
      </w:r>
      <w:r w:rsidR="009F1E50">
        <w:rPr>
          <w:b/>
          <w:bCs/>
          <w:lang w:val="fr-FR"/>
        </w:rPr>
        <w:t> :</w:t>
      </w:r>
      <w:r w:rsidRPr="00E41D4B">
        <w:rPr>
          <w:b/>
          <w:bCs/>
          <w:lang w:val="fr-FR"/>
        </w:rPr>
        <w:t xml:space="preserve"> </w:t>
      </w:r>
      <w:r w:rsidR="00471D7C">
        <w:rPr>
          <w:b/>
          <w:bCs/>
          <w:lang w:val="fr-FR"/>
        </w:rPr>
        <w:br/>
      </w:r>
      <w:r w:rsidRPr="00E41D4B">
        <w:rPr>
          <w:b/>
          <w:bCs/>
          <w:lang w:val="fr-FR"/>
        </w:rPr>
        <w:t xml:space="preserve">Examen de projets d’amendements à des Règlements ONU existants, </w:t>
      </w:r>
      <w:r w:rsidR="00471D7C">
        <w:rPr>
          <w:b/>
          <w:bCs/>
          <w:lang w:val="fr-FR"/>
        </w:rPr>
        <w:br/>
      </w:r>
      <w:r w:rsidRPr="00E41D4B">
        <w:rPr>
          <w:b/>
          <w:bCs/>
          <w:lang w:val="fr-FR"/>
        </w:rPr>
        <w:t>soumis par le GRPE</w:t>
      </w:r>
    </w:p>
    <w:p w14:paraId="4983CDBE" w14:textId="77777777" w:rsidR="009F3388" w:rsidRPr="00E41D4B" w:rsidRDefault="00471D7C" w:rsidP="009F1E50">
      <w:pPr>
        <w:pStyle w:val="HChG"/>
      </w:pPr>
      <w:r>
        <w:rPr>
          <w:lang w:val="fr-FR"/>
        </w:rPr>
        <w:tab/>
      </w:r>
      <w:r>
        <w:rPr>
          <w:lang w:val="fr-FR"/>
        </w:rPr>
        <w:tab/>
      </w:r>
      <w:r w:rsidR="00716549" w:rsidRPr="00E41D4B">
        <w:rPr>
          <w:lang w:val="fr-FR"/>
        </w:rPr>
        <w:t xml:space="preserve">Proposition de complément 13 à la série 06 d’amendements au Règlement ONU </w:t>
      </w:r>
      <w:r w:rsidR="009F1E50" w:rsidRPr="009F1E50">
        <w:rPr>
          <w:rFonts w:eastAsia="MS Mincho"/>
          <w:szCs w:val="22"/>
          <w:lang w:val="fr-FR"/>
        </w:rPr>
        <w:t>n</w:t>
      </w:r>
      <w:r w:rsidR="009F1E50" w:rsidRPr="009F1E50">
        <w:rPr>
          <w:rFonts w:eastAsia="MS Mincho"/>
          <w:szCs w:val="22"/>
          <w:vertAlign w:val="superscript"/>
          <w:lang w:val="fr-FR"/>
        </w:rPr>
        <w:t>o</w:t>
      </w:r>
      <w:r w:rsidR="009F1E50">
        <w:rPr>
          <w:lang w:val="fr-FR"/>
        </w:rPr>
        <w:t> </w:t>
      </w:r>
      <w:r w:rsidR="00716549" w:rsidRPr="00E41D4B">
        <w:rPr>
          <w:lang w:val="fr-FR"/>
        </w:rPr>
        <w:t>83 (Émissions polluantes des véhicules des catégories M</w:t>
      </w:r>
      <w:r w:rsidR="00716549" w:rsidRPr="00E41D4B">
        <w:rPr>
          <w:vertAlign w:val="subscript"/>
          <w:lang w:val="fr-FR"/>
        </w:rPr>
        <w:t>1</w:t>
      </w:r>
      <w:r w:rsidR="00716549" w:rsidRPr="00E41D4B">
        <w:rPr>
          <w:lang w:val="fr-FR"/>
        </w:rPr>
        <w:t xml:space="preserve"> et N</w:t>
      </w:r>
      <w:r w:rsidR="00716549" w:rsidRPr="00E41D4B">
        <w:rPr>
          <w:vertAlign w:val="subscript"/>
          <w:lang w:val="fr-FR"/>
        </w:rPr>
        <w:t>1</w:t>
      </w:r>
      <w:r w:rsidR="00716549" w:rsidRPr="00E41D4B">
        <w:rPr>
          <w:lang w:val="fr-FR"/>
        </w:rPr>
        <w:t>)</w:t>
      </w:r>
    </w:p>
    <w:p w14:paraId="6078D620" w14:textId="77777777" w:rsidR="009F3388" w:rsidRPr="00E41D4B" w:rsidRDefault="00716549" w:rsidP="00471D7C">
      <w:pPr>
        <w:pStyle w:val="H1G"/>
      </w:pPr>
      <w:r w:rsidRPr="00E41D4B">
        <w:rPr>
          <w:lang w:val="fr-FR"/>
        </w:rPr>
        <w:tab/>
      </w:r>
      <w:r w:rsidRPr="00E41D4B">
        <w:rPr>
          <w:lang w:val="fr-FR"/>
        </w:rPr>
        <w:tab/>
        <w:t>Communication du Groupe de travail de la pollution et de l’énergie</w:t>
      </w:r>
      <w:r w:rsidR="00471D7C" w:rsidRPr="00471D7C">
        <w:rPr>
          <w:rStyle w:val="FootnoteReference"/>
          <w:b w:val="0"/>
          <w:bCs/>
          <w:sz w:val="20"/>
          <w:vertAlign w:val="baseline"/>
        </w:rPr>
        <w:footnoteReference w:customMarkFollows="1" w:id="2"/>
        <w:t>*</w:t>
      </w:r>
    </w:p>
    <w:p w14:paraId="16BB7D3E" w14:textId="77777777" w:rsidR="00E41D4B" w:rsidRDefault="00716549" w:rsidP="00471D7C">
      <w:pPr>
        <w:pStyle w:val="SingleTxtG"/>
        <w:ind w:firstLine="567"/>
        <w:rPr>
          <w:lang w:val="fr-FR"/>
        </w:rPr>
      </w:pPr>
      <w:r w:rsidRPr="00E41D4B">
        <w:rPr>
          <w:lang w:val="fr-FR"/>
        </w:rPr>
        <w:t xml:space="preserve">Le texte reproduit ci-dessous a été adopté par le Groupe de travail de la pollution et de l’énergie (GRPE) à sa soixante-dix-huitième session (ECE/TRANS/WP.29/GRPE/78, </w:t>
      </w:r>
      <w:r w:rsidR="009F1E50">
        <w:rPr>
          <w:lang w:val="fr-FR"/>
        </w:rPr>
        <w:t>par. </w:t>
      </w:r>
      <w:r w:rsidRPr="00E41D4B">
        <w:rPr>
          <w:lang w:val="fr-FR"/>
        </w:rPr>
        <w:t>10). Il est fondé sur les Annexes IV et VI du document ECE/TRANS/WP.29/GRPE/78. Il est soumis au Forum mondial de l’harmonisation des Règlements concernant les véhicules (WP.29) et au Comité d’administration de l’Accord de 1958 (AC.1) pour examen à leurs sessions de juin 2019.</w:t>
      </w:r>
    </w:p>
    <w:p w14:paraId="31C0716A" w14:textId="77777777" w:rsidR="00E41D4B" w:rsidRPr="00777177" w:rsidRDefault="00E41D4B" w:rsidP="009F1E50">
      <w:pPr>
        <w:pStyle w:val="HChG"/>
      </w:pPr>
      <w:r>
        <w:rPr>
          <w:lang w:val="fr-FR"/>
        </w:rPr>
        <w:br w:type="page"/>
      </w:r>
      <w:r>
        <w:rPr>
          <w:lang w:val="fr-FR"/>
        </w:rPr>
        <w:lastRenderedPageBreak/>
        <w:tab/>
      </w:r>
      <w:r>
        <w:rPr>
          <w:lang w:val="fr-FR"/>
        </w:rPr>
        <w:tab/>
        <w:t xml:space="preserve">Proposition de complément 13 à la série 06 d’amendements au Règlement ONU </w:t>
      </w:r>
      <w:r w:rsidR="009F1E50" w:rsidRPr="009F1E50">
        <w:rPr>
          <w:rFonts w:eastAsia="MS Mincho"/>
          <w:szCs w:val="22"/>
          <w:lang w:val="fr-FR"/>
        </w:rPr>
        <w:t>n</w:t>
      </w:r>
      <w:r w:rsidR="009F1E50" w:rsidRPr="009F1E50">
        <w:rPr>
          <w:rFonts w:eastAsia="MS Mincho"/>
          <w:szCs w:val="22"/>
          <w:vertAlign w:val="superscript"/>
          <w:lang w:val="fr-FR"/>
        </w:rPr>
        <w:t>o</w:t>
      </w:r>
      <w:r w:rsidR="009F1E50">
        <w:rPr>
          <w:lang w:val="fr-FR"/>
        </w:rPr>
        <w:t> </w:t>
      </w:r>
      <w:r>
        <w:rPr>
          <w:lang w:val="fr-FR"/>
        </w:rPr>
        <w:t>83 (Émissions polluantes des véhicules des catégories M</w:t>
      </w:r>
      <w:r w:rsidRPr="003B7D61">
        <w:rPr>
          <w:vertAlign w:val="subscript"/>
          <w:lang w:val="fr-FR"/>
        </w:rPr>
        <w:t>1</w:t>
      </w:r>
      <w:r>
        <w:rPr>
          <w:lang w:val="fr-FR"/>
        </w:rPr>
        <w:t xml:space="preserve"> et N</w:t>
      </w:r>
      <w:r w:rsidRPr="003B7D61">
        <w:rPr>
          <w:vertAlign w:val="subscript"/>
          <w:lang w:val="fr-FR"/>
        </w:rPr>
        <w:t>1</w:t>
      </w:r>
      <w:r>
        <w:rPr>
          <w:lang w:val="fr-FR"/>
        </w:rPr>
        <w:t>)</w:t>
      </w:r>
    </w:p>
    <w:p w14:paraId="3ECBCAB2" w14:textId="77777777" w:rsidR="00E41D4B" w:rsidRPr="00777177" w:rsidRDefault="00E41D4B" w:rsidP="00471D7C">
      <w:pPr>
        <w:pStyle w:val="SingleTxtG"/>
      </w:pPr>
      <w:r w:rsidRPr="00471D7C">
        <w:rPr>
          <w:i/>
          <w:iCs/>
          <w:lang w:val="fr-FR"/>
        </w:rPr>
        <w:t>Appendice 5, paragraphe 2, lire</w:t>
      </w:r>
      <w:r w:rsidR="009F1E50">
        <w:rPr>
          <w:lang w:val="fr-FR"/>
        </w:rPr>
        <w:t> :</w:t>
      </w:r>
    </w:p>
    <w:p w14:paraId="2B2BEAAD" w14:textId="77777777" w:rsidR="00E41D4B" w:rsidRPr="00777177" w:rsidRDefault="00DF5390" w:rsidP="00DF5390">
      <w:pPr>
        <w:pStyle w:val="SingleTxtG"/>
        <w:tabs>
          <w:tab w:val="left" w:pos="2268"/>
        </w:tabs>
        <w:ind w:left="2280" w:hanging="1146"/>
      </w:pPr>
      <w:r>
        <w:rPr>
          <w:lang w:val="fr-FR"/>
        </w:rPr>
        <w:t>« </w:t>
      </w:r>
      <w:r w:rsidR="00E41D4B">
        <w:rPr>
          <w:lang w:val="fr-FR"/>
        </w:rPr>
        <w:t>2.</w:t>
      </w:r>
      <w:r w:rsidR="00E41D4B">
        <w:rPr>
          <w:lang w:val="fr-FR"/>
        </w:rPr>
        <w:tab/>
        <w:t>Le constructeur doit recueillir toutes les informations nécessaires au respect des exigences du paragraphe 9 et des appendices 3, 4 et 5 du présent Règlement. L’autorité chargée de l’homologation de type peut également tenir compte des informations résultant des programmes de surveillance.</w:t>
      </w:r>
      <w:r>
        <w:rPr>
          <w:lang w:val="fr-FR"/>
        </w:rPr>
        <w:t> »</w:t>
      </w:r>
      <w:r w:rsidR="00E41D4B">
        <w:rPr>
          <w:lang w:val="fr-FR"/>
        </w:rPr>
        <w:t>.</w:t>
      </w:r>
    </w:p>
    <w:p w14:paraId="4ED6CAC9" w14:textId="77777777" w:rsidR="00E41D4B" w:rsidRPr="00471D7C" w:rsidRDefault="00E41D4B" w:rsidP="00471D7C">
      <w:pPr>
        <w:pStyle w:val="SingleTxtG"/>
        <w:rPr>
          <w:i/>
          <w:iCs/>
          <w:lang w:val="fr-FR"/>
        </w:rPr>
      </w:pPr>
      <w:r>
        <w:rPr>
          <w:i/>
          <w:iCs/>
          <w:lang w:val="fr-FR"/>
        </w:rPr>
        <w:t>Appendice 6, paragraphe 9.4, lire</w:t>
      </w:r>
      <w:r w:rsidR="009F1E50">
        <w:rPr>
          <w:i/>
          <w:iCs/>
          <w:lang w:val="fr-FR"/>
        </w:rPr>
        <w:t> </w:t>
      </w:r>
      <w:r w:rsidR="009F1E50" w:rsidRPr="00622D69">
        <w:rPr>
          <w:iCs/>
          <w:lang w:val="fr-FR"/>
        </w:rPr>
        <w:t>:</w:t>
      </w:r>
    </w:p>
    <w:p w14:paraId="212E55FE" w14:textId="77777777" w:rsidR="00E41D4B" w:rsidRPr="00777177" w:rsidRDefault="00DF5390" w:rsidP="006C0319">
      <w:pPr>
        <w:pStyle w:val="SingleTxtG"/>
        <w:tabs>
          <w:tab w:val="left" w:pos="2268"/>
        </w:tabs>
        <w:ind w:left="2280" w:hanging="1146"/>
      </w:pPr>
      <w:r>
        <w:rPr>
          <w:lang w:val="fr-FR"/>
        </w:rPr>
        <w:t>« </w:t>
      </w:r>
      <w:r w:rsidR="00E41D4B">
        <w:rPr>
          <w:lang w:val="fr-FR"/>
        </w:rPr>
        <w:t>9.4</w:t>
      </w:r>
      <w:r w:rsidR="00E41D4B">
        <w:rPr>
          <w:lang w:val="fr-FR"/>
        </w:rPr>
        <w:tab/>
        <w:t>Les instructions doivent préciser que l’utilisation et la recharge du réactif prescrit répondant aux spécifications sont obligatoires pour que le véhicule soit conforme à son certificat de conformité. ».</w:t>
      </w:r>
    </w:p>
    <w:p w14:paraId="09A5A401" w14:textId="77777777" w:rsidR="00E41D4B" w:rsidRPr="00777177" w:rsidRDefault="00E41D4B" w:rsidP="00471D7C">
      <w:pPr>
        <w:pStyle w:val="SingleTxtG"/>
        <w:rPr>
          <w:i/>
        </w:rPr>
      </w:pPr>
      <w:r>
        <w:rPr>
          <w:i/>
          <w:iCs/>
          <w:lang w:val="fr-FR"/>
        </w:rPr>
        <w:t xml:space="preserve">Annexe 1, paragraphe 3.2.12.2.6.2, </w:t>
      </w:r>
      <w:r>
        <w:rPr>
          <w:lang w:val="fr-FR"/>
        </w:rPr>
        <w:t>sans objet en français.</w:t>
      </w:r>
    </w:p>
    <w:p w14:paraId="32916CB7" w14:textId="77777777" w:rsidR="00E41D4B" w:rsidRPr="00777177" w:rsidRDefault="00E41D4B" w:rsidP="00622D69">
      <w:pPr>
        <w:pStyle w:val="SingleTxtG"/>
        <w:rPr>
          <w:i/>
        </w:rPr>
      </w:pPr>
      <w:r>
        <w:rPr>
          <w:i/>
          <w:iCs/>
          <w:lang w:val="fr-FR"/>
        </w:rPr>
        <w:t>Annexe 5, paragraphe 3.1, lire</w:t>
      </w:r>
      <w:r w:rsidR="009F1E50">
        <w:rPr>
          <w:i/>
          <w:iCs/>
          <w:lang w:val="fr-FR"/>
        </w:rPr>
        <w:t> </w:t>
      </w:r>
      <w:r w:rsidR="009F1E50" w:rsidRPr="009F1E50">
        <w:rPr>
          <w:lang w:val="fr-FR"/>
        </w:rPr>
        <w:t>:</w:t>
      </w:r>
    </w:p>
    <w:p w14:paraId="100484B8" w14:textId="77777777" w:rsidR="00E41D4B" w:rsidRPr="00777177" w:rsidRDefault="00DF5390" w:rsidP="006C0319">
      <w:pPr>
        <w:pStyle w:val="SingleTxtG"/>
        <w:tabs>
          <w:tab w:val="left" w:pos="2268"/>
        </w:tabs>
        <w:ind w:left="2280" w:hanging="1146"/>
      </w:pPr>
      <w:r>
        <w:rPr>
          <w:lang w:val="fr-FR"/>
        </w:rPr>
        <w:t>« </w:t>
      </w:r>
      <w:r w:rsidR="00E41D4B">
        <w:rPr>
          <w:lang w:val="fr-FR"/>
        </w:rPr>
        <w:t>3.1</w:t>
      </w:r>
      <w:r w:rsidR="00E41D4B">
        <w:rPr>
          <w:lang w:val="fr-FR"/>
        </w:rPr>
        <w:tab/>
      </w:r>
      <w:r w:rsidR="00E41D4B">
        <w:rPr>
          <w:lang w:val="fr-FR"/>
        </w:rPr>
        <w:tab/>
        <w:t>La sonde de prélèvement doit être enfoncée dans le tuyau d’échappement d’au moins 300 mm ou dans le tuyau raccordant l’échappement du véhicule au sac le plus près possible de l’échappement. ».</w:t>
      </w:r>
    </w:p>
    <w:p w14:paraId="18645153" w14:textId="77777777" w:rsidR="00E41D4B" w:rsidRPr="00777177" w:rsidRDefault="00E41D4B" w:rsidP="00471D7C">
      <w:pPr>
        <w:pStyle w:val="SingleTxtG"/>
      </w:pPr>
      <w:r>
        <w:rPr>
          <w:i/>
          <w:iCs/>
          <w:lang w:val="fr-FR"/>
        </w:rPr>
        <w:t>Annexe 7, paragraphe 4.2.1, lire</w:t>
      </w:r>
      <w:r w:rsidR="009F1E50">
        <w:rPr>
          <w:i/>
          <w:iCs/>
          <w:lang w:val="fr-FR"/>
        </w:rPr>
        <w:t> </w:t>
      </w:r>
      <w:r w:rsidRPr="009F1E50">
        <w:rPr>
          <w:lang w:val="fr-FR"/>
        </w:rPr>
        <w:t>:</w:t>
      </w:r>
    </w:p>
    <w:p w14:paraId="5B90A5C2" w14:textId="77777777" w:rsidR="00E41D4B" w:rsidRPr="00777177" w:rsidRDefault="00DF5390" w:rsidP="006C0319">
      <w:pPr>
        <w:pStyle w:val="SingleTxtG"/>
        <w:tabs>
          <w:tab w:val="left" w:pos="2268"/>
        </w:tabs>
        <w:ind w:left="2280" w:hanging="1146"/>
      </w:pPr>
      <w:r>
        <w:rPr>
          <w:lang w:val="fr-FR"/>
        </w:rPr>
        <w:t>« </w:t>
      </w:r>
      <w:r w:rsidR="00E41D4B">
        <w:rPr>
          <w:lang w:val="fr-FR"/>
        </w:rPr>
        <w:t>4.2.1</w:t>
      </w:r>
      <w:r w:rsidR="00E41D4B">
        <w:rPr>
          <w:lang w:val="fr-FR"/>
        </w:rPr>
        <w:tab/>
        <w:t>Enceinte à volume variable</w:t>
      </w:r>
    </w:p>
    <w:p w14:paraId="5733DDB0" w14:textId="77777777" w:rsidR="00E41D4B" w:rsidRPr="00777177" w:rsidRDefault="00E41D4B" w:rsidP="006C0319">
      <w:pPr>
        <w:pStyle w:val="SingleTxtG"/>
        <w:ind w:left="2268"/>
      </w:pPr>
      <w:r>
        <w:rPr>
          <w:lang w:val="fr-FR"/>
        </w:rPr>
        <w:tab/>
        <w:t>L’enceinte à volume variable se dilate et se contracte en fonction des variations de température de la masse d’air qu’elle contient. Pour faire varier le volume intérieur on peut utiliser soit des panneaux mobiles, soit un système de soufflets dans lequel un ou plusieurs sacs imperméables placés à l’intérieur de l’enceinte se dilatent et se contractent en fonction des variations de pression internes, par échange d’air avec l’extérieur de l’enceinte. Tout système de variation du volume doit respecter l’intégrité de l’enceinte conformément à l’appendice 1 de la présente annexe, sur la plage de températures indiquée.</w:t>
      </w:r>
    </w:p>
    <w:p w14:paraId="7BCC9D73" w14:textId="77777777" w:rsidR="00E41D4B" w:rsidRPr="00777177" w:rsidRDefault="00E41D4B" w:rsidP="00DF5390">
      <w:pPr>
        <w:pStyle w:val="SingleTxtG"/>
        <w:ind w:left="2268"/>
      </w:pPr>
      <w:r>
        <w:rPr>
          <w:lang w:val="fr-FR"/>
        </w:rPr>
        <w:tab/>
        <w:t xml:space="preserve">Toute méthode de variation du volume doit limiter le différentiel entre la pression interne de l’enceinte et la pression barométrique à une valeur maximale de </w:t>
      </w:r>
      <w:r w:rsidR="00DF5390" w:rsidRPr="00DF5390">
        <w:rPr>
          <w:lang w:val="fr-CA"/>
        </w:rPr>
        <w:sym w:font="Symbol" w:char="F0B1"/>
      </w:r>
      <w:r>
        <w:rPr>
          <w:lang w:val="fr-FR"/>
        </w:rPr>
        <w:t>5 hPa.</w:t>
      </w:r>
    </w:p>
    <w:p w14:paraId="73C12FEC" w14:textId="77777777" w:rsidR="00E41D4B" w:rsidRPr="00777177" w:rsidRDefault="00E41D4B" w:rsidP="00DF5390">
      <w:pPr>
        <w:pStyle w:val="SingleTxtG"/>
        <w:ind w:left="2268"/>
      </w:pPr>
      <w:r>
        <w:rPr>
          <w:lang w:val="fr-FR"/>
        </w:rPr>
        <w:tab/>
        <w:t>L’enceinte doit pouvoir se verrouiller à un volume déterminé. Le volume d’une enceinte à volume variable doit pouvoir varier de +7</w:t>
      </w:r>
      <w:r w:rsidR="009F1E50">
        <w:rPr>
          <w:lang w:val="fr-FR"/>
        </w:rPr>
        <w:t> </w:t>
      </w:r>
      <w:r>
        <w:rPr>
          <w:lang w:val="fr-FR"/>
        </w:rPr>
        <w:t>% par rapport à son “volume nominal” (</w:t>
      </w:r>
      <w:r w:rsidR="009F1E50">
        <w:rPr>
          <w:lang w:val="fr-FR"/>
        </w:rPr>
        <w:t>par. </w:t>
      </w:r>
      <w:r>
        <w:rPr>
          <w:lang w:val="fr-FR"/>
        </w:rPr>
        <w:t>2.1.1 de l’appendice 1 de la présente annexe) en fonction du changement de température et de pression barométrique au cours des essais.</w:t>
      </w:r>
      <w:r w:rsidR="00DF5390">
        <w:rPr>
          <w:lang w:val="fr-FR"/>
        </w:rPr>
        <w:t> »</w:t>
      </w:r>
      <w:r>
        <w:rPr>
          <w:lang w:val="fr-FR"/>
        </w:rPr>
        <w:t>.</w:t>
      </w:r>
    </w:p>
    <w:p w14:paraId="55586758" w14:textId="77777777" w:rsidR="00E41D4B" w:rsidRPr="00777177" w:rsidRDefault="00E41D4B" w:rsidP="00471D7C">
      <w:pPr>
        <w:pStyle w:val="SingleTxtG"/>
      </w:pPr>
      <w:r>
        <w:rPr>
          <w:i/>
          <w:iCs/>
          <w:lang w:val="fr-FR"/>
        </w:rPr>
        <w:t>Annexe 7, paragraphe 4.6.2, lire</w:t>
      </w:r>
      <w:r w:rsidR="009F1E50">
        <w:rPr>
          <w:i/>
          <w:iCs/>
          <w:lang w:val="fr-FR"/>
        </w:rPr>
        <w:t> </w:t>
      </w:r>
      <w:r w:rsidRPr="009F1E50">
        <w:rPr>
          <w:lang w:val="fr-FR"/>
        </w:rPr>
        <w:t>:</w:t>
      </w:r>
    </w:p>
    <w:p w14:paraId="3B81897D" w14:textId="77777777" w:rsidR="00E41D4B" w:rsidRPr="00777177" w:rsidRDefault="00DF5390" w:rsidP="00DF5390">
      <w:pPr>
        <w:pStyle w:val="SingleTxtG"/>
        <w:tabs>
          <w:tab w:val="left" w:pos="2268"/>
        </w:tabs>
        <w:ind w:left="2280" w:hanging="1146"/>
      </w:pPr>
      <w:r>
        <w:rPr>
          <w:lang w:val="fr-FR"/>
        </w:rPr>
        <w:t>« </w:t>
      </w:r>
      <w:r w:rsidR="00E41D4B">
        <w:rPr>
          <w:lang w:val="fr-FR"/>
        </w:rPr>
        <w:t>4.6.2</w:t>
      </w:r>
      <w:r w:rsidR="00E41D4B">
        <w:rPr>
          <w:lang w:val="fr-FR"/>
        </w:rPr>
        <w:tab/>
        <w:t xml:space="preserve">La précision du système d’enregistrement de la pression doit être comprise dans une fourchette de </w:t>
      </w:r>
      <w:r w:rsidRPr="00DF5390">
        <w:rPr>
          <w:lang w:val="fr-CA"/>
        </w:rPr>
        <w:sym w:font="Symbol" w:char="F0B1"/>
      </w:r>
      <w:r w:rsidR="00E41D4B">
        <w:rPr>
          <w:lang w:val="fr-FR"/>
        </w:rPr>
        <w:t>0,3 kPa et la valeur de la pression doit avoir une résolution de 0,025 kPa.</w:t>
      </w:r>
      <w:r>
        <w:rPr>
          <w:lang w:val="fr-FR"/>
        </w:rPr>
        <w:t> »</w:t>
      </w:r>
      <w:r w:rsidR="00E41D4B">
        <w:rPr>
          <w:lang w:val="fr-FR"/>
        </w:rPr>
        <w:t>.</w:t>
      </w:r>
    </w:p>
    <w:p w14:paraId="7384572D" w14:textId="77777777" w:rsidR="00E41D4B" w:rsidRPr="00777177" w:rsidRDefault="00E41D4B" w:rsidP="00471D7C">
      <w:pPr>
        <w:pStyle w:val="SingleTxtG"/>
      </w:pPr>
      <w:r>
        <w:rPr>
          <w:i/>
          <w:iCs/>
          <w:lang w:val="fr-FR"/>
        </w:rPr>
        <w:t>Annexe 7, supprimer les paragraphes 4.9 et 4.9.1.</w:t>
      </w:r>
    </w:p>
    <w:p w14:paraId="3711403A" w14:textId="77777777" w:rsidR="00E41D4B" w:rsidRPr="00777177" w:rsidRDefault="00E41D4B" w:rsidP="00471D7C">
      <w:pPr>
        <w:pStyle w:val="SingleTxtG"/>
        <w:rPr>
          <w:i/>
        </w:rPr>
      </w:pPr>
      <w:r>
        <w:rPr>
          <w:i/>
          <w:iCs/>
          <w:lang w:val="fr-FR"/>
        </w:rPr>
        <w:t>Annexe 7, paragraphe 5.1.3.3, lire</w:t>
      </w:r>
      <w:r w:rsidR="009F1E50">
        <w:rPr>
          <w:i/>
          <w:iCs/>
          <w:lang w:val="fr-FR"/>
        </w:rPr>
        <w:t> </w:t>
      </w:r>
      <w:r w:rsidRPr="009F1E50">
        <w:rPr>
          <w:lang w:val="fr-FR"/>
        </w:rPr>
        <w:t>:</w:t>
      </w:r>
    </w:p>
    <w:p w14:paraId="2BD9B3AF" w14:textId="77777777" w:rsidR="00E41D4B" w:rsidRPr="00777177" w:rsidRDefault="00DF5390" w:rsidP="009F1E50">
      <w:pPr>
        <w:pStyle w:val="SingleTxtG"/>
        <w:tabs>
          <w:tab w:val="left" w:pos="2268"/>
        </w:tabs>
        <w:ind w:left="2280" w:hanging="1146"/>
      </w:pPr>
      <w:r>
        <w:rPr>
          <w:lang w:val="fr-FR"/>
        </w:rPr>
        <w:t>« </w:t>
      </w:r>
      <w:r w:rsidR="00E41D4B">
        <w:rPr>
          <w:lang w:val="fr-FR"/>
        </w:rPr>
        <w:t>5.1.3.3</w:t>
      </w:r>
      <w:r w:rsidR="00E41D4B">
        <w:rPr>
          <w:lang w:val="fr-FR"/>
        </w:rPr>
        <w:tab/>
        <w:t>Brancher l’absorbeur de vapeurs de carburant sur un réservoir de carburant, éventuellement externe, rempli à 40</w:t>
      </w:r>
      <w:r w:rsidR="009F1E50">
        <w:rPr>
          <w:lang w:val="fr-FR"/>
        </w:rPr>
        <w:t> </w:t>
      </w:r>
      <w:r w:rsidR="00E41D4B">
        <w:rPr>
          <w:lang w:val="fr-FR"/>
        </w:rPr>
        <w:t>% de sa contenance avec du carburant de référence. ».</w:t>
      </w:r>
    </w:p>
    <w:p w14:paraId="59CF0668" w14:textId="77777777" w:rsidR="00E41D4B" w:rsidRPr="00777177" w:rsidRDefault="00E41D4B" w:rsidP="00CB5B01">
      <w:pPr>
        <w:pStyle w:val="SingleTxtG"/>
        <w:keepNext/>
        <w:keepLines/>
      </w:pPr>
      <w:r>
        <w:rPr>
          <w:i/>
          <w:iCs/>
          <w:lang w:val="fr-FR"/>
        </w:rPr>
        <w:lastRenderedPageBreak/>
        <w:t>Annexe 7, paragraphe 6.1</w:t>
      </w:r>
      <w:r>
        <w:rPr>
          <w:lang w:val="fr-FR"/>
        </w:rPr>
        <w:t>, lire</w:t>
      </w:r>
      <w:r w:rsidR="009F1E50">
        <w:rPr>
          <w:i/>
          <w:iCs/>
          <w:lang w:val="fr-FR"/>
        </w:rPr>
        <w:t> </w:t>
      </w:r>
      <w:r w:rsidR="009F1E50" w:rsidRPr="009F1E50">
        <w:rPr>
          <w:lang w:val="fr-FR"/>
        </w:rPr>
        <w:t>:</w:t>
      </w:r>
    </w:p>
    <w:p w14:paraId="7635A8B5" w14:textId="77777777" w:rsidR="00E41D4B" w:rsidRPr="00777177" w:rsidRDefault="00DF5390" w:rsidP="00CB5B01">
      <w:pPr>
        <w:pStyle w:val="SingleTxtG"/>
        <w:keepNext/>
        <w:keepLines/>
        <w:tabs>
          <w:tab w:val="left" w:pos="2268"/>
        </w:tabs>
        <w:ind w:left="2280" w:hanging="1146"/>
      </w:pPr>
      <w:r>
        <w:rPr>
          <w:lang w:val="fr-FR"/>
        </w:rPr>
        <w:t>« </w:t>
      </w:r>
      <w:r w:rsidR="00E41D4B">
        <w:rPr>
          <w:lang w:val="fr-FR"/>
        </w:rPr>
        <w:t xml:space="preserve">6.1 </w:t>
      </w:r>
      <w:r w:rsidR="00E41D4B">
        <w:rPr>
          <w:lang w:val="fr-FR"/>
        </w:rPr>
        <w:tab/>
        <w:t>Calcul des résultats des essais d’émission par évaporation</w:t>
      </w:r>
    </w:p>
    <w:p w14:paraId="03961B4C" w14:textId="77777777" w:rsidR="00E41D4B" w:rsidRDefault="00E41D4B" w:rsidP="00622D69">
      <w:pPr>
        <w:pStyle w:val="SingleTxtG"/>
        <w:keepNext/>
        <w:keepLines/>
        <w:tabs>
          <w:tab w:val="left" w:pos="2268"/>
        </w:tabs>
        <w:ind w:left="2280" w:hanging="1146"/>
        <w:rPr>
          <w:lang w:val="fr-FR"/>
        </w:rPr>
      </w:pPr>
      <w:r>
        <w:rPr>
          <w:lang w:val="fr-FR"/>
        </w:rPr>
        <w:t>6.1.1</w:t>
      </w:r>
      <w:r>
        <w:rPr>
          <w:lang w:val="fr-FR"/>
        </w:rPr>
        <w:tab/>
        <w:t>Les essais d’émission par évaporation décrits au paragraphe 5 de la présente annexe permettent le calcul des émissions d’hydrocarbures par évaporation pendant les phases diurne et d’imprégnation à chaud. Pour chacune de ces phases, on calcule les pertes par évaporation à partir des valeurs initiales et finales de la concentration en hydrocarbures, de la température et de la pression dans l’enceinte et de la valeur nette du volume de l’enceinte. On utilise la formule suivante</w:t>
      </w:r>
      <w:r w:rsidR="009F1E50">
        <w:rPr>
          <w:lang w:val="fr-FR"/>
        </w:rPr>
        <w:t> :</w:t>
      </w:r>
    </w:p>
    <w:p w14:paraId="30A1E9AF" w14:textId="77777777" w:rsidR="00E41D4B" w:rsidRPr="00FD7C61" w:rsidRDefault="00FD7C61" w:rsidP="00FD7C61">
      <w:pPr>
        <w:pStyle w:val="SingleTxtG"/>
        <w:ind w:left="2268" w:hanging="1134"/>
        <w:jc w:val="left"/>
        <w:rPr>
          <w:rFonts w:ascii="Cambria Math" w:hAnsi="Cambria Math"/>
        </w:rPr>
      </w:pPr>
      <w:r>
        <w:rPr>
          <w:rFonts w:eastAsiaTheme="minorEastAsia"/>
        </w:rPr>
        <w:tab/>
      </w:r>
      <m:oMath>
        <m:sSub>
          <m:sSubPr>
            <m:ctrlPr>
              <w:rPr>
                <w:rFonts w:ascii="Cambria Math" w:hAnsi="Cambria Math"/>
              </w:rPr>
            </m:ctrlPr>
          </m:sSubPr>
          <m:e>
            <m:r>
              <w:rPr>
                <w:rFonts w:ascii="Cambria Math" w:hAnsi="Cambria Math"/>
              </w:rPr>
              <m:t>M</m:t>
            </m:r>
          </m:e>
          <m:sub>
            <m:r>
              <w:rPr>
                <w:rFonts w:ascii="Cambria Math" w:hAnsi="Cambria Math"/>
              </w:rPr>
              <m:t>HC</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V</m:t>
        </m:r>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HC</m:t>
                    </m:r>
                    <m:r>
                      <m:rPr>
                        <m:sty m:val="p"/>
                      </m:rPr>
                      <w:rPr>
                        <w:rFonts w:ascii="Cambria Math" w:hAnsi="Cambria Math"/>
                      </w:rPr>
                      <m:t>,</m:t>
                    </m:r>
                    <m:r>
                      <w:rPr>
                        <w:rFonts w:ascii="Cambria Math" w:hAnsi="Cambria Math"/>
                      </w:rPr>
                      <m:t>f</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f</m:t>
                    </m:r>
                  </m:sub>
                </m:sSub>
              </m:num>
              <m:den>
                <m:sSub>
                  <m:sSubPr>
                    <m:ctrlPr>
                      <w:rPr>
                        <w:rFonts w:ascii="Cambria Math" w:hAnsi="Cambria Math"/>
                      </w:rPr>
                    </m:ctrlPr>
                  </m:sSubPr>
                  <m:e>
                    <m:r>
                      <w:rPr>
                        <w:rFonts w:ascii="Cambria Math" w:hAnsi="Cambria Math"/>
                      </w:rPr>
                      <m:t>T</m:t>
                    </m:r>
                  </m:e>
                  <m:sub>
                    <m:r>
                      <w:rPr>
                        <w:rFonts w:ascii="Cambria Math" w:hAnsi="Cambria Math"/>
                      </w:rPr>
                      <m:t>f</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HC</m:t>
                    </m:r>
                    <m:r>
                      <m:rPr>
                        <m:sty m:val="p"/>
                      </m:rPr>
                      <w:rPr>
                        <w:rFonts w:ascii="Cambria Math" w:hAnsi="Cambria Math"/>
                      </w:rPr>
                      <m:t>,</m:t>
                    </m:r>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i</m:t>
                    </m:r>
                  </m:sub>
                </m:sSub>
              </m:num>
              <m:den>
                <m:sSub>
                  <m:sSubPr>
                    <m:ctrlPr>
                      <w:rPr>
                        <w:rFonts w:ascii="Cambria Math" w:hAnsi="Cambria Math"/>
                      </w:rPr>
                    </m:ctrlPr>
                  </m:sSubPr>
                  <m:e>
                    <m:r>
                      <w:rPr>
                        <w:rFonts w:ascii="Cambria Math" w:hAnsi="Cambria Math"/>
                      </w:rPr>
                      <m:t>T</m:t>
                    </m:r>
                  </m:e>
                  <m:sub>
                    <m:r>
                      <w:rPr>
                        <w:rFonts w:ascii="Cambria Math" w:hAnsi="Cambria Math"/>
                      </w:rPr>
                      <m:t>i</m:t>
                    </m:r>
                  </m:sub>
                </m:sSub>
              </m:den>
            </m:f>
          </m:e>
        </m:d>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HC</m:t>
            </m:r>
            <m:r>
              <m:rPr>
                <m:sty m:val="p"/>
              </m:rPr>
              <w:rPr>
                <w:rFonts w:ascii="Cambria Math" w:hAnsi="Cambria Math"/>
              </w:rPr>
              <m:t>,</m:t>
            </m:r>
            <m:r>
              <w:rPr>
                <w:rFonts w:ascii="Cambria Math" w:hAnsi="Cambria Math"/>
              </w:rPr>
              <m:t>out</m:t>
            </m:r>
          </m:sub>
        </m:sSub>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HC</m:t>
            </m:r>
            <m:r>
              <m:rPr>
                <m:sty m:val="p"/>
              </m:rPr>
              <w:rPr>
                <w:rFonts w:ascii="Cambria Math" w:hAnsi="Cambria Math"/>
              </w:rPr>
              <m:t>,</m:t>
            </m:r>
            <m:r>
              <w:rPr>
                <w:rFonts w:ascii="Cambria Math" w:hAnsi="Cambria Math"/>
              </w:rPr>
              <m:t>i</m:t>
            </m:r>
          </m:sub>
        </m:sSub>
      </m:oMath>
    </w:p>
    <w:p w14:paraId="4E8EA575" w14:textId="77777777" w:rsidR="00E41D4B" w:rsidRPr="00777177" w:rsidRDefault="00E41D4B" w:rsidP="004C6D2F">
      <w:pPr>
        <w:pStyle w:val="SingleTxtG"/>
        <w:ind w:left="2268"/>
      </w:pPr>
      <w:r w:rsidRPr="004C6D2F">
        <w:t>Où</w:t>
      </w:r>
      <w:r w:rsidR="009F1E50">
        <w:rPr>
          <w:lang w:val="fr-FR"/>
        </w:rPr>
        <w:t> :</w:t>
      </w:r>
    </w:p>
    <w:p w14:paraId="516E4CE6" w14:textId="77777777" w:rsidR="00E41D4B" w:rsidRPr="00777177" w:rsidRDefault="00E41D4B" w:rsidP="004C6D2F">
      <w:pPr>
        <w:pStyle w:val="SingleTxtG"/>
        <w:tabs>
          <w:tab w:val="left" w:pos="2982"/>
        </w:tabs>
        <w:ind w:left="3402" w:hanging="1134"/>
      </w:pPr>
      <w:r>
        <w:rPr>
          <w:lang w:val="fr-FR"/>
        </w:rPr>
        <w:t>M</w:t>
      </w:r>
      <w:r>
        <w:rPr>
          <w:vertAlign w:val="subscript"/>
          <w:lang w:val="fr-FR"/>
        </w:rPr>
        <w:t>HC</w:t>
      </w:r>
      <w:r>
        <w:rPr>
          <w:lang w:val="fr-FR"/>
        </w:rPr>
        <w:t xml:space="preserve"> </w:t>
      </w:r>
      <w:r>
        <w:rPr>
          <w:lang w:val="fr-FR"/>
        </w:rPr>
        <w:tab/>
        <w:t xml:space="preserve">= </w:t>
      </w:r>
      <w:r>
        <w:rPr>
          <w:lang w:val="fr-FR"/>
        </w:rPr>
        <w:tab/>
        <w:t xml:space="preserve">masse </w:t>
      </w:r>
      <w:r w:rsidRPr="004C6D2F">
        <w:t>d’hydrocarbures</w:t>
      </w:r>
      <w:r>
        <w:rPr>
          <w:lang w:val="fr-FR"/>
        </w:rPr>
        <w:t xml:space="preserve"> (g)</w:t>
      </w:r>
      <w:r w:rsidR="009F1E50">
        <w:rPr>
          <w:lang w:val="fr-FR"/>
        </w:rPr>
        <w:t> ;</w:t>
      </w:r>
    </w:p>
    <w:p w14:paraId="0F88F3C4" w14:textId="77777777" w:rsidR="00E41D4B" w:rsidRPr="00777177" w:rsidRDefault="00E41D4B" w:rsidP="004C6D2F">
      <w:pPr>
        <w:pStyle w:val="SingleTxtG"/>
        <w:tabs>
          <w:tab w:val="left" w:pos="2982"/>
        </w:tabs>
        <w:ind w:left="3402" w:hanging="1134"/>
      </w:pPr>
      <w:proofErr w:type="spellStart"/>
      <w:proofErr w:type="gramStart"/>
      <w:r>
        <w:rPr>
          <w:lang w:val="fr-FR"/>
        </w:rPr>
        <w:t>M</w:t>
      </w:r>
      <w:r>
        <w:rPr>
          <w:vertAlign w:val="superscript"/>
          <w:lang w:val="fr-FR"/>
        </w:rPr>
        <w:t>HC,out</w:t>
      </w:r>
      <w:proofErr w:type="spellEnd"/>
      <w:proofErr w:type="gramEnd"/>
      <w:r>
        <w:rPr>
          <w:lang w:val="fr-FR"/>
        </w:rPr>
        <w:t xml:space="preserve"> </w:t>
      </w:r>
      <w:r>
        <w:rPr>
          <w:lang w:val="fr-FR"/>
        </w:rPr>
        <w:tab/>
        <w:t xml:space="preserve">= </w:t>
      </w:r>
      <w:r>
        <w:rPr>
          <w:lang w:val="fr-FR"/>
        </w:rPr>
        <w:tab/>
      </w:r>
      <w:r w:rsidRPr="004C6D2F">
        <w:t>masse</w:t>
      </w:r>
      <w:r>
        <w:rPr>
          <w:lang w:val="fr-FR"/>
        </w:rPr>
        <w:t xml:space="preserve"> des hydrocarbures quittant l’enceinte, lorsqu’une enceinte à volume fixe est utilisée pour les essais d’émissions diurnes (g)</w:t>
      </w:r>
      <w:r w:rsidR="009F1E50">
        <w:rPr>
          <w:lang w:val="fr-FR"/>
        </w:rPr>
        <w:t> </w:t>
      </w:r>
      <w:r>
        <w:rPr>
          <w:lang w:val="fr-FR"/>
        </w:rPr>
        <w:t>;</w:t>
      </w:r>
    </w:p>
    <w:p w14:paraId="13FC6260" w14:textId="77777777" w:rsidR="00E41D4B" w:rsidRPr="00777177" w:rsidRDefault="00E41D4B" w:rsidP="004C6D2F">
      <w:pPr>
        <w:pStyle w:val="SingleTxtG"/>
        <w:tabs>
          <w:tab w:val="left" w:pos="2982"/>
        </w:tabs>
        <w:ind w:left="3402" w:hanging="1134"/>
      </w:pPr>
      <w:proofErr w:type="spellStart"/>
      <w:proofErr w:type="gramStart"/>
      <w:r>
        <w:rPr>
          <w:lang w:val="fr-FR"/>
        </w:rPr>
        <w:t>MHC,</w:t>
      </w:r>
      <w:r>
        <w:rPr>
          <w:vertAlign w:val="subscript"/>
          <w:lang w:val="fr-FR"/>
        </w:rPr>
        <w:t>i</w:t>
      </w:r>
      <w:proofErr w:type="spellEnd"/>
      <w:proofErr w:type="gramEnd"/>
      <w:r>
        <w:rPr>
          <w:lang w:val="fr-FR"/>
        </w:rPr>
        <w:t xml:space="preserve"> </w:t>
      </w:r>
      <w:r>
        <w:rPr>
          <w:lang w:val="fr-FR"/>
        </w:rPr>
        <w:tab/>
        <w:t xml:space="preserve">= </w:t>
      </w:r>
      <w:r>
        <w:rPr>
          <w:lang w:val="fr-FR"/>
        </w:rPr>
        <w:tab/>
      </w:r>
      <w:r w:rsidRPr="004C6D2F">
        <w:t>masse</w:t>
      </w:r>
      <w:r>
        <w:rPr>
          <w:lang w:val="fr-FR"/>
        </w:rPr>
        <w:t xml:space="preserve"> des hydrocarbures entrant dans l’enceinte, lorsqu’une enceinte à volume fixe est utilisée pour les essais d’émissions diurnes (g)</w:t>
      </w:r>
      <w:r w:rsidR="009F1E50">
        <w:rPr>
          <w:lang w:val="fr-FR"/>
        </w:rPr>
        <w:t> </w:t>
      </w:r>
      <w:r>
        <w:rPr>
          <w:lang w:val="fr-FR"/>
        </w:rPr>
        <w:t>;</w:t>
      </w:r>
    </w:p>
    <w:p w14:paraId="5456AAE1" w14:textId="77777777" w:rsidR="00E41D4B" w:rsidRPr="00777177" w:rsidRDefault="00E41D4B" w:rsidP="004C6D2F">
      <w:pPr>
        <w:pStyle w:val="SingleTxtG"/>
        <w:tabs>
          <w:tab w:val="left" w:pos="2982"/>
        </w:tabs>
        <w:ind w:left="3402" w:hanging="1134"/>
      </w:pPr>
      <w:r>
        <w:rPr>
          <w:lang w:val="fr-FR"/>
        </w:rPr>
        <w:t>C</w:t>
      </w:r>
      <w:r>
        <w:rPr>
          <w:vertAlign w:val="subscript"/>
          <w:lang w:val="fr-FR"/>
        </w:rPr>
        <w:t>HC</w:t>
      </w:r>
      <w:r>
        <w:rPr>
          <w:lang w:val="fr-FR"/>
        </w:rPr>
        <w:t xml:space="preserve"> </w:t>
      </w:r>
      <w:r>
        <w:rPr>
          <w:lang w:val="fr-FR"/>
        </w:rPr>
        <w:tab/>
        <w:t xml:space="preserve">= </w:t>
      </w:r>
      <w:r>
        <w:rPr>
          <w:lang w:val="fr-FR"/>
        </w:rPr>
        <w:tab/>
        <w:t xml:space="preserve">valeur </w:t>
      </w:r>
      <w:r w:rsidRPr="004C6D2F">
        <w:t>mesurée</w:t>
      </w:r>
      <w:r>
        <w:rPr>
          <w:lang w:val="fr-FR"/>
        </w:rPr>
        <w:t xml:space="preserve"> de la concentration en hydrocarbures dans l’enceinte (ppm (volume) en équivalent C1)</w:t>
      </w:r>
      <w:r w:rsidR="009F1E50">
        <w:rPr>
          <w:lang w:val="fr-FR"/>
        </w:rPr>
        <w:t> ;</w:t>
      </w:r>
    </w:p>
    <w:p w14:paraId="1BE667CF" w14:textId="77777777" w:rsidR="00E41D4B" w:rsidRPr="00716549" w:rsidRDefault="00E41D4B" w:rsidP="009F1E50">
      <w:pPr>
        <w:pStyle w:val="SingleTxtG"/>
        <w:tabs>
          <w:tab w:val="left" w:pos="2982"/>
        </w:tabs>
        <w:ind w:left="3402" w:hanging="1134"/>
        <w:rPr>
          <w:spacing w:val="-4"/>
        </w:rPr>
      </w:pPr>
      <w:r w:rsidRPr="00716549">
        <w:rPr>
          <w:spacing w:val="-4"/>
          <w:lang w:val="fr-FR"/>
        </w:rPr>
        <w:t xml:space="preserve">V </w:t>
      </w:r>
      <w:r w:rsidRPr="00716549">
        <w:rPr>
          <w:spacing w:val="-4"/>
          <w:lang w:val="fr-FR"/>
        </w:rPr>
        <w:tab/>
        <w:t xml:space="preserve">= </w:t>
      </w:r>
      <w:r w:rsidRPr="00716549">
        <w:rPr>
          <w:spacing w:val="-4"/>
          <w:lang w:val="fr-FR"/>
        </w:rPr>
        <w:tab/>
        <w:t>volume net de l’enceinte en m</w:t>
      </w:r>
      <w:r w:rsidRPr="00716549">
        <w:rPr>
          <w:spacing w:val="-4"/>
          <w:vertAlign w:val="superscript"/>
          <w:lang w:val="fr-FR"/>
        </w:rPr>
        <w:t>3</w:t>
      </w:r>
      <w:r w:rsidRPr="00716549">
        <w:rPr>
          <w:spacing w:val="-4"/>
          <w:lang w:val="fr-FR"/>
        </w:rPr>
        <w:t>, déduction faite du volume du véhicule, fenêtres et coffre à bagages ouverts. Si le volume du véhicule n’est pas déterminé, on retranche un volume de 1,42</w:t>
      </w:r>
      <w:r w:rsidR="009F1E50" w:rsidRPr="00716549">
        <w:rPr>
          <w:spacing w:val="-4"/>
          <w:lang w:val="fr-FR"/>
        </w:rPr>
        <w:t> </w:t>
      </w:r>
      <w:r w:rsidRPr="00716549">
        <w:rPr>
          <w:spacing w:val="-4"/>
          <w:lang w:val="fr-FR"/>
        </w:rPr>
        <w:t>m</w:t>
      </w:r>
      <w:r w:rsidRPr="00716549">
        <w:rPr>
          <w:spacing w:val="-4"/>
          <w:vertAlign w:val="superscript"/>
          <w:lang w:val="fr-FR"/>
        </w:rPr>
        <w:t>3</w:t>
      </w:r>
      <w:r w:rsidR="009F1E50" w:rsidRPr="00716549">
        <w:rPr>
          <w:spacing w:val="-4"/>
          <w:lang w:val="fr-FR"/>
        </w:rPr>
        <w:t> ;</w:t>
      </w:r>
      <w:r w:rsidRPr="00716549">
        <w:rPr>
          <w:spacing w:val="-4"/>
          <w:lang w:val="fr-FR"/>
        </w:rPr>
        <w:t xml:space="preserve"> </w:t>
      </w:r>
    </w:p>
    <w:p w14:paraId="71294384" w14:textId="77777777" w:rsidR="00E41D4B" w:rsidRPr="00777177" w:rsidRDefault="00E41D4B" w:rsidP="004C6D2F">
      <w:pPr>
        <w:pStyle w:val="SingleTxtG"/>
        <w:tabs>
          <w:tab w:val="left" w:pos="2982"/>
        </w:tabs>
        <w:ind w:left="3402" w:hanging="1134"/>
      </w:pPr>
      <w:r>
        <w:rPr>
          <w:lang w:val="fr-FR"/>
        </w:rPr>
        <w:t xml:space="preserve">T </w:t>
      </w:r>
      <w:r>
        <w:rPr>
          <w:lang w:val="fr-FR"/>
        </w:rPr>
        <w:tab/>
        <w:t xml:space="preserve">= </w:t>
      </w:r>
      <w:r>
        <w:rPr>
          <w:lang w:val="fr-FR"/>
        </w:rPr>
        <w:tab/>
        <w:t xml:space="preserve">température </w:t>
      </w:r>
      <w:r w:rsidRPr="004C6D2F">
        <w:t>ambiante</w:t>
      </w:r>
      <w:r>
        <w:rPr>
          <w:lang w:val="fr-FR"/>
        </w:rPr>
        <w:t xml:space="preserve"> de la chambre d’essai (K)</w:t>
      </w:r>
      <w:r w:rsidR="009F1E50">
        <w:rPr>
          <w:lang w:val="fr-FR"/>
        </w:rPr>
        <w:t> ;</w:t>
      </w:r>
    </w:p>
    <w:p w14:paraId="57101E8E" w14:textId="77777777" w:rsidR="00E41D4B" w:rsidRPr="00777177" w:rsidRDefault="00E41D4B" w:rsidP="004C6D2F">
      <w:pPr>
        <w:pStyle w:val="SingleTxtG"/>
        <w:tabs>
          <w:tab w:val="left" w:pos="2982"/>
        </w:tabs>
        <w:ind w:left="3402" w:hanging="1134"/>
      </w:pPr>
      <w:r>
        <w:rPr>
          <w:lang w:val="fr-FR"/>
        </w:rPr>
        <w:t xml:space="preserve">P </w:t>
      </w:r>
      <w:r>
        <w:rPr>
          <w:lang w:val="fr-FR"/>
        </w:rPr>
        <w:tab/>
        <w:t xml:space="preserve">= </w:t>
      </w:r>
      <w:r>
        <w:rPr>
          <w:lang w:val="fr-FR"/>
        </w:rPr>
        <w:tab/>
        <w:t>pression absolue dans la chambre d’essai (kPa)</w:t>
      </w:r>
      <w:r w:rsidR="009F1E50">
        <w:rPr>
          <w:lang w:val="fr-FR"/>
        </w:rPr>
        <w:t> ;</w:t>
      </w:r>
    </w:p>
    <w:p w14:paraId="20711451" w14:textId="77777777" w:rsidR="00E41D4B" w:rsidRPr="00777177" w:rsidRDefault="00E41D4B" w:rsidP="004C6D2F">
      <w:pPr>
        <w:pStyle w:val="SingleTxtG"/>
        <w:tabs>
          <w:tab w:val="left" w:pos="2982"/>
        </w:tabs>
        <w:ind w:left="3402" w:hanging="1134"/>
      </w:pPr>
      <w:r>
        <w:rPr>
          <w:lang w:val="fr-FR"/>
        </w:rPr>
        <w:t>H/C</w:t>
      </w:r>
      <w:r>
        <w:rPr>
          <w:lang w:val="fr-FR"/>
        </w:rPr>
        <w:tab/>
        <w:t xml:space="preserve">= </w:t>
      </w:r>
      <w:r>
        <w:rPr>
          <w:lang w:val="fr-FR"/>
        </w:rPr>
        <w:tab/>
        <w:t xml:space="preserve">rapport </w:t>
      </w:r>
      <w:r w:rsidRPr="004C6D2F">
        <w:t>hydrogène</w:t>
      </w:r>
      <w:r>
        <w:rPr>
          <w:lang w:val="fr-FR"/>
        </w:rPr>
        <w:t>/carbone</w:t>
      </w:r>
      <w:r w:rsidR="009F1E50">
        <w:rPr>
          <w:lang w:val="fr-FR"/>
        </w:rPr>
        <w:t> ;</w:t>
      </w:r>
    </w:p>
    <w:p w14:paraId="2D251C07" w14:textId="77777777" w:rsidR="00E41D4B" w:rsidRPr="00777177" w:rsidRDefault="00E41D4B" w:rsidP="004C6D2F">
      <w:pPr>
        <w:pStyle w:val="SingleTxtG"/>
        <w:tabs>
          <w:tab w:val="left" w:pos="2982"/>
        </w:tabs>
        <w:ind w:left="3402" w:hanging="1134"/>
      </w:pPr>
      <w:proofErr w:type="gramStart"/>
      <w:r>
        <w:rPr>
          <w:lang w:val="fr-FR"/>
        </w:rPr>
        <w:t>k</w:t>
      </w:r>
      <w:proofErr w:type="gramEnd"/>
      <w:r>
        <w:rPr>
          <w:lang w:val="fr-FR"/>
        </w:rPr>
        <w:t xml:space="preserve"> </w:t>
      </w:r>
      <w:r>
        <w:rPr>
          <w:lang w:val="fr-FR"/>
        </w:rPr>
        <w:tab/>
        <w:t xml:space="preserve">= </w:t>
      </w:r>
      <w:r>
        <w:rPr>
          <w:lang w:val="fr-FR"/>
        </w:rPr>
        <w:tab/>
        <w:t>1,2 • (12 + H/C)</w:t>
      </w:r>
      <w:r w:rsidR="009F1E50">
        <w:rPr>
          <w:lang w:val="fr-FR"/>
        </w:rPr>
        <w:t> </w:t>
      </w:r>
      <w:r>
        <w:rPr>
          <w:lang w:val="fr-FR"/>
        </w:rPr>
        <w:t>;</w:t>
      </w:r>
    </w:p>
    <w:p w14:paraId="03B0FFA7" w14:textId="77777777" w:rsidR="00E41D4B" w:rsidRPr="00777177" w:rsidRDefault="00E41D4B" w:rsidP="004C6D2F">
      <w:pPr>
        <w:pStyle w:val="SingleTxtG"/>
        <w:ind w:left="2268"/>
      </w:pPr>
      <w:r w:rsidRPr="004C6D2F">
        <w:t>Où</w:t>
      </w:r>
      <w:r w:rsidR="009F1E50">
        <w:rPr>
          <w:lang w:val="fr-FR"/>
        </w:rPr>
        <w:t> :</w:t>
      </w:r>
    </w:p>
    <w:p w14:paraId="384C6B9B" w14:textId="77777777" w:rsidR="00E41D4B" w:rsidRPr="00777177" w:rsidRDefault="00E41D4B" w:rsidP="004C6D2F">
      <w:pPr>
        <w:pStyle w:val="SingleTxtG"/>
        <w:tabs>
          <w:tab w:val="left" w:pos="2982"/>
        </w:tabs>
        <w:ind w:left="3402" w:hanging="1134"/>
      </w:pPr>
      <w:proofErr w:type="gramStart"/>
      <w:r>
        <w:rPr>
          <w:lang w:val="fr-FR"/>
        </w:rPr>
        <w:t>i</w:t>
      </w:r>
      <w:proofErr w:type="gramEnd"/>
      <w:r>
        <w:rPr>
          <w:lang w:val="fr-FR"/>
        </w:rPr>
        <w:t xml:space="preserve"> </w:t>
      </w:r>
      <w:r>
        <w:rPr>
          <w:lang w:val="fr-FR"/>
        </w:rPr>
        <w:tab/>
        <w:t xml:space="preserve">= </w:t>
      </w:r>
      <w:r>
        <w:rPr>
          <w:lang w:val="fr-FR"/>
        </w:rPr>
        <w:tab/>
        <w:t xml:space="preserve">indice </w:t>
      </w:r>
      <w:r w:rsidRPr="004C6D2F">
        <w:t>de</w:t>
      </w:r>
      <w:r>
        <w:rPr>
          <w:lang w:val="fr-FR"/>
        </w:rPr>
        <w:t xml:space="preserve"> valeur initiale</w:t>
      </w:r>
      <w:r w:rsidR="009F1E50">
        <w:rPr>
          <w:lang w:val="fr-FR"/>
        </w:rPr>
        <w:t> ;</w:t>
      </w:r>
    </w:p>
    <w:p w14:paraId="66C8ED27" w14:textId="77777777" w:rsidR="00E41D4B" w:rsidRPr="00777177" w:rsidRDefault="00E41D4B" w:rsidP="004C6D2F">
      <w:pPr>
        <w:pStyle w:val="SingleTxtG"/>
        <w:tabs>
          <w:tab w:val="left" w:pos="2982"/>
        </w:tabs>
        <w:ind w:left="3402" w:hanging="1134"/>
      </w:pPr>
      <w:proofErr w:type="gramStart"/>
      <w:r>
        <w:rPr>
          <w:lang w:val="fr-FR"/>
        </w:rPr>
        <w:t>f</w:t>
      </w:r>
      <w:proofErr w:type="gramEnd"/>
      <w:r>
        <w:rPr>
          <w:lang w:val="fr-FR"/>
        </w:rPr>
        <w:t xml:space="preserve"> </w:t>
      </w:r>
      <w:r>
        <w:rPr>
          <w:lang w:val="fr-FR"/>
        </w:rPr>
        <w:tab/>
        <w:t xml:space="preserve">= </w:t>
      </w:r>
      <w:r>
        <w:rPr>
          <w:lang w:val="fr-FR"/>
        </w:rPr>
        <w:tab/>
        <w:t xml:space="preserve">indice </w:t>
      </w:r>
      <w:r w:rsidRPr="004C6D2F">
        <w:t>de</w:t>
      </w:r>
      <w:r>
        <w:rPr>
          <w:lang w:val="fr-FR"/>
        </w:rPr>
        <w:t xml:space="preserve"> valeur finale</w:t>
      </w:r>
      <w:r w:rsidR="009F1E50">
        <w:rPr>
          <w:lang w:val="fr-FR"/>
        </w:rPr>
        <w:t> ;</w:t>
      </w:r>
    </w:p>
    <w:p w14:paraId="453ED4D3" w14:textId="77777777" w:rsidR="00E41D4B" w:rsidRPr="00777177" w:rsidRDefault="00E41D4B" w:rsidP="004C6D2F">
      <w:pPr>
        <w:pStyle w:val="SingleTxtG"/>
        <w:tabs>
          <w:tab w:val="left" w:pos="2982"/>
        </w:tabs>
        <w:ind w:left="3402" w:hanging="1134"/>
      </w:pPr>
      <w:r>
        <w:rPr>
          <w:lang w:val="fr-FR"/>
        </w:rPr>
        <w:t xml:space="preserve">H/C </w:t>
      </w:r>
      <w:r>
        <w:rPr>
          <w:lang w:val="fr-FR"/>
        </w:rPr>
        <w:tab/>
        <w:t xml:space="preserve">= </w:t>
      </w:r>
      <w:r>
        <w:rPr>
          <w:lang w:val="fr-FR"/>
        </w:rPr>
        <w:tab/>
        <w:t xml:space="preserve">2,33 </w:t>
      </w:r>
      <w:r w:rsidRPr="004C6D2F">
        <w:t>pour</w:t>
      </w:r>
      <w:r>
        <w:rPr>
          <w:lang w:val="fr-FR"/>
        </w:rPr>
        <w:t xml:space="preserve"> les pertes par essai diurne</w:t>
      </w:r>
      <w:r w:rsidR="009F1E50">
        <w:rPr>
          <w:lang w:val="fr-FR"/>
        </w:rPr>
        <w:t> ;</w:t>
      </w:r>
    </w:p>
    <w:p w14:paraId="16776C76" w14:textId="77777777" w:rsidR="00E41D4B" w:rsidRPr="00777177" w:rsidRDefault="00E41D4B" w:rsidP="004C6D2F">
      <w:pPr>
        <w:pStyle w:val="SingleTxtG"/>
        <w:tabs>
          <w:tab w:val="left" w:pos="2982"/>
        </w:tabs>
        <w:ind w:left="3402" w:hanging="1134"/>
      </w:pPr>
      <w:r>
        <w:rPr>
          <w:lang w:val="fr-FR"/>
        </w:rPr>
        <w:t xml:space="preserve">H/C </w:t>
      </w:r>
      <w:r>
        <w:rPr>
          <w:lang w:val="fr-FR"/>
        </w:rPr>
        <w:tab/>
        <w:t xml:space="preserve">= </w:t>
      </w:r>
      <w:r>
        <w:rPr>
          <w:lang w:val="fr-FR"/>
        </w:rPr>
        <w:tab/>
        <w:t xml:space="preserve">2,20 </w:t>
      </w:r>
      <w:r w:rsidRPr="004C6D2F">
        <w:t>pour</w:t>
      </w:r>
      <w:r>
        <w:rPr>
          <w:lang w:val="fr-FR"/>
        </w:rPr>
        <w:t xml:space="preserve"> les pertes par imprégnation à chaud.</w:t>
      </w:r>
    </w:p>
    <w:p w14:paraId="7E889B1E" w14:textId="77777777" w:rsidR="00E41D4B" w:rsidRPr="00777177" w:rsidRDefault="00E41D4B" w:rsidP="00622D69">
      <w:pPr>
        <w:pStyle w:val="SingleTxtG"/>
        <w:tabs>
          <w:tab w:val="left" w:pos="2268"/>
        </w:tabs>
        <w:ind w:left="2280" w:hanging="1146"/>
      </w:pPr>
      <w:r>
        <w:rPr>
          <w:lang w:val="fr-FR"/>
        </w:rPr>
        <w:t>6.1.2</w:t>
      </w:r>
      <w:r>
        <w:rPr>
          <w:lang w:val="fr-FR"/>
        </w:rPr>
        <w:tab/>
        <w:t>L’équation suivante peut être utilisée à la place de l’équation du paragraphe 6.1.1 de la présente annexe, pour une enceinte à volume variable, si le constructeur le souhaite</w:t>
      </w:r>
      <w:r w:rsidR="009F1E50">
        <w:rPr>
          <w:i/>
          <w:iCs/>
          <w:lang w:val="fr-FR"/>
        </w:rPr>
        <w:t> </w:t>
      </w:r>
      <w:r w:rsidR="009F1E50" w:rsidRPr="009F1E50">
        <w:rPr>
          <w:lang w:val="fr-FR"/>
        </w:rPr>
        <w:t>:</w:t>
      </w:r>
    </w:p>
    <w:p w14:paraId="59B3CD33" w14:textId="77777777" w:rsidR="00E41D4B" w:rsidRPr="00FD7C61" w:rsidRDefault="00E41D4B" w:rsidP="00FD7C61">
      <w:pPr>
        <w:pStyle w:val="SingleTxtG"/>
        <w:ind w:left="2268" w:hanging="1134"/>
        <w:rPr>
          <w:rFonts w:ascii="Cambria Math" w:hAnsi="Cambria Math"/>
        </w:rPr>
      </w:pPr>
      <w:r w:rsidRPr="00FD7C61">
        <w:rPr>
          <w:rFonts w:ascii="Cambria Math" w:hAnsi="Cambria Math"/>
        </w:rPr>
        <w:tab/>
        <w:t>MHC</w:t>
      </w:r>
      <m:oMath>
        <m:r>
          <m:rPr>
            <m:sty m:val="p"/>
          </m:rPr>
          <w:rPr>
            <w:rFonts w:ascii="Cambria Math" w:hAnsi="Cambria Math"/>
          </w:rPr>
          <m:t>=k × V ×</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den>
        </m:f>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HCf</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HCi</m:t>
                </m:r>
              </m:sub>
            </m:sSub>
          </m:e>
        </m:d>
      </m:oMath>
    </w:p>
    <w:p w14:paraId="61D40EBE" w14:textId="77777777" w:rsidR="00E41D4B" w:rsidRPr="00777177" w:rsidRDefault="00E41D4B" w:rsidP="004C6D2F">
      <w:pPr>
        <w:pStyle w:val="SingleTxtG"/>
        <w:ind w:left="2268"/>
      </w:pPr>
      <w:r>
        <w:rPr>
          <w:lang w:val="fr-FR"/>
        </w:rPr>
        <w:t>Où</w:t>
      </w:r>
      <w:r w:rsidR="009F1E50">
        <w:rPr>
          <w:lang w:val="fr-FR"/>
        </w:rPr>
        <w:t> :</w:t>
      </w:r>
    </w:p>
    <w:p w14:paraId="1F467A79" w14:textId="77777777" w:rsidR="00E41D4B" w:rsidRPr="00777177" w:rsidRDefault="00E41D4B" w:rsidP="004C6D2F">
      <w:pPr>
        <w:pStyle w:val="SingleTxtG"/>
        <w:tabs>
          <w:tab w:val="left" w:pos="2982"/>
        </w:tabs>
        <w:ind w:left="3402" w:hanging="1134"/>
      </w:pPr>
      <w:r>
        <w:rPr>
          <w:lang w:val="fr-FR"/>
        </w:rPr>
        <w:t>M</w:t>
      </w:r>
      <w:r>
        <w:rPr>
          <w:vertAlign w:val="subscript"/>
          <w:lang w:val="fr-FR"/>
        </w:rPr>
        <w:t>HC</w:t>
      </w:r>
      <w:r>
        <w:rPr>
          <w:lang w:val="fr-FR"/>
        </w:rPr>
        <w:t xml:space="preserve"> </w:t>
      </w:r>
      <w:r>
        <w:rPr>
          <w:lang w:val="fr-FR"/>
        </w:rPr>
        <w:tab/>
        <w:t>=</w:t>
      </w:r>
      <w:r>
        <w:rPr>
          <w:lang w:val="fr-FR"/>
        </w:rPr>
        <w:tab/>
      </w:r>
      <w:r w:rsidRPr="004C6D2F">
        <w:t>masse</w:t>
      </w:r>
      <w:r>
        <w:rPr>
          <w:lang w:val="fr-FR"/>
        </w:rPr>
        <w:t xml:space="preserve"> d’hydrocarbures (g)</w:t>
      </w:r>
      <w:r w:rsidR="009F1E50">
        <w:rPr>
          <w:lang w:val="fr-FR"/>
        </w:rPr>
        <w:t> ;</w:t>
      </w:r>
    </w:p>
    <w:p w14:paraId="6DD53990" w14:textId="77777777" w:rsidR="00E41D4B" w:rsidRPr="00777177" w:rsidRDefault="00E41D4B" w:rsidP="004C6D2F">
      <w:pPr>
        <w:pStyle w:val="SingleTxtG"/>
        <w:tabs>
          <w:tab w:val="left" w:pos="2982"/>
        </w:tabs>
        <w:ind w:left="3402" w:hanging="1134"/>
      </w:pPr>
      <w:r>
        <w:rPr>
          <w:lang w:val="fr-FR"/>
        </w:rPr>
        <w:t>C</w:t>
      </w:r>
      <w:r>
        <w:rPr>
          <w:vertAlign w:val="subscript"/>
          <w:lang w:val="fr-FR"/>
        </w:rPr>
        <w:t>HC</w:t>
      </w:r>
      <w:r>
        <w:rPr>
          <w:lang w:val="fr-FR"/>
        </w:rPr>
        <w:t xml:space="preserve"> </w:t>
      </w:r>
      <w:r>
        <w:rPr>
          <w:lang w:val="fr-FR"/>
        </w:rPr>
        <w:tab/>
        <w:t>=</w:t>
      </w:r>
      <w:r>
        <w:rPr>
          <w:lang w:val="fr-FR"/>
        </w:rPr>
        <w:tab/>
      </w:r>
      <w:r w:rsidRPr="004C6D2F">
        <w:t>valeur</w:t>
      </w:r>
      <w:r>
        <w:rPr>
          <w:lang w:val="fr-FR"/>
        </w:rPr>
        <w:t xml:space="preserve"> mesurée de la concentration en hydrocarbures dans l’enceinte (ppm (volume) en équivalent C</w:t>
      </w:r>
      <w:r>
        <w:rPr>
          <w:vertAlign w:val="subscript"/>
          <w:lang w:val="fr-FR"/>
        </w:rPr>
        <w:t>1</w:t>
      </w:r>
      <w:r>
        <w:rPr>
          <w:lang w:val="fr-FR"/>
        </w:rPr>
        <w:t>)</w:t>
      </w:r>
      <w:r w:rsidR="009F1E50">
        <w:rPr>
          <w:lang w:val="fr-FR"/>
        </w:rPr>
        <w:t> ;</w:t>
      </w:r>
    </w:p>
    <w:p w14:paraId="280E3FB3" w14:textId="77777777" w:rsidR="00E41D4B" w:rsidRPr="00777177" w:rsidRDefault="00E41D4B" w:rsidP="00622D69">
      <w:pPr>
        <w:pStyle w:val="SingleTxtG"/>
        <w:tabs>
          <w:tab w:val="left" w:pos="2982"/>
        </w:tabs>
        <w:ind w:left="3402" w:hanging="1134"/>
      </w:pPr>
      <w:r>
        <w:rPr>
          <w:lang w:val="fr-FR"/>
        </w:rPr>
        <w:t xml:space="preserve">V </w:t>
      </w:r>
      <w:r>
        <w:rPr>
          <w:lang w:val="fr-FR"/>
        </w:rPr>
        <w:tab/>
        <w:t>=</w:t>
      </w:r>
      <w:r>
        <w:rPr>
          <w:lang w:val="fr-FR"/>
        </w:rPr>
        <w:tab/>
      </w:r>
      <w:r w:rsidRPr="004C6D2F">
        <w:t>volume</w:t>
      </w:r>
      <w:r>
        <w:rPr>
          <w:lang w:val="fr-FR"/>
        </w:rPr>
        <w:t xml:space="preserve"> net de l’enceinte en m</w:t>
      </w:r>
      <w:r w:rsidRPr="009F1E50">
        <w:rPr>
          <w:vertAlign w:val="superscript"/>
          <w:lang w:val="fr-FR"/>
        </w:rPr>
        <w:t>3</w:t>
      </w:r>
      <w:r>
        <w:rPr>
          <w:lang w:val="fr-FR"/>
        </w:rPr>
        <w:t>, déduction faite du volume du véhicule, fenêtres et coffre à bagages ouverts</w:t>
      </w:r>
      <w:r w:rsidR="00622D69">
        <w:rPr>
          <w:lang w:val="fr-FR"/>
        </w:rPr>
        <w:t>.</w:t>
      </w:r>
      <w:r>
        <w:rPr>
          <w:lang w:val="fr-FR"/>
        </w:rPr>
        <w:t xml:space="preserve"> Si le volume du véhicule n’est pas déterminé, on retranche un volume de 1,42</w:t>
      </w:r>
      <w:r w:rsidR="009F1E50">
        <w:rPr>
          <w:lang w:val="fr-FR"/>
        </w:rPr>
        <w:t> </w:t>
      </w:r>
      <w:r>
        <w:rPr>
          <w:lang w:val="fr-FR"/>
        </w:rPr>
        <w:t>m</w:t>
      </w:r>
      <w:r w:rsidRPr="009F1E50">
        <w:rPr>
          <w:vertAlign w:val="superscript"/>
          <w:lang w:val="fr-FR"/>
        </w:rPr>
        <w:t>3</w:t>
      </w:r>
      <w:r w:rsidR="009F1E50">
        <w:rPr>
          <w:vertAlign w:val="superscript"/>
          <w:lang w:val="fr-FR"/>
        </w:rPr>
        <w:t> </w:t>
      </w:r>
      <w:r w:rsidR="009F1E50">
        <w:rPr>
          <w:lang w:val="fr-FR"/>
        </w:rPr>
        <w:t>;</w:t>
      </w:r>
    </w:p>
    <w:p w14:paraId="45AE8F91" w14:textId="77777777" w:rsidR="00E41D4B" w:rsidRPr="00777177" w:rsidRDefault="00E41D4B" w:rsidP="004C6D2F">
      <w:pPr>
        <w:pStyle w:val="SingleTxtG"/>
        <w:tabs>
          <w:tab w:val="left" w:pos="2982"/>
        </w:tabs>
        <w:ind w:left="3402" w:hanging="1134"/>
      </w:pPr>
      <w:r>
        <w:rPr>
          <w:lang w:val="fr-FR"/>
        </w:rPr>
        <w:t>T</w:t>
      </w:r>
      <w:r>
        <w:rPr>
          <w:vertAlign w:val="subscript"/>
          <w:lang w:val="fr-FR"/>
        </w:rPr>
        <w:t>i</w:t>
      </w:r>
      <w:r>
        <w:rPr>
          <w:lang w:val="fr-FR"/>
        </w:rPr>
        <w:tab/>
        <w:t>=</w:t>
      </w:r>
      <w:r>
        <w:rPr>
          <w:lang w:val="fr-FR"/>
        </w:rPr>
        <w:tab/>
      </w:r>
      <w:r w:rsidRPr="004C6D2F">
        <w:t>température</w:t>
      </w:r>
      <w:r>
        <w:rPr>
          <w:lang w:val="fr-FR"/>
        </w:rPr>
        <w:t xml:space="preserve"> ambiante initiale de la chambre d’essai (K)</w:t>
      </w:r>
      <w:r w:rsidR="009F1E50">
        <w:rPr>
          <w:lang w:val="fr-FR"/>
        </w:rPr>
        <w:t> ;</w:t>
      </w:r>
    </w:p>
    <w:p w14:paraId="54C689D6" w14:textId="77777777" w:rsidR="00E41D4B" w:rsidRPr="00777177" w:rsidRDefault="00E41D4B" w:rsidP="004C6D2F">
      <w:pPr>
        <w:pStyle w:val="SingleTxtG"/>
        <w:tabs>
          <w:tab w:val="left" w:pos="2982"/>
        </w:tabs>
        <w:ind w:left="3402" w:hanging="1134"/>
      </w:pPr>
      <w:r>
        <w:rPr>
          <w:lang w:val="fr-FR"/>
        </w:rPr>
        <w:lastRenderedPageBreak/>
        <w:t>P</w:t>
      </w:r>
      <w:r>
        <w:rPr>
          <w:vertAlign w:val="subscript"/>
          <w:lang w:val="fr-FR"/>
        </w:rPr>
        <w:t>i</w:t>
      </w:r>
      <w:r>
        <w:rPr>
          <w:lang w:val="fr-FR"/>
        </w:rPr>
        <w:tab/>
        <w:t>=</w:t>
      </w:r>
      <w:r>
        <w:rPr>
          <w:lang w:val="fr-FR"/>
        </w:rPr>
        <w:tab/>
      </w:r>
      <w:r w:rsidRPr="004C6D2F">
        <w:t>pression</w:t>
      </w:r>
      <w:r>
        <w:rPr>
          <w:lang w:val="fr-FR"/>
        </w:rPr>
        <w:t xml:space="preserve"> absolue initiale dans la chambre d’essai (kPa)</w:t>
      </w:r>
      <w:r w:rsidR="009F1E50">
        <w:rPr>
          <w:lang w:val="fr-FR"/>
        </w:rPr>
        <w:t> </w:t>
      </w:r>
      <w:r>
        <w:rPr>
          <w:lang w:val="fr-FR"/>
        </w:rPr>
        <w:t>;</w:t>
      </w:r>
    </w:p>
    <w:p w14:paraId="5FA2C09D" w14:textId="77777777" w:rsidR="00E41D4B" w:rsidRPr="00777177" w:rsidRDefault="00E41D4B" w:rsidP="004C6D2F">
      <w:pPr>
        <w:pStyle w:val="SingleTxtG"/>
        <w:tabs>
          <w:tab w:val="left" w:pos="2982"/>
        </w:tabs>
        <w:ind w:left="3402" w:hanging="1134"/>
      </w:pPr>
      <w:r>
        <w:rPr>
          <w:lang w:val="fr-FR"/>
        </w:rPr>
        <w:t xml:space="preserve">H/C </w:t>
      </w:r>
      <w:r>
        <w:rPr>
          <w:lang w:val="fr-FR"/>
        </w:rPr>
        <w:tab/>
        <w:t>=</w:t>
      </w:r>
      <w:r>
        <w:rPr>
          <w:lang w:val="fr-FR"/>
        </w:rPr>
        <w:tab/>
        <w:t xml:space="preserve">rapport </w:t>
      </w:r>
      <w:r w:rsidRPr="004C6D2F">
        <w:t>hydrogène</w:t>
      </w:r>
      <w:r>
        <w:rPr>
          <w:lang w:val="fr-FR"/>
        </w:rPr>
        <w:t>/carbone</w:t>
      </w:r>
      <w:r w:rsidR="009F1E50">
        <w:rPr>
          <w:lang w:val="fr-FR"/>
        </w:rPr>
        <w:t> ;</w:t>
      </w:r>
    </w:p>
    <w:p w14:paraId="01C43A21" w14:textId="77777777" w:rsidR="00E41D4B" w:rsidRPr="00777177" w:rsidRDefault="00E41D4B" w:rsidP="004C6D2F">
      <w:pPr>
        <w:pStyle w:val="SingleTxtG"/>
        <w:tabs>
          <w:tab w:val="left" w:pos="2982"/>
        </w:tabs>
        <w:ind w:left="3402" w:hanging="1134"/>
      </w:pPr>
      <w:r>
        <w:rPr>
          <w:lang w:val="fr-FR"/>
        </w:rPr>
        <w:t>H/C</w:t>
      </w:r>
      <w:r>
        <w:rPr>
          <w:lang w:val="fr-FR"/>
        </w:rPr>
        <w:tab/>
        <w:t>=</w:t>
      </w:r>
      <w:r>
        <w:rPr>
          <w:lang w:val="fr-FR"/>
        </w:rPr>
        <w:tab/>
        <w:t>2,33 pour les pertes par essai diurne</w:t>
      </w:r>
      <w:r w:rsidR="009F1E50">
        <w:rPr>
          <w:lang w:val="fr-FR"/>
        </w:rPr>
        <w:t> ;</w:t>
      </w:r>
      <w:r>
        <w:rPr>
          <w:lang w:val="fr-FR"/>
        </w:rPr>
        <w:t xml:space="preserve"> </w:t>
      </w:r>
    </w:p>
    <w:p w14:paraId="5FF6B776" w14:textId="77777777" w:rsidR="00E41D4B" w:rsidRPr="00777177" w:rsidRDefault="00E41D4B" w:rsidP="004C6D2F">
      <w:pPr>
        <w:pStyle w:val="SingleTxtG"/>
        <w:tabs>
          <w:tab w:val="left" w:pos="2982"/>
        </w:tabs>
        <w:ind w:left="3402" w:hanging="1134"/>
      </w:pPr>
      <w:r>
        <w:rPr>
          <w:lang w:val="fr-FR"/>
        </w:rPr>
        <w:t>H/C</w:t>
      </w:r>
      <w:r>
        <w:rPr>
          <w:lang w:val="fr-FR"/>
        </w:rPr>
        <w:tab/>
        <w:t>=</w:t>
      </w:r>
      <w:r>
        <w:rPr>
          <w:lang w:val="fr-FR"/>
        </w:rPr>
        <w:tab/>
        <w:t xml:space="preserve">2,20 pour les </w:t>
      </w:r>
      <w:r w:rsidR="00622D69">
        <w:rPr>
          <w:lang w:val="fr-FR"/>
        </w:rPr>
        <w:t>pertes par imprégnation à chaud ;</w:t>
      </w:r>
    </w:p>
    <w:p w14:paraId="16E921E8" w14:textId="77777777" w:rsidR="00E41D4B" w:rsidRPr="00777177" w:rsidRDefault="00E41D4B" w:rsidP="004C6D2F">
      <w:pPr>
        <w:pStyle w:val="SingleTxtG"/>
        <w:tabs>
          <w:tab w:val="left" w:pos="2982"/>
        </w:tabs>
        <w:ind w:left="3402" w:hanging="1134"/>
      </w:pPr>
      <w:proofErr w:type="gramStart"/>
      <w:r>
        <w:rPr>
          <w:lang w:val="fr-FR"/>
        </w:rPr>
        <w:t>k</w:t>
      </w:r>
      <w:proofErr w:type="gramEnd"/>
      <w:r>
        <w:rPr>
          <w:lang w:val="fr-FR"/>
        </w:rPr>
        <w:t xml:space="preserve"> </w:t>
      </w:r>
      <w:r>
        <w:rPr>
          <w:lang w:val="fr-FR"/>
        </w:rPr>
        <w:tab/>
        <w:t>=</w:t>
      </w:r>
      <w:r>
        <w:rPr>
          <w:lang w:val="fr-FR"/>
        </w:rPr>
        <w:tab/>
        <w:t>1,2 × 10-4 × (12 + H/C), en (g × K/(m³ × kPa)). ».</w:t>
      </w:r>
    </w:p>
    <w:p w14:paraId="08C68B50" w14:textId="77777777" w:rsidR="00E41D4B" w:rsidRPr="00777177" w:rsidRDefault="00E41D4B" w:rsidP="00471D7C">
      <w:pPr>
        <w:pStyle w:val="SingleTxtG"/>
      </w:pPr>
      <w:r>
        <w:rPr>
          <w:i/>
          <w:iCs/>
          <w:lang w:val="fr-FR"/>
        </w:rPr>
        <w:t>Annexe 7, appendice 1, paragraphe 2.4</w:t>
      </w:r>
      <w:r>
        <w:rPr>
          <w:lang w:val="fr-FR"/>
        </w:rPr>
        <w:t>, lire</w:t>
      </w:r>
      <w:r w:rsidR="009F1E50">
        <w:rPr>
          <w:lang w:val="fr-FR"/>
        </w:rPr>
        <w:t> :</w:t>
      </w:r>
    </w:p>
    <w:p w14:paraId="43DB4139" w14:textId="77777777" w:rsidR="00E41D4B" w:rsidRPr="00777177" w:rsidRDefault="00DF5390" w:rsidP="006C0319">
      <w:pPr>
        <w:pStyle w:val="SingleTxtG"/>
        <w:tabs>
          <w:tab w:val="left" w:pos="2268"/>
        </w:tabs>
        <w:ind w:left="2280" w:hanging="1146"/>
      </w:pPr>
      <w:r>
        <w:rPr>
          <w:lang w:val="fr-FR"/>
        </w:rPr>
        <w:t>« </w:t>
      </w:r>
      <w:r w:rsidR="00E41D4B">
        <w:rPr>
          <w:lang w:val="fr-FR"/>
        </w:rPr>
        <w:t xml:space="preserve">2.4 </w:t>
      </w:r>
      <w:r w:rsidR="00E41D4B">
        <w:rPr>
          <w:lang w:val="fr-FR"/>
        </w:rPr>
        <w:tab/>
        <w:t>Calcul des résultats des essais d’émission par évaporation</w:t>
      </w:r>
    </w:p>
    <w:p w14:paraId="4D61F449" w14:textId="77777777" w:rsidR="00E41D4B" w:rsidRPr="00777177" w:rsidRDefault="00E41D4B" w:rsidP="005C460C">
      <w:pPr>
        <w:pStyle w:val="SingleTxtG"/>
        <w:tabs>
          <w:tab w:val="left" w:pos="2268"/>
        </w:tabs>
        <w:ind w:left="2280" w:hanging="1146"/>
      </w:pPr>
      <w:r>
        <w:rPr>
          <w:lang w:val="fr-FR"/>
        </w:rPr>
        <w:t>2.4.1</w:t>
      </w:r>
      <w:r>
        <w:rPr>
          <w:lang w:val="fr-FR"/>
        </w:rPr>
        <w:tab/>
        <w:t>Le calcul de la valeur nette de la variation de la masse d’hydrocarbures contenue dans l’enceinte sert à déterminer le taux résiduel en hydrocarbures de l’enceinte et son taux de fuite. Les valeurs initiales et finales de la concentration d’hydrocarbures, de la température et de la pression barométrique sont utilisées dans la formule ci-après pour calculer la variation de la masse.</w:t>
      </w:r>
    </w:p>
    <w:p w14:paraId="41E5606C" w14:textId="77777777" w:rsidR="00E41D4B" w:rsidRPr="002836AE" w:rsidRDefault="00E41D4B" w:rsidP="004C6D2F">
      <w:pPr>
        <w:pStyle w:val="SingleTxtG"/>
        <w:ind w:left="2268" w:hanging="1134"/>
      </w:pPr>
      <w:r w:rsidRPr="00777177">
        <w:tab/>
      </w:r>
      <m:oMath>
        <m:sSub>
          <m:sSubPr>
            <m:ctrlPr>
              <w:rPr>
                <w:rFonts w:ascii="Cambria Math" w:hAnsi="Cambria Math"/>
                <w:i/>
              </w:rPr>
            </m:ctrlPr>
          </m:sSubPr>
          <m:e>
            <m:r>
              <w:rPr>
                <w:rFonts w:ascii="Cambria Math" w:hAnsi="Cambria Math"/>
              </w:rPr>
              <m:t>M</m:t>
            </m:r>
          </m:e>
          <m:sub>
            <m:r>
              <w:rPr>
                <w:rFonts w:ascii="Cambria Math" w:hAnsi="Cambria Math"/>
              </w:rPr>
              <m:t>HC</m:t>
            </m:r>
          </m:sub>
        </m:sSub>
        <m:r>
          <w:rPr>
            <w:rFonts w:ascii="Cambria Math" w:hAnsi="Cambria Math"/>
          </w:rPr>
          <m:t>=k.V.</m:t>
        </m:r>
        <m:sSup>
          <m:sSupPr>
            <m:ctrlPr>
              <w:rPr>
                <w:rFonts w:ascii="Cambria Math" w:hAnsi="Cambria Math"/>
                <w:i/>
              </w:rPr>
            </m:ctrlPr>
          </m:sSupPr>
          <m:e>
            <m:r>
              <w:rPr>
                <w:rFonts w:ascii="Cambria Math" w:hAnsi="Cambria Math"/>
              </w:rPr>
              <m:t>10</m:t>
            </m:r>
          </m:e>
          <m:sup>
            <m:r>
              <w:rPr>
                <w:rFonts w:ascii="Cambria Math" w:hAnsi="Cambria Math"/>
              </w:rPr>
              <m:t>-4</m:t>
            </m:r>
          </m:sup>
        </m:sSup>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HC,f</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f</m:t>
                    </m:r>
                  </m:sub>
                </m:sSub>
              </m:num>
              <m:den>
                <m:sSub>
                  <m:sSubPr>
                    <m:ctrlPr>
                      <w:rPr>
                        <w:rFonts w:ascii="Cambria Math" w:hAnsi="Cambria Math"/>
                        <w:i/>
                      </w:rPr>
                    </m:ctrlPr>
                  </m:sSubPr>
                  <m:e>
                    <m:r>
                      <w:rPr>
                        <w:rFonts w:ascii="Cambria Math" w:hAnsi="Cambria Math"/>
                      </w:rPr>
                      <m:t>T</m:t>
                    </m:r>
                  </m:e>
                  <m:sub>
                    <m:r>
                      <w:rPr>
                        <w:rFonts w:ascii="Cambria Math" w:hAnsi="Cambria Math"/>
                      </w:rPr>
                      <m:t>f</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HC,i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num>
              <m:den>
                <m:sSub>
                  <m:sSubPr>
                    <m:ctrlPr>
                      <w:rPr>
                        <w:rFonts w:ascii="Cambria Math" w:hAnsi="Cambria Math"/>
                        <w:i/>
                      </w:rPr>
                    </m:ctrlPr>
                  </m:sSubPr>
                  <m:e>
                    <m:r>
                      <w:rPr>
                        <w:rFonts w:ascii="Cambria Math" w:hAnsi="Cambria Math"/>
                      </w:rPr>
                      <m:t>T</m:t>
                    </m:r>
                  </m:e>
                  <m:sub>
                    <m:r>
                      <w:rPr>
                        <w:rFonts w:ascii="Cambria Math" w:hAnsi="Cambria Math"/>
                      </w:rPr>
                      <m:t>i</m:t>
                    </m:r>
                  </m:sub>
                </m:sSub>
              </m:den>
            </m:f>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HC,out</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HC,i</m:t>
            </m:r>
          </m:sub>
        </m:sSub>
      </m:oMath>
    </w:p>
    <w:p w14:paraId="17B0E927" w14:textId="77777777" w:rsidR="00E41D4B" w:rsidRPr="00777177" w:rsidRDefault="00E41D4B" w:rsidP="004C6D2F">
      <w:pPr>
        <w:pStyle w:val="SingleTxtG"/>
        <w:ind w:left="2268"/>
      </w:pPr>
      <w:r>
        <w:rPr>
          <w:lang w:val="fr-FR"/>
        </w:rPr>
        <w:tab/>
        <w:t>Où</w:t>
      </w:r>
      <w:r w:rsidR="009F1E50">
        <w:rPr>
          <w:lang w:val="fr-FR"/>
        </w:rPr>
        <w:t> :</w:t>
      </w:r>
    </w:p>
    <w:p w14:paraId="78ED2F71" w14:textId="77777777" w:rsidR="00E41D4B" w:rsidRPr="00777177" w:rsidRDefault="00E41D4B" w:rsidP="004C6D2F">
      <w:pPr>
        <w:pStyle w:val="SingleTxtG"/>
        <w:tabs>
          <w:tab w:val="left" w:pos="2982"/>
        </w:tabs>
        <w:ind w:left="3402" w:hanging="1134"/>
      </w:pPr>
      <w:r>
        <w:rPr>
          <w:lang w:val="fr-FR"/>
        </w:rPr>
        <w:t>M</w:t>
      </w:r>
      <w:r>
        <w:rPr>
          <w:vertAlign w:val="subscript"/>
          <w:lang w:val="fr-FR"/>
        </w:rPr>
        <w:t>HC</w:t>
      </w:r>
      <w:r>
        <w:rPr>
          <w:lang w:val="fr-FR"/>
        </w:rPr>
        <w:t xml:space="preserve"> </w:t>
      </w:r>
      <w:r>
        <w:rPr>
          <w:lang w:val="fr-FR"/>
        </w:rPr>
        <w:tab/>
        <w:t xml:space="preserve">= </w:t>
      </w:r>
      <w:r>
        <w:rPr>
          <w:lang w:val="fr-FR"/>
        </w:rPr>
        <w:tab/>
        <w:t xml:space="preserve">masse </w:t>
      </w:r>
      <w:r w:rsidRPr="004C6D2F">
        <w:t>d’hydrocarbures</w:t>
      </w:r>
      <w:r>
        <w:rPr>
          <w:lang w:val="fr-FR"/>
        </w:rPr>
        <w:t xml:space="preserve"> (g)</w:t>
      </w:r>
      <w:r w:rsidR="009F1E50">
        <w:rPr>
          <w:lang w:val="fr-FR"/>
        </w:rPr>
        <w:t> ;</w:t>
      </w:r>
    </w:p>
    <w:p w14:paraId="3E41FDAF" w14:textId="77777777" w:rsidR="00E41D4B" w:rsidRPr="00777177" w:rsidRDefault="00E41D4B" w:rsidP="004C6D2F">
      <w:pPr>
        <w:pStyle w:val="SingleTxtG"/>
        <w:tabs>
          <w:tab w:val="left" w:pos="2982"/>
        </w:tabs>
        <w:ind w:left="3402" w:hanging="1134"/>
      </w:pPr>
      <w:proofErr w:type="spellStart"/>
      <w:proofErr w:type="gramStart"/>
      <w:r>
        <w:rPr>
          <w:lang w:val="fr-FR"/>
        </w:rPr>
        <w:t>M</w:t>
      </w:r>
      <w:r>
        <w:rPr>
          <w:vertAlign w:val="subscript"/>
          <w:lang w:val="fr-FR"/>
        </w:rPr>
        <w:t>HC,out</w:t>
      </w:r>
      <w:proofErr w:type="spellEnd"/>
      <w:proofErr w:type="gramEnd"/>
      <w:r>
        <w:rPr>
          <w:lang w:val="fr-FR"/>
        </w:rPr>
        <w:t xml:space="preserve"> </w:t>
      </w:r>
      <w:r>
        <w:rPr>
          <w:lang w:val="fr-FR"/>
        </w:rPr>
        <w:tab/>
        <w:t xml:space="preserve">= </w:t>
      </w:r>
      <w:r>
        <w:rPr>
          <w:lang w:val="fr-FR"/>
        </w:rPr>
        <w:tab/>
      </w:r>
      <w:r w:rsidRPr="004C6D2F">
        <w:t>masse</w:t>
      </w:r>
      <w:r>
        <w:rPr>
          <w:lang w:val="fr-FR"/>
        </w:rPr>
        <w:t xml:space="preserve"> des hydrocarbures quittant l’enceinte, lorsqu’une enceinte à volume fixe est utilisée pour les essais d’émissions diurnes (g)</w:t>
      </w:r>
      <w:r w:rsidR="009F1E50">
        <w:rPr>
          <w:lang w:val="fr-FR"/>
        </w:rPr>
        <w:t> </w:t>
      </w:r>
      <w:r>
        <w:rPr>
          <w:lang w:val="fr-FR"/>
        </w:rPr>
        <w:t>;</w:t>
      </w:r>
    </w:p>
    <w:p w14:paraId="04ADF154" w14:textId="77777777" w:rsidR="00E41D4B" w:rsidRPr="00777177" w:rsidRDefault="00E41D4B" w:rsidP="004C6D2F">
      <w:pPr>
        <w:pStyle w:val="SingleTxtG"/>
        <w:tabs>
          <w:tab w:val="left" w:pos="2982"/>
        </w:tabs>
        <w:ind w:left="3402" w:hanging="1134"/>
      </w:pPr>
      <w:proofErr w:type="spellStart"/>
      <w:proofErr w:type="gramStart"/>
      <w:r>
        <w:rPr>
          <w:lang w:val="fr-FR"/>
        </w:rPr>
        <w:t>M</w:t>
      </w:r>
      <w:r>
        <w:rPr>
          <w:vertAlign w:val="subscript"/>
          <w:lang w:val="fr-FR"/>
        </w:rPr>
        <w:t>HC,i</w:t>
      </w:r>
      <w:proofErr w:type="spellEnd"/>
      <w:proofErr w:type="gramEnd"/>
      <w:r>
        <w:rPr>
          <w:lang w:val="fr-FR"/>
        </w:rPr>
        <w:t xml:space="preserve"> </w:t>
      </w:r>
      <w:r>
        <w:rPr>
          <w:lang w:val="fr-FR"/>
        </w:rPr>
        <w:tab/>
        <w:t xml:space="preserve">= </w:t>
      </w:r>
      <w:r>
        <w:rPr>
          <w:lang w:val="fr-FR"/>
        </w:rPr>
        <w:tab/>
        <w:t>masse des hydrocarbures entrant dans l’enceinte, lorsqu’une enceinte à volume fixe est utilisée pour les essais d’émissions diurnes (g)</w:t>
      </w:r>
      <w:r w:rsidR="009F1E50">
        <w:rPr>
          <w:lang w:val="fr-FR"/>
        </w:rPr>
        <w:t> </w:t>
      </w:r>
      <w:r>
        <w:rPr>
          <w:lang w:val="fr-FR"/>
        </w:rPr>
        <w:t>;</w:t>
      </w:r>
    </w:p>
    <w:p w14:paraId="200FD352" w14:textId="77777777" w:rsidR="00E41D4B" w:rsidRPr="00777177" w:rsidRDefault="00E41D4B" w:rsidP="004C6D2F">
      <w:pPr>
        <w:pStyle w:val="SingleTxtG"/>
        <w:tabs>
          <w:tab w:val="left" w:pos="2982"/>
        </w:tabs>
        <w:ind w:left="3402" w:hanging="1134"/>
      </w:pPr>
      <w:r>
        <w:rPr>
          <w:lang w:val="fr-FR"/>
        </w:rPr>
        <w:t>C</w:t>
      </w:r>
      <w:r>
        <w:rPr>
          <w:vertAlign w:val="subscript"/>
          <w:lang w:val="fr-FR"/>
        </w:rPr>
        <w:t>HC</w:t>
      </w:r>
      <w:r>
        <w:rPr>
          <w:lang w:val="fr-FR"/>
        </w:rPr>
        <w:t xml:space="preserve"> </w:t>
      </w:r>
      <w:r>
        <w:rPr>
          <w:lang w:val="fr-FR"/>
        </w:rPr>
        <w:tab/>
        <w:t xml:space="preserve">= </w:t>
      </w:r>
      <w:r>
        <w:rPr>
          <w:lang w:val="fr-FR"/>
        </w:rPr>
        <w:tab/>
      </w:r>
      <w:r w:rsidRPr="004C6D2F">
        <w:t>concentration</w:t>
      </w:r>
      <w:r>
        <w:rPr>
          <w:lang w:val="fr-FR"/>
        </w:rPr>
        <w:t xml:space="preserve"> d’hydrocarbures dans l’enceinte, en équivalent carbone (note</w:t>
      </w:r>
      <w:r w:rsidR="009F1E50">
        <w:rPr>
          <w:lang w:val="fr-FR"/>
        </w:rPr>
        <w:t> :</w:t>
      </w:r>
      <w:r>
        <w:rPr>
          <w:lang w:val="fr-FR"/>
        </w:rPr>
        <w:t xml:space="preserve"> ppm carbone = ppm propane x 3)</w:t>
      </w:r>
      <w:r w:rsidR="009F1E50">
        <w:rPr>
          <w:lang w:val="fr-FR"/>
        </w:rPr>
        <w:t> </w:t>
      </w:r>
      <w:r>
        <w:rPr>
          <w:lang w:val="fr-FR"/>
        </w:rPr>
        <w:t>;</w:t>
      </w:r>
    </w:p>
    <w:p w14:paraId="1A2AC649" w14:textId="77777777" w:rsidR="00E41D4B" w:rsidRPr="00777177" w:rsidRDefault="00E41D4B" w:rsidP="004C6D2F">
      <w:pPr>
        <w:pStyle w:val="SingleTxtG"/>
        <w:tabs>
          <w:tab w:val="left" w:pos="2982"/>
        </w:tabs>
        <w:ind w:left="3402" w:hanging="1134"/>
      </w:pPr>
      <w:r>
        <w:rPr>
          <w:lang w:val="fr-FR"/>
        </w:rPr>
        <w:t xml:space="preserve">V </w:t>
      </w:r>
      <w:r>
        <w:rPr>
          <w:lang w:val="fr-FR"/>
        </w:rPr>
        <w:tab/>
        <w:t xml:space="preserve">= </w:t>
      </w:r>
      <w:r>
        <w:rPr>
          <w:lang w:val="fr-FR"/>
        </w:rPr>
        <w:tab/>
        <w:t xml:space="preserve">volume </w:t>
      </w:r>
      <w:r w:rsidRPr="004C6D2F">
        <w:t>de</w:t>
      </w:r>
      <w:r>
        <w:rPr>
          <w:lang w:val="fr-FR"/>
        </w:rPr>
        <w:t xml:space="preserve"> l’enceinte en m</w:t>
      </w:r>
      <w:r w:rsidRPr="009F1E50">
        <w:rPr>
          <w:vertAlign w:val="superscript"/>
          <w:lang w:val="fr-FR"/>
        </w:rPr>
        <w:t>3</w:t>
      </w:r>
      <w:r w:rsidR="009F1E50">
        <w:rPr>
          <w:lang w:val="fr-FR"/>
        </w:rPr>
        <w:t> ;</w:t>
      </w:r>
    </w:p>
    <w:p w14:paraId="76059BA8" w14:textId="77777777" w:rsidR="00E41D4B" w:rsidRPr="00777177" w:rsidRDefault="00E41D4B" w:rsidP="004C6D2F">
      <w:pPr>
        <w:pStyle w:val="SingleTxtG"/>
        <w:tabs>
          <w:tab w:val="left" w:pos="2982"/>
        </w:tabs>
        <w:ind w:left="3402" w:hanging="1134"/>
      </w:pPr>
      <w:r>
        <w:rPr>
          <w:lang w:val="fr-FR"/>
        </w:rPr>
        <w:t xml:space="preserve">T </w:t>
      </w:r>
      <w:r>
        <w:rPr>
          <w:lang w:val="fr-FR"/>
        </w:rPr>
        <w:tab/>
        <w:t xml:space="preserve">= </w:t>
      </w:r>
      <w:r>
        <w:rPr>
          <w:lang w:val="fr-FR"/>
        </w:rPr>
        <w:tab/>
      </w:r>
      <w:r w:rsidRPr="004C6D2F">
        <w:t>température</w:t>
      </w:r>
      <w:r>
        <w:rPr>
          <w:lang w:val="fr-FR"/>
        </w:rPr>
        <w:t xml:space="preserve"> ambiante dans l’enceinte (K)</w:t>
      </w:r>
      <w:r w:rsidR="009F1E50">
        <w:rPr>
          <w:lang w:val="fr-FR"/>
        </w:rPr>
        <w:t> ;</w:t>
      </w:r>
    </w:p>
    <w:p w14:paraId="503184A0" w14:textId="77777777" w:rsidR="00E41D4B" w:rsidRPr="00777177" w:rsidRDefault="00E41D4B" w:rsidP="004C6D2F">
      <w:pPr>
        <w:pStyle w:val="SingleTxtG"/>
        <w:tabs>
          <w:tab w:val="left" w:pos="2982"/>
        </w:tabs>
        <w:ind w:left="3402" w:hanging="1134"/>
      </w:pPr>
      <w:r>
        <w:rPr>
          <w:lang w:val="fr-FR"/>
        </w:rPr>
        <w:t xml:space="preserve">P </w:t>
      </w:r>
      <w:r>
        <w:rPr>
          <w:lang w:val="fr-FR"/>
        </w:rPr>
        <w:tab/>
        <w:t xml:space="preserve">= </w:t>
      </w:r>
      <w:r>
        <w:rPr>
          <w:lang w:val="fr-FR"/>
        </w:rPr>
        <w:tab/>
        <w:t xml:space="preserve">pression </w:t>
      </w:r>
      <w:r w:rsidRPr="004C6D2F">
        <w:t>barométrique</w:t>
      </w:r>
      <w:r>
        <w:rPr>
          <w:lang w:val="fr-FR"/>
        </w:rPr>
        <w:t xml:space="preserve"> (kPa)</w:t>
      </w:r>
      <w:r w:rsidR="009F1E50">
        <w:rPr>
          <w:lang w:val="fr-FR"/>
        </w:rPr>
        <w:t> ;</w:t>
      </w:r>
    </w:p>
    <w:p w14:paraId="16B9CD10" w14:textId="77777777" w:rsidR="00E41D4B" w:rsidRPr="00777177" w:rsidRDefault="00E41D4B" w:rsidP="004C6D2F">
      <w:pPr>
        <w:pStyle w:val="SingleTxtG"/>
        <w:tabs>
          <w:tab w:val="left" w:pos="2982"/>
        </w:tabs>
        <w:ind w:left="3402" w:hanging="1134"/>
      </w:pPr>
      <w:proofErr w:type="gramStart"/>
      <w:r>
        <w:rPr>
          <w:lang w:val="fr-FR"/>
        </w:rPr>
        <w:t>k</w:t>
      </w:r>
      <w:proofErr w:type="gramEnd"/>
      <w:r>
        <w:rPr>
          <w:lang w:val="fr-FR"/>
        </w:rPr>
        <w:t xml:space="preserve"> </w:t>
      </w:r>
      <w:r>
        <w:rPr>
          <w:lang w:val="fr-FR"/>
        </w:rPr>
        <w:tab/>
        <w:t xml:space="preserve">= </w:t>
      </w:r>
      <w:r>
        <w:rPr>
          <w:lang w:val="fr-FR"/>
        </w:rPr>
        <w:tab/>
        <w:t>17,6</w:t>
      </w:r>
    </w:p>
    <w:p w14:paraId="70FC979B" w14:textId="77777777" w:rsidR="00E41D4B" w:rsidRPr="00777177" w:rsidRDefault="00E41D4B" w:rsidP="004C6D2F">
      <w:pPr>
        <w:pStyle w:val="SingleTxtG"/>
        <w:ind w:left="2268"/>
      </w:pPr>
      <w:r w:rsidRPr="004C6D2F">
        <w:t>Où</w:t>
      </w:r>
      <w:r w:rsidR="009F1E50">
        <w:rPr>
          <w:lang w:val="fr-FR"/>
        </w:rPr>
        <w:t> :</w:t>
      </w:r>
    </w:p>
    <w:p w14:paraId="25510960" w14:textId="77777777" w:rsidR="00E41D4B" w:rsidRPr="00777177" w:rsidRDefault="00E41D4B" w:rsidP="004C6D2F">
      <w:pPr>
        <w:pStyle w:val="SingleTxtG"/>
        <w:tabs>
          <w:tab w:val="left" w:pos="2982"/>
        </w:tabs>
        <w:ind w:left="3402" w:hanging="1134"/>
      </w:pPr>
      <w:proofErr w:type="gramStart"/>
      <w:r>
        <w:rPr>
          <w:lang w:val="fr-FR"/>
        </w:rPr>
        <w:t>i</w:t>
      </w:r>
      <w:proofErr w:type="gramEnd"/>
      <w:r>
        <w:rPr>
          <w:lang w:val="fr-FR"/>
        </w:rPr>
        <w:t xml:space="preserve"> </w:t>
      </w:r>
      <w:r>
        <w:rPr>
          <w:lang w:val="fr-FR"/>
        </w:rPr>
        <w:tab/>
        <w:t xml:space="preserve">= </w:t>
      </w:r>
      <w:r>
        <w:rPr>
          <w:lang w:val="fr-FR"/>
        </w:rPr>
        <w:tab/>
        <w:t>est un indice de valeur initiale</w:t>
      </w:r>
      <w:r w:rsidR="009F1E50">
        <w:rPr>
          <w:lang w:val="fr-FR"/>
        </w:rPr>
        <w:t> ;</w:t>
      </w:r>
    </w:p>
    <w:p w14:paraId="30E1694A" w14:textId="77777777" w:rsidR="00E41D4B" w:rsidRPr="00777177" w:rsidRDefault="00E41D4B" w:rsidP="004C6D2F">
      <w:pPr>
        <w:pStyle w:val="SingleTxtG"/>
        <w:tabs>
          <w:tab w:val="left" w:pos="2982"/>
        </w:tabs>
        <w:ind w:left="3402" w:hanging="1134"/>
      </w:pPr>
      <w:proofErr w:type="gramStart"/>
      <w:r>
        <w:rPr>
          <w:lang w:val="fr-FR"/>
        </w:rPr>
        <w:t>f</w:t>
      </w:r>
      <w:proofErr w:type="gramEnd"/>
      <w:r>
        <w:rPr>
          <w:lang w:val="fr-FR"/>
        </w:rPr>
        <w:t xml:space="preserve"> </w:t>
      </w:r>
      <w:r>
        <w:rPr>
          <w:lang w:val="fr-FR"/>
        </w:rPr>
        <w:tab/>
        <w:t xml:space="preserve">= </w:t>
      </w:r>
      <w:r>
        <w:rPr>
          <w:lang w:val="fr-FR"/>
        </w:rPr>
        <w:tab/>
        <w:t>est un indice de valeur finale.</w:t>
      </w:r>
    </w:p>
    <w:p w14:paraId="52910550" w14:textId="77777777" w:rsidR="00E41D4B" w:rsidRPr="00777177" w:rsidRDefault="00E41D4B" w:rsidP="00622D69">
      <w:pPr>
        <w:pStyle w:val="SingleTxtG"/>
        <w:tabs>
          <w:tab w:val="left" w:pos="2268"/>
        </w:tabs>
        <w:ind w:left="2280" w:hanging="1146"/>
      </w:pPr>
      <w:r>
        <w:rPr>
          <w:lang w:val="fr-FR"/>
        </w:rPr>
        <w:t>2.4.2.</w:t>
      </w:r>
      <w:r>
        <w:rPr>
          <w:lang w:val="fr-FR"/>
        </w:rPr>
        <w:tab/>
        <w:t xml:space="preserve">L’équation </w:t>
      </w:r>
      <w:r w:rsidRPr="004C6D2F">
        <w:t>suivante</w:t>
      </w:r>
      <w:r>
        <w:rPr>
          <w:lang w:val="fr-FR"/>
        </w:rPr>
        <w:t xml:space="preserve"> peut être utilisée à la place de l’équation du paragraphe 2.4.1 de la présente annexe, pour une enceinte à volume variable, si le constructeur le souhaite</w:t>
      </w:r>
      <w:r w:rsidR="009F1E50">
        <w:rPr>
          <w:lang w:val="fr-FR"/>
        </w:rPr>
        <w:t> </w:t>
      </w:r>
      <w:r>
        <w:rPr>
          <w:lang w:val="fr-FR"/>
        </w:rPr>
        <w:t>:</w:t>
      </w:r>
    </w:p>
    <w:p w14:paraId="2085A834" w14:textId="77777777" w:rsidR="00E41D4B" w:rsidRPr="00777177" w:rsidRDefault="00E41D4B" w:rsidP="004C6D2F">
      <w:pPr>
        <w:pStyle w:val="SingleTxtG"/>
        <w:tabs>
          <w:tab w:val="left" w:pos="2982"/>
        </w:tabs>
        <w:ind w:left="3402" w:hanging="1134"/>
      </w:pPr>
      <w:r>
        <w:rPr>
          <w:lang w:val="fr-FR"/>
        </w:rPr>
        <w:tab/>
        <w:t>M</w:t>
      </w:r>
      <w:r>
        <w:rPr>
          <w:vertAlign w:val="subscript"/>
          <w:lang w:val="fr-FR"/>
        </w:rPr>
        <w:t>HC</w:t>
      </w:r>
      <w:r w:rsidR="005C460C">
        <w:rPr>
          <w:vertAlign w:val="subscript"/>
          <w:lang w:val="fr-FR"/>
        </w:rPr>
        <w:t xml:space="preserve"> </w:t>
      </w:r>
      <m:oMath>
        <m:r>
          <m:rPr>
            <m:sty m:val="p"/>
          </m:rPr>
          <w:rPr>
            <w:rFonts w:ascii="Cambria Math" w:hAnsi="Cambria Math"/>
            <w:lang w:val="pl-PL"/>
          </w:rPr>
          <m:t>=k × V ×</m:t>
        </m:r>
        <m:f>
          <m:fPr>
            <m:ctrlPr>
              <w:rPr>
                <w:rFonts w:ascii="Cambria Math" w:hAnsi="Cambria Math"/>
              </w:rPr>
            </m:ctrlPr>
          </m:fPr>
          <m:num>
            <m:sSub>
              <m:sSubPr>
                <m:ctrlPr>
                  <w:rPr>
                    <w:rFonts w:ascii="Cambria Math" w:hAnsi="Cambria Math"/>
                  </w:rPr>
                </m:ctrlPr>
              </m:sSubPr>
              <m:e>
                <m:r>
                  <m:rPr>
                    <m:sty m:val="p"/>
                  </m:rPr>
                  <w:rPr>
                    <w:rFonts w:ascii="Cambria Math" w:hAnsi="Cambria Math"/>
                    <w:lang w:val="pl-PL"/>
                  </w:rPr>
                  <m:t>P</m:t>
                </m:r>
              </m:e>
              <m:sub>
                <m:r>
                  <m:rPr>
                    <m:sty m:val="p"/>
                  </m:rPr>
                  <w:rPr>
                    <w:rFonts w:ascii="Cambria Math" w:hAnsi="Cambria Math"/>
                    <w:lang w:val="pl-PL"/>
                  </w:rPr>
                  <m:t>i</m:t>
                </m:r>
              </m:sub>
            </m:sSub>
          </m:num>
          <m:den>
            <m:sSub>
              <m:sSubPr>
                <m:ctrlPr>
                  <w:rPr>
                    <w:rFonts w:ascii="Cambria Math" w:hAnsi="Cambria Math"/>
                  </w:rPr>
                </m:ctrlPr>
              </m:sSubPr>
              <m:e>
                <m:r>
                  <m:rPr>
                    <m:sty m:val="p"/>
                  </m:rPr>
                  <w:rPr>
                    <w:rFonts w:ascii="Cambria Math" w:hAnsi="Cambria Math"/>
                    <w:lang w:val="pl-PL"/>
                  </w:rPr>
                  <m:t>T</m:t>
                </m:r>
              </m:e>
              <m:sub>
                <m:r>
                  <m:rPr>
                    <m:sty m:val="p"/>
                  </m:rPr>
                  <w:rPr>
                    <w:rFonts w:ascii="Cambria Math" w:hAnsi="Cambria Math"/>
                    <w:lang w:val="pl-PL"/>
                  </w:rPr>
                  <m:t>i</m:t>
                </m:r>
              </m:sub>
            </m:sSub>
          </m:den>
        </m:f>
        <m:d>
          <m:dPr>
            <m:ctrlPr>
              <w:rPr>
                <w:rFonts w:ascii="Cambria Math" w:hAnsi="Cambria Math"/>
              </w:rPr>
            </m:ctrlPr>
          </m:dPr>
          <m:e>
            <m:sSub>
              <m:sSubPr>
                <m:ctrlPr>
                  <w:rPr>
                    <w:rFonts w:ascii="Cambria Math" w:hAnsi="Cambria Math"/>
                  </w:rPr>
                </m:ctrlPr>
              </m:sSubPr>
              <m:e>
                <m:r>
                  <m:rPr>
                    <m:sty m:val="p"/>
                  </m:rPr>
                  <w:rPr>
                    <w:rFonts w:ascii="Cambria Math" w:hAnsi="Cambria Math"/>
                    <w:lang w:val="pl-PL"/>
                  </w:rPr>
                  <m:t>C</m:t>
                </m:r>
              </m:e>
              <m:sub>
                <m:r>
                  <m:rPr>
                    <m:sty m:val="p"/>
                  </m:rPr>
                  <w:rPr>
                    <w:rFonts w:ascii="Cambria Math" w:hAnsi="Cambria Math"/>
                    <w:lang w:val="pl-PL"/>
                  </w:rPr>
                  <m:t>HCf</m:t>
                </m:r>
              </m:sub>
            </m:sSub>
            <m:r>
              <m:rPr>
                <m:sty m:val="p"/>
              </m:rPr>
              <w:rPr>
                <w:rFonts w:ascii="Cambria Math" w:hAnsi="Cambria Math"/>
                <w:lang w:val="pl-PL"/>
              </w:rPr>
              <m:t xml:space="preserve">- </m:t>
            </m:r>
            <m:sSub>
              <m:sSubPr>
                <m:ctrlPr>
                  <w:rPr>
                    <w:rFonts w:ascii="Cambria Math" w:hAnsi="Cambria Math"/>
                  </w:rPr>
                </m:ctrlPr>
              </m:sSubPr>
              <m:e>
                <m:r>
                  <m:rPr>
                    <m:sty m:val="p"/>
                  </m:rPr>
                  <w:rPr>
                    <w:rFonts w:ascii="Cambria Math" w:hAnsi="Cambria Math"/>
                    <w:lang w:val="pl-PL"/>
                  </w:rPr>
                  <m:t>C</m:t>
                </m:r>
              </m:e>
              <m:sub>
                <m:r>
                  <m:rPr>
                    <m:sty m:val="p"/>
                  </m:rPr>
                  <w:rPr>
                    <w:rFonts w:ascii="Cambria Math" w:hAnsi="Cambria Math"/>
                    <w:lang w:val="pl-PL"/>
                  </w:rPr>
                  <m:t>HCi</m:t>
                </m:r>
              </m:sub>
            </m:sSub>
          </m:e>
        </m:d>
      </m:oMath>
    </w:p>
    <w:p w14:paraId="42929A13" w14:textId="77777777" w:rsidR="00E41D4B" w:rsidRPr="00777177" w:rsidRDefault="00E41D4B" w:rsidP="004C6D2F">
      <w:pPr>
        <w:pStyle w:val="SingleTxtG"/>
        <w:ind w:left="2268"/>
      </w:pPr>
      <w:r w:rsidRPr="004C6D2F">
        <w:t>Où</w:t>
      </w:r>
      <w:r w:rsidR="009F1E50">
        <w:rPr>
          <w:lang w:val="fr-FR"/>
        </w:rPr>
        <w:t> :</w:t>
      </w:r>
    </w:p>
    <w:p w14:paraId="0D2D93D0" w14:textId="77777777" w:rsidR="00E41D4B" w:rsidRPr="00777177" w:rsidRDefault="00E41D4B" w:rsidP="004C6D2F">
      <w:pPr>
        <w:pStyle w:val="SingleTxtG"/>
        <w:tabs>
          <w:tab w:val="left" w:pos="2982"/>
        </w:tabs>
        <w:ind w:left="3402" w:hanging="1134"/>
      </w:pPr>
      <w:r>
        <w:rPr>
          <w:lang w:val="fr-FR"/>
        </w:rPr>
        <w:t>M</w:t>
      </w:r>
      <w:r>
        <w:rPr>
          <w:vertAlign w:val="subscript"/>
          <w:lang w:val="fr-FR"/>
        </w:rPr>
        <w:t>HC</w:t>
      </w:r>
      <w:r>
        <w:rPr>
          <w:lang w:val="fr-FR"/>
        </w:rPr>
        <w:t xml:space="preserve"> </w:t>
      </w:r>
      <w:r>
        <w:rPr>
          <w:lang w:val="fr-FR"/>
        </w:rPr>
        <w:tab/>
        <w:t>=</w:t>
      </w:r>
      <w:r>
        <w:rPr>
          <w:lang w:val="fr-FR"/>
        </w:rPr>
        <w:tab/>
      </w:r>
      <w:r w:rsidRPr="004C6D2F">
        <w:t>masse</w:t>
      </w:r>
      <w:r>
        <w:rPr>
          <w:lang w:val="fr-FR"/>
        </w:rPr>
        <w:t xml:space="preserve"> d’hydrocarbures (g)</w:t>
      </w:r>
      <w:r w:rsidR="009F1E50">
        <w:rPr>
          <w:lang w:val="fr-FR"/>
        </w:rPr>
        <w:t> ;</w:t>
      </w:r>
    </w:p>
    <w:p w14:paraId="288C3BED" w14:textId="77777777" w:rsidR="00E41D4B" w:rsidRPr="00777177" w:rsidRDefault="00E41D4B" w:rsidP="004C6D2F">
      <w:pPr>
        <w:pStyle w:val="SingleTxtG"/>
        <w:tabs>
          <w:tab w:val="left" w:pos="2982"/>
        </w:tabs>
        <w:ind w:left="3402" w:hanging="1134"/>
      </w:pPr>
      <w:r>
        <w:rPr>
          <w:lang w:val="fr-FR"/>
        </w:rPr>
        <w:t>C</w:t>
      </w:r>
      <w:r>
        <w:rPr>
          <w:vertAlign w:val="subscript"/>
          <w:lang w:val="fr-FR"/>
        </w:rPr>
        <w:t>HC</w:t>
      </w:r>
      <w:r>
        <w:rPr>
          <w:lang w:val="fr-FR"/>
        </w:rPr>
        <w:t xml:space="preserve"> </w:t>
      </w:r>
      <w:r>
        <w:rPr>
          <w:lang w:val="fr-FR"/>
        </w:rPr>
        <w:tab/>
        <w:t>=</w:t>
      </w:r>
      <w:r>
        <w:rPr>
          <w:lang w:val="fr-FR"/>
        </w:rPr>
        <w:tab/>
      </w:r>
      <w:r w:rsidRPr="004C6D2F">
        <w:t>valeur</w:t>
      </w:r>
      <w:r>
        <w:rPr>
          <w:lang w:val="fr-FR"/>
        </w:rPr>
        <w:t xml:space="preserve"> mesurée de la concentration en hydrocarbures dans l’enceinte (ppm (volume) en équivalent C1)</w:t>
      </w:r>
      <w:r w:rsidR="009F1E50">
        <w:rPr>
          <w:lang w:val="fr-FR"/>
        </w:rPr>
        <w:t> </w:t>
      </w:r>
      <w:r>
        <w:rPr>
          <w:lang w:val="fr-FR"/>
        </w:rPr>
        <w:t>;</w:t>
      </w:r>
    </w:p>
    <w:p w14:paraId="26E3B0C4" w14:textId="77777777" w:rsidR="00E41D4B" w:rsidRPr="00777177" w:rsidRDefault="00E41D4B" w:rsidP="004C6D2F">
      <w:pPr>
        <w:pStyle w:val="SingleTxtG"/>
        <w:tabs>
          <w:tab w:val="left" w:pos="2982"/>
        </w:tabs>
        <w:ind w:left="3402" w:hanging="1134"/>
      </w:pPr>
      <w:r>
        <w:rPr>
          <w:lang w:val="fr-FR"/>
        </w:rPr>
        <w:t xml:space="preserve">V </w:t>
      </w:r>
      <w:r>
        <w:rPr>
          <w:lang w:val="fr-FR"/>
        </w:rPr>
        <w:tab/>
        <w:t>=</w:t>
      </w:r>
      <w:r>
        <w:rPr>
          <w:lang w:val="fr-FR"/>
        </w:rPr>
        <w:tab/>
      </w:r>
      <w:r w:rsidRPr="004C6D2F">
        <w:t>volume</w:t>
      </w:r>
      <w:r>
        <w:rPr>
          <w:lang w:val="fr-FR"/>
        </w:rPr>
        <w:t xml:space="preserve"> net de l’enceinte en m</w:t>
      </w:r>
      <w:r w:rsidRPr="009F1E50">
        <w:rPr>
          <w:vertAlign w:val="superscript"/>
          <w:lang w:val="fr-FR"/>
        </w:rPr>
        <w:t>3</w:t>
      </w:r>
      <w:r w:rsidR="009F1E50">
        <w:rPr>
          <w:lang w:val="fr-FR"/>
        </w:rPr>
        <w:t> ;</w:t>
      </w:r>
    </w:p>
    <w:p w14:paraId="0801157D" w14:textId="77777777" w:rsidR="00E41D4B" w:rsidRPr="00777177" w:rsidRDefault="00E41D4B" w:rsidP="004C6D2F">
      <w:pPr>
        <w:pStyle w:val="SingleTxtG"/>
        <w:tabs>
          <w:tab w:val="left" w:pos="2982"/>
        </w:tabs>
        <w:ind w:left="3402" w:hanging="1134"/>
      </w:pPr>
      <w:r>
        <w:rPr>
          <w:lang w:val="fr-FR"/>
        </w:rPr>
        <w:t>T</w:t>
      </w:r>
      <w:r>
        <w:rPr>
          <w:vertAlign w:val="subscript"/>
          <w:lang w:val="fr-FR"/>
        </w:rPr>
        <w:t>i</w:t>
      </w:r>
      <w:r>
        <w:rPr>
          <w:lang w:val="fr-FR"/>
        </w:rPr>
        <w:tab/>
        <w:t>=</w:t>
      </w:r>
      <w:r>
        <w:rPr>
          <w:lang w:val="fr-FR"/>
        </w:rPr>
        <w:tab/>
      </w:r>
      <w:r w:rsidRPr="004C6D2F">
        <w:t>température</w:t>
      </w:r>
      <w:r>
        <w:rPr>
          <w:lang w:val="fr-FR"/>
        </w:rPr>
        <w:t xml:space="preserve"> ambiante initiale de la chambre d’essai (K)</w:t>
      </w:r>
      <w:r w:rsidR="009F1E50">
        <w:rPr>
          <w:lang w:val="fr-FR"/>
        </w:rPr>
        <w:t> ;</w:t>
      </w:r>
    </w:p>
    <w:p w14:paraId="2CA21E6C" w14:textId="77777777" w:rsidR="00E41D4B" w:rsidRPr="00777177" w:rsidRDefault="00E41D4B" w:rsidP="004C6D2F">
      <w:pPr>
        <w:pStyle w:val="SingleTxtG"/>
        <w:tabs>
          <w:tab w:val="left" w:pos="2982"/>
        </w:tabs>
        <w:ind w:left="3402" w:hanging="1134"/>
      </w:pPr>
      <w:r>
        <w:rPr>
          <w:lang w:val="fr-FR"/>
        </w:rPr>
        <w:t>P</w:t>
      </w:r>
      <w:r>
        <w:rPr>
          <w:vertAlign w:val="subscript"/>
          <w:lang w:val="fr-FR"/>
        </w:rPr>
        <w:t>i</w:t>
      </w:r>
      <w:r>
        <w:rPr>
          <w:lang w:val="fr-FR"/>
        </w:rPr>
        <w:tab/>
        <w:t>=</w:t>
      </w:r>
      <w:r>
        <w:rPr>
          <w:lang w:val="fr-FR"/>
        </w:rPr>
        <w:tab/>
        <w:t xml:space="preserve">pression </w:t>
      </w:r>
      <w:r w:rsidRPr="004C6D2F">
        <w:t>absolue</w:t>
      </w:r>
      <w:r>
        <w:rPr>
          <w:lang w:val="fr-FR"/>
        </w:rPr>
        <w:t xml:space="preserve"> initiale dans la chambre d’essai (kPa)</w:t>
      </w:r>
      <w:r w:rsidR="009F1E50">
        <w:rPr>
          <w:lang w:val="fr-FR"/>
        </w:rPr>
        <w:t> </w:t>
      </w:r>
      <w:r>
        <w:rPr>
          <w:lang w:val="fr-FR"/>
        </w:rPr>
        <w:t>;</w:t>
      </w:r>
    </w:p>
    <w:p w14:paraId="6275F00C" w14:textId="77777777" w:rsidR="00E41D4B" w:rsidRPr="00777177" w:rsidRDefault="00E41D4B" w:rsidP="00DF5390">
      <w:pPr>
        <w:pStyle w:val="SingleTxtG"/>
        <w:tabs>
          <w:tab w:val="left" w:pos="2982"/>
        </w:tabs>
        <w:ind w:left="3402" w:hanging="1134"/>
      </w:pPr>
      <w:proofErr w:type="gramStart"/>
      <w:r>
        <w:rPr>
          <w:lang w:val="fr-FR"/>
        </w:rPr>
        <w:t>k</w:t>
      </w:r>
      <w:proofErr w:type="gramEnd"/>
      <w:r>
        <w:rPr>
          <w:lang w:val="fr-FR"/>
        </w:rPr>
        <w:t xml:space="preserve"> </w:t>
      </w:r>
      <w:r>
        <w:rPr>
          <w:lang w:val="fr-FR"/>
        </w:rPr>
        <w:tab/>
        <w:t>=</w:t>
      </w:r>
      <w:r>
        <w:rPr>
          <w:lang w:val="fr-FR"/>
        </w:rPr>
        <w:tab/>
        <w:t>17,6.</w:t>
      </w:r>
      <w:r w:rsidR="00DF5390">
        <w:rPr>
          <w:lang w:val="fr-FR"/>
        </w:rPr>
        <w:t> »</w:t>
      </w:r>
      <w:r>
        <w:rPr>
          <w:lang w:val="fr-FR"/>
        </w:rPr>
        <w:t>.</w:t>
      </w:r>
    </w:p>
    <w:p w14:paraId="6186DBE4" w14:textId="77777777" w:rsidR="00E41D4B" w:rsidRPr="00777177" w:rsidRDefault="00E41D4B" w:rsidP="00DF5390">
      <w:pPr>
        <w:pStyle w:val="SingleTxtG"/>
      </w:pPr>
      <w:r>
        <w:rPr>
          <w:i/>
          <w:iCs/>
          <w:lang w:val="fr-FR"/>
        </w:rPr>
        <w:lastRenderedPageBreak/>
        <w:t>Annexe 11, paragraphe 2.2</w:t>
      </w:r>
      <w:r w:rsidRPr="00622D69">
        <w:rPr>
          <w:iCs/>
          <w:lang w:val="fr-FR"/>
        </w:rPr>
        <w:t>,</w:t>
      </w:r>
      <w:r>
        <w:rPr>
          <w:lang w:val="fr-FR"/>
        </w:rPr>
        <w:t xml:space="preserve"> sans objet en français.</w:t>
      </w:r>
    </w:p>
    <w:p w14:paraId="0DAEAA60" w14:textId="77777777" w:rsidR="00F9573C" w:rsidRDefault="00E41D4B" w:rsidP="00471D7C">
      <w:pPr>
        <w:pStyle w:val="SingleTxtG"/>
        <w:rPr>
          <w:lang w:val="fr-FR"/>
        </w:rPr>
      </w:pPr>
      <w:r w:rsidRPr="00471D7C">
        <w:rPr>
          <w:i/>
          <w:iCs/>
          <w:lang w:val="fr-FR"/>
        </w:rPr>
        <w:t>Annexe</w:t>
      </w:r>
      <w:r w:rsidRPr="006A701F">
        <w:rPr>
          <w:i/>
          <w:iCs/>
          <w:lang w:val="fr-FR"/>
        </w:rPr>
        <w:t xml:space="preserve"> 11, appendice 1, paragraphe 6.5.3.5</w:t>
      </w:r>
      <w:r>
        <w:rPr>
          <w:lang w:val="fr-FR"/>
        </w:rPr>
        <w:t>, sans objet en français.</w:t>
      </w:r>
    </w:p>
    <w:p w14:paraId="00CAD19D" w14:textId="77777777" w:rsidR="006A701F" w:rsidRPr="006A701F" w:rsidRDefault="006A701F" w:rsidP="006A701F">
      <w:pPr>
        <w:pStyle w:val="SingleTxtG"/>
        <w:spacing w:before="240" w:after="0"/>
        <w:jc w:val="center"/>
        <w:rPr>
          <w:u w:val="single"/>
        </w:rPr>
      </w:pPr>
      <w:r>
        <w:rPr>
          <w:u w:val="single"/>
        </w:rPr>
        <w:tab/>
      </w:r>
      <w:r>
        <w:rPr>
          <w:u w:val="single"/>
        </w:rPr>
        <w:tab/>
      </w:r>
      <w:r>
        <w:rPr>
          <w:u w:val="single"/>
        </w:rPr>
        <w:tab/>
      </w:r>
    </w:p>
    <w:sectPr w:rsidR="006A701F" w:rsidRPr="006A701F" w:rsidSect="0045372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7DDC7" w14:textId="77777777" w:rsidR="006C0172" w:rsidRDefault="006C0172" w:rsidP="00F95C08">
      <w:pPr>
        <w:spacing w:line="240" w:lineRule="auto"/>
      </w:pPr>
    </w:p>
  </w:endnote>
  <w:endnote w:type="continuationSeparator" w:id="0">
    <w:p w14:paraId="62461256" w14:textId="77777777" w:rsidR="006C0172" w:rsidRPr="00AC3823" w:rsidRDefault="006C0172" w:rsidP="00AC3823">
      <w:pPr>
        <w:pStyle w:val="Footer"/>
      </w:pPr>
    </w:p>
  </w:endnote>
  <w:endnote w:type="continuationNotice" w:id="1">
    <w:p w14:paraId="1B7A57A0" w14:textId="77777777" w:rsidR="006C0172" w:rsidRDefault="006C01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C65C0" w14:textId="77777777" w:rsidR="00453727" w:rsidRPr="00453727" w:rsidRDefault="00453727" w:rsidP="00453727">
    <w:pPr>
      <w:pStyle w:val="Footer"/>
      <w:tabs>
        <w:tab w:val="right" w:pos="9638"/>
      </w:tabs>
    </w:pPr>
    <w:r w:rsidRPr="00453727">
      <w:rPr>
        <w:b/>
        <w:sz w:val="18"/>
      </w:rPr>
      <w:fldChar w:fldCharType="begin"/>
    </w:r>
    <w:r w:rsidRPr="00453727">
      <w:rPr>
        <w:b/>
        <w:sz w:val="18"/>
      </w:rPr>
      <w:instrText xml:space="preserve"> PAGE  \* MERGEFORMAT </w:instrText>
    </w:r>
    <w:r w:rsidRPr="00453727">
      <w:rPr>
        <w:b/>
        <w:sz w:val="18"/>
      </w:rPr>
      <w:fldChar w:fldCharType="separate"/>
    </w:r>
    <w:r w:rsidR="007A1D07">
      <w:rPr>
        <w:b/>
        <w:noProof/>
        <w:sz w:val="18"/>
      </w:rPr>
      <w:t>2</w:t>
    </w:r>
    <w:r w:rsidRPr="00453727">
      <w:rPr>
        <w:b/>
        <w:sz w:val="18"/>
      </w:rPr>
      <w:fldChar w:fldCharType="end"/>
    </w:r>
    <w:r>
      <w:rPr>
        <w:b/>
        <w:sz w:val="18"/>
      </w:rPr>
      <w:tab/>
    </w:r>
    <w:r>
      <w:t>GE.19-06213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416D2" w14:textId="77777777" w:rsidR="00453727" w:rsidRPr="00453727" w:rsidRDefault="00453727" w:rsidP="00453727">
    <w:pPr>
      <w:pStyle w:val="Footer"/>
      <w:tabs>
        <w:tab w:val="right" w:pos="9638"/>
      </w:tabs>
      <w:rPr>
        <w:b/>
        <w:sz w:val="18"/>
      </w:rPr>
    </w:pPr>
    <w:r>
      <w:t>GE.19-06213</w:t>
    </w:r>
    <w:r>
      <w:tab/>
    </w:r>
    <w:r w:rsidRPr="00453727">
      <w:rPr>
        <w:b/>
        <w:sz w:val="18"/>
      </w:rPr>
      <w:fldChar w:fldCharType="begin"/>
    </w:r>
    <w:r w:rsidRPr="00453727">
      <w:rPr>
        <w:b/>
        <w:sz w:val="18"/>
      </w:rPr>
      <w:instrText xml:space="preserve"> PAGE  \* MERGEFORMAT </w:instrText>
    </w:r>
    <w:r w:rsidRPr="00453727">
      <w:rPr>
        <w:b/>
        <w:sz w:val="18"/>
      </w:rPr>
      <w:fldChar w:fldCharType="separate"/>
    </w:r>
    <w:r w:rsidR="007A1D07">
      <w:rPr>
        <w:b/>
        <w:noProof/>
        <w:sz w:val="18"/>
      </w:rPr>
      <w:t>3</w:t>
    </w:r>
    <w:r w:rsidRPr="004537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AB15" w14:textId="77777777" w:rsidR="007F20FA" w:rsidRPr="00453727" w:rsidRDefault="00453727" w:rsidP="00453727">
    <w:pPr>
      <w:pStyle w:val="Footer"/>
      <w:spacing w:before="120"/>
      <w:rPr>
        <w:sz w:val="20"/>
      </w:rPr>
    </w:pPr>
    <w:r>
      <w:rPr>
        <w:sz w:val="20"/>
      </w:rPr>
      <w:t>GE.</w:t>
    </w:r>
    <w:r w:rsidR="007F20FA">
      <w:rPr>
        <w:noProof/>
        <w:lang w:eastAsia="ja-JP"/>
      </w:rPr>
      <w:drawing>
        <wp:anchor distT="0" distB="0" distL="114300" distR="114300" simplePos="0" relativeHeight="251657216" behindDoc="0" locked="0" layoutInCell="1" allowOverlap="0" wp14:anchorId="0F264B34" wp14:editId="4B1FB2C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06213  (</w:t>
    </w:r>
    <w:proofErr w:type="gramEnd"/>
    <w:r>
      <w:rPr>
        <w:sz w:val="20"/>
      </w:rPr>
      <w:t>F)</w:t>
    </w:r>
    <w:r w:rsidR="00622D69">
      <w:rPr>
        <w:sz w:val="20"/>
      </w:rPr>
      <w:t xml:space="preserve">    300419    08</w:t>
    </w:r>
    <w:r w:rsidR="00471D7C">
      <w:rPr>
        <w:sz w:val="20"/>
      </w:rPr>
      <w:t>0519</w:t>
    </w:r>
    <w:r>
      <w:rPr>
        <w:sz w:val="20"/>
      </w:rPr>
      <w:br/>
    </w:r>
    <w:r w:rsidRPr="00453727">
      <w:rPr>
        <w:rFonts w:ascii="C39T30Lfz" w:hAnsi="C39T30Lfz"/>
        <w:sz w:val="56"/>
      </w:rPr>
      <w:t></w:t>
    </w:r>
    <w:r w:rsidRPr="00453727">
      <w:rPr>
        <w:rFonts w:ascii="C39T30Lfz" w:hAnsi="C39T30Lfz"/>
        <w:sz w:val="56"/>
      </w:rPr>
      <w:t></w:t>
    </w:r>
    <w:r w:rsidRPr="00453727">
      <w:rPr>
        <w:rFonts w:ascii="C39T30Lfz" w:hAnsi="C39T30Lfz"/>
        <w:sz w:val="56"/>
      </w:rPr>
      <w:t></w:t>
    </w:r>
    <w:r w:rsidRPr="00453727">
      <w:rPr>
        <w:rFonts w:ascii="C39T30Lfz" w:hAnsi="C39T30Lfz"/>
        <w:sz w:val="56"/>
      </w:rPr>
      <w:t></w:t>
    </w:r>
    <w:r w:rsidRPr="00453727">
      <w:rPr>
        <w:rFonts w:ascii="C39T30Lfz" w:hAnsi="C39T30Lfz"/>
        <w:sz w:val="56"/>
      </w:rPr>
      <w:t></w:t>
    </w:r>
    <w:r w:rsidRPr="00453727">
      <w:rPr>
        <w:rFonts w:ascii="C39T30Lfz" w:hAnsi="C39T30Lfz"/>
        <w:sz w:val="56"/>
      </w:rPr>
      <w:t></w:t>
    </w:r>
    <w:r w:rsidRPr="00453727">
      <w:rPr>
        <w:rFonts w:ascii="C39T30Lfz" w:hAnsi="C39T30Lfz"/>
        <w:sz w:val="56"/>
      </w:rPr>
      <w:t></w:t>
    </w:r>
    <w:r w:rsidRPr="00453727">
      <w:rPr>
        <w:rFonts w:ascii="C39T30Lfz" w:hAnsi="C39T30Lfz"/>
        <w:sz w:val="56"/>
      </w:rPr>
      <w:t></w:t>
    </w:r>
    <w:r w:rsidRPr="00453727">
      <w:rPr>
        <w:rFonts w:ascii="C39T30Lfz" w:hAnsi="C39T30Lfz"/>
        <w:sz w:val="56"/>
      </w:rPr>
      <w:t></w:t>
    </w:r>
    <w:r>
      <w:rPr>
        <w:noProof/>
        <w:sz w:val="20"/>
        <w:lang w:eastAsia="ja-JP"/>
      </w:rPr>
      <w:drawing>
        <wp:anchor distT="0" distB="0" distL="114300" distR="114300" simplePos="0" relativeHeight="251658240" behindDoc="0" locked="0" layoutInCell="1" allowOverlap="1" wp14:anchorId="1A1B430F" wp14:editId="22E84F19">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4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4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39EB9" w14:textId="77777777" w:rsidR="006C0172" w:rsidRPr="00AC3823" w:rsidRDefault="006C0172" w:rsidP="00AC3823">
      <w:pPr>
        <w:pStyle w:val="Footer"/>
        <w:tabs>
          <w:tab w:val="right" w:pos="2155"/>
        </w:tabs>
        <w:spacing w:after="80" w:line="240" w:lineRule="atLeast"/>
        <w:ind w:left="680"/>
        <w:rPr>
          <w:u w:val="single"/>
        </w:rPr>
      </w:pPr>
      <w:r>
        <w:rPr>
          <w:u w:val="single"/>
        </w:rPr>
        <w:tab/>
      </w:r>
    </w:p>
  </w:footnote>
  <w:footnote w:type="continuationSeparator" w:id="0">
    <w:p w14:paraId="47E2EFCC" w14:textId="77777777" w:rsidR="006C0172" w:rsidRPr="00AC3823" w:rsidRDefault="006C0172" w:rsidP="00AC3823">
      <w:pPr>
        <w:pStyle w:val="Footer"/>
        <w:tabs>
          <w:tab w:val="right" w:pos="2155"/>
        </w:tabs>
        <w:spacing w:after="80" w:line="240" w:lineRule="atLeast"/>
        <w:ind w:left="680"/>
        <w:rPr>
          <w:u w:val="single"/>
        </w:rPr>
      </w:pPr>
      <w:r>
        <w:rPr>
          <w:u w:val="single"/>
        </w:rPr>
        <w:tab/>
      </w:r>
    </w:p>
  </w:footnote>
  <w:footnote w:type="continuationNotice" w:id="1">
    <w:p w14:paraId="3A374DE8" w14:textId="77777777" w:rsidR="006C0172" w:rsidRPr="00AC3823" w:rsidRDefault="006C0172">
      <w:pPr>
        <w:spacing w:line="240" w:lineRule="auto"/>
        <w:rPr>
          <w:sz w:val="2"/>
          <w:szCs w:val="2"/>
        </w:rPr>
      </w:pPr>
    </w:p>
  </w:footnote>
  <w:footnote w:id="2">
    <w:p w14:paraId="452F31D9" w14:textId="77777777" w:rsidR="00471D7C" w:rsidRPr="00471D7C" w:rsidRDefault="00471D7C">
      <w:pPr>
        <w:pStyle w:val="FootnoteText"/>
      </w:pPr>
      <w:r>
        <w:rPr>
          <w:rStyle w:val="FootnoteReference"/>
        </w:rPr>
        <w:tab/>
      </w:r>
      <w:r w:rsidRPr="00471D7C">
        <w:rPr>
          <w:rStyle w:val="FootnoteReference"/>
          <w:sz w:val="20"/>
          <w:vertAlign w:val="baseline"/>
        </w:rPr>
        <w:t>*</w:t>
      </w:r>
      <w:r>
        <w:rPr>
          <w:rStyle w:val="FootnoteReference"/>
          <w:sz w:val="20"/>
          <w:vertAlign w:val="baseline"/>
        </w:rPr>
        <w:tab/>
      </w:r>
      <w:r>
        <w:rPr>
          <w:lang w:val="fr-FR"/>
        </w:rPr>
        <w:t xml:space="preserve">Conformément au programme de travail du Comité des transports intérieurs pour la période 2018-2019 (ECE/TRANS/274, </w:t>
      </w:r>
      <w:r w:rsidR="009F1E50">
        <w:rPr>
          <w:lang w:val="fr-FR"/>
        </w:rPr>
        <w:t>par. </w:t>
      </w:r>
      <w:r>
        <w:rPr>
          <w:lang w:val="fr-FR"/>
        </w:rPr>
        <w:t>123, et ECE/TRANS/2018/21,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69ED" w14:textId="57F02A86" w:rsidR="00453727" w:rsidRPr="00453727" w:rsidRDefault="008B7694">
    <w:pPr>
      <w:pStyle w:val="Header"/>
    </w:pPr>
    <w:r>
      <w:fldChar w:fldCharType="begin"/>
    </w:r>
    <w:r>
      <w:instrText xml:space="preserve"> TITLE  \</w:instrText>
    </w:r>
    <w:r>
      <w:instrText xml:space="preserve">* MERGEFORMAT </w:instrText>
    </w:r>
    <w:r>
      <w:fldChar w:fldCharType="separate"/>
    </w:r>
    <w:r>
      <w:t>ECE/TRANS/WP.29/2019/42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B6E92" w14:textId="0CA49179" w:rsidR="00453727" w:rsidRPr="00453727" w:rsidRDefault="008B7694" w:rsidP="00453727">
    <w:pPr>
      <w:pStyle w:val="Header"/>
      <w:jc w:val="right"/>
    </w:pPr>
    <w:r>
      <w:fldChar w:fldCharType="begin"/>
    </w:r>
    <w:r>
      <w:instrText xml:space="preserve"> TITLE  \* MERGEFORMAT </w:instrText>
    </w:r>
    <w:r>
      <w:fldChar w:fldCharType="separate"/>
    </w:r>
    <w:r>
      <w:t>ECE/TRANS/WP.29/2019/42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72"/>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53727"/>
    <w:rsid w:val="00471D7C"/>
    <w:rsid w:val="004837D8"/>
    <w:rsid w:val="004C6D2F"/>
    <w:rsid w:val="004E2EED"/>
    <w:rsid w:val="004E468C"/>
    <w:rsid w:val="005505B7"/>
    <w:rsid w:val="00573BE5"/>
    <w:rsid w:val="00586ED3"/>
    <w:rsid w:val="00596AA9"/>
    <w:rsid w:val="005C460C"/>
    <w:rsid w:val="00622D69"/>
    <w:rsid w:val="00627CEE"/>
    <w:rsid w:val="006A701F"/>
    <w:rsid w:val="006C0172"/>
    <w:rsid w:val="006C0319"/>
    <w:rsid w:val="0071601D"/>
    <w:rsid w:val="00716549"/>
    <w:rsid w:val="007A1D07"/>
    <w:rsid w:val="007A62E6"/>
    <w:rsid w:val="007F20FA"/>
    <w:rsid w:val="0080684C"/>
    <w:rsid w:val="00871C75"/>
    <w:rsid w:val="008776DC"/>
    <w:rsid w:val="008B7694"/>
    <w:rsid w:val="009446C0"/>
    <w:rsid w:val="009705C8"/>
    <w:rsid w:val="009C1CF4"/>
    <w:rsid w:val="009F1E50"/>
    <w:rsid w:val="009F6B74"/>
    <w:rsid w:val="00A3029F"/>
    <w:rsid w:val="00A30353"/>
    <w:rsid w:val="00AC3823"/>
    <w:rsid w:val="00AE323C"/>
    <w:rsid w:val="00AF0CB5"/>
    <w:rsid w:val="00B00181"/>
    <w:rsid w:val="00B00B0D"/>
    <w:rsid w:val="00B45F2E"/>
    <w:rsid w:val="00B765F7"/>
    <w:rsid w:val="00BA0CA9"/>
    <w:rsid w:val="00C02897"/>
    <w:rsid w:val="00C97039"/>
    <w:rsid w:val="00CB5B01"/>
    <w:rsid w:val="00D3439C"/>
    <w:rsid w:val="00DB1831"/>
    <w:rsid w:val="00DD3BFD"/>
    <w:rsid w:val="00DF5390"/>
    <w:rsid w:val="00DF6678"/>
    <w:rsid w:val="00E0299A"/>
    <w:rsid w:val="00E41D4B"/>
    <w:rsid w:val="00E85C74"/>
    <w:rsid w:val="00EA6547"/>
    <w:rsid w:val="00EF2E22"/>
    <w:rsid w:val="00F35BAF"/>
    <w:rsid w:val="00F660DF"/>
    <w:rsid w:val="00F94664"/>
    <w:rsid w:val="00F9573C"/>
    <w:rsid w:val="00F95C08"/>
    <w:rsid w:val="00FD7C6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3110A5"/>
  <w15:docId w15:val="{02CB0FA3-CF25-4C15-973D-1CDA453A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6C031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1245</Words>
  <Characters>7097</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ECE/TRANS/WP.29/2019/42</vt:lpstr>
      <vt:lpstr>ECE/TRANS/WP.29/2019/42</vt:lpstr>
    </vt:vector>
  </TitlesOfParts>
  <Company>DCM</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ECE/TRANS/WP.29/2019/42</dc:title>
  <dc:subject/>
  <dc:creator>Pascale BEYSARD</dc:creator>
  <cp:keywords/>
  <cp:lastModifiedBy>Marie-Claude Collet</cp:lastModifiedBy>
  <cp:revision>3</cp:revision>
  <cp:lastPrinted>2019-05-08T09:02:00Z</cp:lastPrinted>
  <dcterms:created xsi:type="dcterms:W3CDTF">2019-05-08T09:02:00Z</dcterms:created>
  <dcterms:modified xsi:type="dcterms:W3CDTF">2019-05-08T09:02:00Z</dcterms:modified>
</cp:coreProperties>
</file>