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EF3090" w:rsidP="00167006">
            <w:pPr>
              <w:suppressAutoHyphens w:val="0"/>
              <w:spacing w:after="20"/>
              <w:jc w:val="right"/>
            </w:pPr>
            <w:r w:rsidRPr="00BA22BA">
              <w:rPr>
                <w:sz w:val="40"/>
              </w:rPr>
              <w:t>ECE</w:t>
            </w:r>
            <w:r w:rsidRPr="00BA22BA">
              <w:t>/TRANS/WP.29</w:t>
            </w:r>
            <w:r w:rsidR="00167006">
              <w:t>/</w:t>
            </w:r>
            <w:r w:rsidR="009C1087">
              <w:t>2019/</w:t>
            </w:r>
            <w:r w:rsidR="00A550A0">
              <w:t>2</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CC7ED1" w:rsidP="00B11BB4">
            <w:pPr>
              <w:suppressAutoHyphens w:val="0"/>
            </w:pPr>
            <w:r>
              <w:t>21</w:t>
            </w:r>
            <w:r w:rsidR="00377472">
              <w:t xml:space="preserve"> </w:t>
            </w:r>
            <w:r w:rsidR="008F682D">
              <w:t>December</w:t>
            </w:r>
            <w:r w:rsidR="00EF3090">
              <w:t xml:space="preserve"> </w:t>
            </w:r>
            <w:r w:rsidR="001B13A5">
              <w:t>201</w:t>
            </w:r>
            <w:r w:rsidR="00B74259">
              <w:t>8</w:t>
            </w:r>
          </w:p>
          <w:p w:rsidR="009D2A5B" w:rsidRDefault="009D2A5B" w:rsidP="00B11BB4">
            <w:pPr>
              <w:suppressAutoHyphens w:val="0"/>
            </w:pPr>
          </w:p>
          <w:p w:rsidR="00B56E9C" w:rsidRDefault="00C76E71" w:rsidP="00C3172E">
            <w:pPr>
              <w:suppressAutoHyphens w:val="0"/>
            </w:pPr>
            <w:r>
              <w:t xml:space="preserve">Original: </w:t>
            </w:r>
            <w:r w:rsidR="0094558F">
              <w:t>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FA6DA6" w:rsidRDefault="00B44D44" w:rsidP="00380004">
      <w:pPr>
        <w:snapToGrid w:val="0"/>
        <w:spacing w:before="120"/>
        <w:rPr>
          <w:b/>
          <w:sz w:val="24"/>
          <w:szCs w:val="24"/>
        </w:rPr>
      </w:pPr>
      <w:r w:rsidRPr="00BA22BA">
        <w:rPr>
          <w:b/>
          <w:sz w:val="24"/>
          <w:szCs w:val="24"/>
        </w:rPr>
        <w:t>World Forum for Harmonization of Vehicle Regulations</w:t>
      </w:r>
    </w:p>
    <w:p w:rsidR="00A550A0" w:rsidRPr="004D290E" w:rsidRDefault="00A550A0" w:rsidP="00A550A0">
      <w:pPr>
        <w:tabs>
          <w:tab w:val="center" w:pos="4819"/>
        </w:tabs>
        <w:spacing w:before="120"/>
        <w:rPr>
          <w:b/>
          <w:lang w:val="en-US"/>
        </w:rPr>
      </w:pPr>
      <w:r w:rsidRPr="004D290E">
        <w:rPr>
          <w:b/>
          <w:lang w:val="en-US"/>
        </w:rPr>
        <w:t>177th session</w:t>
      </w:r>
    </w:p>
    <w:p w:rsidR="00A550A0" w:rsidRPr="006D33D9" w:rsidRDefault="00A550A0" w:rsidP="00A550A0">
      <w:pPr>
        <w:rPr>
          <w:lang w:val="en-US"/>
        </w:rPr>
      </w:pPr>
      <w:r w:rsidRPr="006D33D9">
        <w:rPr>
          <w:lang w:val="en-US"/>
        </w:rPr>
        <w:t xml:space="preserve">Geneva, </w:t>
      </w:r>
      <w:r>
        <w:rPr>
          <w:lang w:val="en-US"/>
        </w:rPr>
        <w:t>12-15 March 2019</w:t>
      </w:r>
    </w:p>
    <w:p w:rsidR="00D032FC" w:rsidRPr="00380004" w:rsidRDefault="00A550A0" w:rsidP="00A550A0">
      <w:pPr>
        <w:rPr>
          <w:b/>
          <w:sz w:val="24"/>
          <w:szCs w:val="24"/>
        </w:rPr>
      </w:pPr>
      <w:r w:rsidRPr="00AF2205">
        <w:t xml:space="preserve">Item </w:t>
      </w:r>
      <w:r>
        <w:t>2.3</w:t>
      </w:r>
      <w:r w:rsidRPr="00AF2205">
        <w:t xml:space="preserve"> </w:t>
      </w:r>
      <w:r w:rsidR="00CC7ED1">
        <w:t xml:space="preserve">and 17 </w:t>
      </w:r>
      <w:r w:rsidRPr="00AF2205">
        <w:t>of the provisional agenda</w:t>
      </w:r>
      <w:r>
        <w:br/>
      </w:r>
      <w:r w:rsidRPr="00A550A0">
        <w:rPr>
          <w:b/>
          <w:bCs/>
        </w:rPr>
        <w:t>Coordination and organization of work:</w:t>
      </w:r>
      <w:r w:rsidRPr="00A550A0">
        <w:rPr>
          <w:b/>
          <w:bCs/>
        </w:rPr>
        <w:br/>
        <w:t xml:space="preserve">Intelligent Transport Systems and coordination of </w:t>
      </w:r>
      <w:r w:rsidRPr="00A550A0">
        <w:rPr>
          <w:b/>
          <w:bCs/>
        </w:rPr>
        <w:br/>
        <w:t>automated vehicles related activities</w:t>
      </w:r>
    </w:p>
    <w:p w:rsidR="00B44D44" w:rsidRPr="00E17320" w:rsidRDefault="00C3172E" w:rsidP="00644191">
      <w:pPr>
        <w:pStyle w:val="HChG"/>
      </w:pPr>
      <w:r>
        <w:tab/>
      </w:r>
      <w:r w:rsidR="00B44D44">
        <w:tab/>
      </w:r>
      <w:r w:rsidR="00A550A0">
        <w:t>Priority topics for automated and connected vehicles (based on WP.29-176-28)</w:t>
      </w:r>
      <w:r w:rsidR="00617E65" w:rsidRPr="00CC7ED1">
        <w:rPr>
          <w:rStyle w:val="FootnoteReference"/>
          <w:b w:val="0"/>
          <w:bCs/>
          <w:sz w:val="20"/>
          <w:vertAlign w:val="baseline"/>
          <w:lang w:val="en-US"/>
        </w:rPr>
        <w:footnoteReference w:customMarkFollows="1" w:id="2"/>
        <w:t>*</w:t>
      </w:r>
    </w:p>
    <w:p w:rsidR="00D032FC" w:rsidRDefault="00D032FC" w:rsidP="00D032FC">
      <w:pPr>
        <w:pStyle w:val="H1G"/>
      </w:pPr>
      <w:r>
        <w:tab/>
      </w:r>
      <w:r>
        <w:tab/>
        <w:t>Note by the secretariat</w:t>
      </w:r>
    </w:p>
    <w:p w:rsidR="000B625D" w:rsidRDefault="00B44D44" w:rsidP="00EC5911">
      <w:pPr>
        <w:pStyle w:val="SingleTxtG"/>
        <w:ind w:firstLine="567"/>
      </w:pPr>
      <w:r w:rsidRPr="00BA22BA">
        <w:t>The text reproduced below was prepared by</w:t>
      </w:r>
      <w:r w:rsidR="00D032FC">
        <w:t xml:space="preserve"> secretariat</w:t>
      </w:r>
      <w:r w:rsidR="00A550A0">
        <w:t xml:space="preserve"> </w:t>
      </w:r>
      <w:r w:rsidR="0013025C">
        <w:t>based on</w:t>
      </w:r>
      <w:r w:rsidR="00A550A0">
        <w:t xml:space="preserve"> </w:t>
      </w:r>
      <w:r w:rsidR="0013025C">
        <w:t xml:space="preserve">informal document </w:t>
      </w:r>
      <w:r w:rsidR="00A550A0">
        <w:t>WP.29-176-28 and</w:t>
      </w:r>
      <w:r w:rsidR="00D032FC">
        <w:t xml:space="preserve"> following a Web Conferen</w:t>
      </w:r>
      <w:r w:rsidR="00824FAF">
        <w:t>ce</w:t>
      </w:r>
      <w:r w:rsidR="00D032FC">
        <w:t xml:space="preserve"> meeting on 19 December 2018 </w:t>
      </w:r>
      <w:r w:rsidR="00A550A0">
        <w:t>(</w:t>
      </w:r>
      <w:r w:rsidR="00D032FC">
        <w:t xml:space="preserve">aimed at providing comments on the </w:t>
      </w:r>
      <w:r w:rsidR="00A550A0">
        <w:t>basis document)</w:t>
      </w:r>
      <w:r w:rsidRPr="00BA22BA">
        <w:t>.</w:t>
      </w:r>
      <w:r w:rsidR="00D032FC">
        <w:t xml:space="preserve"> It is submitted to the World Forum for Harmonization of Vehicle Regulations (WP.29) for potential endorsement at its 177</w:t>
      </w:r>
      <w:r w:rsidR="00D032FC" w:rsidRPr="00CC7ED1">
        <w:t>th</w:t>
      </w:r>
      <w:r w:rsidR="00D032FC">
        <w:t xml:space="preserve"> session in March 2019</w:t>
      </w:r>
      <w:r w:rsidRPr="00BA22BA">
        <w:t>.</w:t>
      </w:r>
      <w:r w:rsidR="00D032FC">
        <w:t xml:space="preserve"> It </w:t>
      </w:r>
      <w:r w:rsidR="00EE5AFC">
        <w:t>is</w:t>
      </w:r>
      <w:r w:rsidR="00D032FC">
        <w:t xml:space="preserve"> shared for information with the Working Party on Automated/Autonomous and Connected Vehicles (GRVA)</w:t>
      </w:r>
      <w:r w:rsidR="00EE5AFC">
        <w:t xml:space="preserve"> for review at its second meeting</w:t>
      </w:r>
      <w:r w:rsidR="00D032FC">
        <w:t>.</w:t>
      </w:r>
    </w:p>
    <w:p w:rsidR="00B44D44" w:rsidRDefault="00B44D44" w:rsidP="006E0FA4">
      <w:pPr>
        <w:pStyle w:val="HChG"/>
        <w:keepNext w:val="0"/>
        <w:keepLines w:val="0"/>
        <w:pageBreakBefore/>
        <w:rPr>
          <w:lang w:val="en-US"/>
        </w:rPr>
      </w:pPr>
      <w:r>
        <w:rPr>
          <w:lang w:val="en-US"/>
        </w:rPr>
        <w:lastRenderedPageBreak/>
        <w:tab/>
      </w:r>
      <w:r>
        <w:rPr>
          <w:lang w:val="en-US"/>
        </w:rPr>
        <w:tab/>
      </w:r>
      <w:r w:rsidR="006E0FA4">
        <w:rPr>
          <w:lang w:val="en-US"/>
        </w:rPr>
        <w:t>P</w:t>
      </w:r>
      <w:r w:rsidRPr="00CB051D">
        <w:rPr>
          <w:lang w:val="en-US"/>
        </w:rPr>
        <w:t xml:space="preserve">roposal for </w:t>
      </w:r>
      <w:r w:rsidR="00D032FC">
        <w:rPr>
          <w:lang w:val="en-US"/>
        </w:rPr>
        <w:t xml:space="preserve">the definition of </w:t>
      </w:r>
      <w:r w:rsidR="00EE5AFC">
        <w:rPr>
          <w:lang w:val="en-US"/>
        </w:rPr>
        <w:t xml:space="preserve">WP.29 </w:t>
      </w:r>
      <w:r w:rsidR="00D032FC">
        <w:rPr>
          <w:lang w:val="en-US"/>
        </w:rPr>
        <w:t>work priorities related to a</w:t>
      </w:r>
      <w:r w:rsidR="00EC5911">
        <w:rPr>
          <w:lang w:val="en-US"/>
        </w:rPr>
        <w:t>utomated and connected vehicles</w:t>
      </w:r>
    </w:p>
    <w:p w:rsidR="00C313DC" w:rsidRDefault="009C1087" w:rsidP="00D032FC">
      <w:pPr>
        <w:pStyle w:val="SingleTxtG"/>
      </w:pPr>
      <w:r>
        <w:t>1</w:t>
      </w:r>
      <w:r w:rsidR="00D032FC">
        <w:t>.</w:t>
      </w:r>
      <w:r w:rsidR="00D032FC">
        <w:tab/>
      </w:r>
      <w:r w:rsidR="002B41F7">
        <w:t>The table below is focusing on automation. Following further considerations of WP.29</w:t>
      </w:r>
      <w:r w:rsidR="00733A68">
        <w:t>,</w:t>
      </w:r>
      <w:r w:rsidR="002B41F7">
        <w:t xml:space="preserve"> priority items on vehicle connectivity </w:t>
      </w:r>
      <w:r w:rsidR="006E0FA4">
        <w:t xml:space="preserve">other than cyber security </w:t>
      </w:r>
      <w:r w:rsidR="002B41F7">
        <w:t xml:space="preserve">could be included in this table at a later stage. </w:t>
      </w:r>
      <w:r w:rsidR="002B41F7" w:rsidRPr="00733A68">
        <w:t>This document does</w:t>
      </w:r>
      <w:r w:rsidR="00733A68" w:rsidRPr="00733A68">
        <w:t xml:space="preserve"> </w:t>
      </w:r>
      <w:r w:rsidR="002B41F7" w:rsidRPr="00733A68">
        <w:t>n</w:t>
      </w:r>
      <w:r w:rsidR="00733A68" w:rsidRPr="00733A68">
        <w:t>o</w:t>
      </w:r>
      <w:r w:rsidR="002B41F7" w:rsidRPr="00733A68">
        <w:t>t address the delivery mechanisms under one or more Agreement</w:t>
      </w:r>
      <w:r w:rsidR="00824FAF">
        <w:t>s</w:t>
      </w:r>
      <w:r w:rsidR="002B41F7" w:rsidRPr="00733A68">
        <w:t xml:space="preserve"> managed by WP.29</w:t>
      </w:r>
      <w:r w:rsidR="00733A68" w:rsidRPr="00733A68">
        <w:t>. GRVA is committed to deliver technical provisions suitable for all Contracting Parties.</w:t>
      </w:r>
    </w:p>
    <w:p w:rsidR="00CC7ED1" w:rsidRDefault="009C1087" w:rsidP="009C1087">
      <w:pPr>
        <w:pStyle w:val="SingleTxtG"/>
      </w:pPr>
      <w:r>
        <w:t>2.</w:t>
      </w:r>
      <w:r>
        <w:tab/>
        <w:t>The table below is containing proposed work priorities for WP.29.</w:t>
      </w:r>
      <w:bookmarkStart w:id="0" w:name="_GoBack"/>
      <w:bookmarkEnd w:id="0"/>
    </w:p>
    <w:p w:rsidR="00CC7ED1" w:rsidRDefault="00CC7ED1">
      <w:pPr>
        <w:suppressAutoHyphens w:val="0"/>
        <w:spacing w:line="240" w:lineRule="auto"/>
      </w:pPr>
      <w:r>
        <w:br w:type="page"/>
      </w:r>
    </w:p>
    <w:p w:rsidR="009C1087" w:rsidRDefault="009C1087" w:rsidP="00CC7ED1">
      <w:pPr>
        <w:pStyle w:val="Heading1"/>
      </w:pPr>
      <w:r>
        <w:lastRenderedPageBreak/>
        <w:t>Table 1</w:t>
      </w:r>
    </w:p>
    <w:p w:rsidR="009C1087" w:rsidRPr="00CC7ED1" w:rsidRDefault="009C1087" w:rsidP="00CC7ED1">
      <w:pPr>
        <w:pStyle w:val="Heading1"/>
        <w:spacing w:after="120"/>
        <w:rPr>
          <w:b/>
          <w:bCs/>
        </w:rPr>
      </w:pPr>
      <w:r w:rsidRPr="00CC7ED1">
        <w:rPr>
          <w:b/>
          <w:bCs/>
        </w:rPr>
        <w:t>Work priorities related to automated and connected vehicles</w:t>
      </w:r>
    </w:p>
    <w:tbl>
      <w:tblPr>
        <w:tblW w:w="5000" w:type="pct"/>
        <w:jc w:val="center"/>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554"/>
        <w:gridCol w:w="1134"/>
        <w:gridCol w:w="1275"/>
        <w:gridCol w:w="5666"/>
      </w:tblGrid>
      <w:tr w:rsidR="00D54EF1" w:rsidRPr="00FF47E4" w:rsidTr="0013025C">
        <w:trPr>
          <w:trHeight w:val="241"/>
          <w:tblHeader/>
          <w:jc w:val="center"/>
        </w:trPr>
        <w:tc>
          <w:tcPr>
            <w:tcW w:w="807" w:type="pct"/>
            <w:tcBorders>
              <w:top w:val="single" w:sz="4" w:space="0" w:color="auto"/>
              <w:left w:val="single" w:sz="4" w:space="0" w:color="auto"/>
              <w:bottom w:val="single" w:sz="12" w:space="0" w:color="auto"/>
              <w:right w:val="single" w:sz="4" w:space="0" w:color="auto"/>
            </w:tcBorders>
            <w:shd w:val="clear" w:color="auto" w:fill="auto"/>
            <w:tcMar>
              <w:top w:w="43" w:type="dxa"/>
              <w:left w:w="85" w:type="dxa"/>
              <w:bottom w:w="43" w:type="dxa"/>
              <w:right w:w="85" w:type="dxa"/>
            </w:tcMar>
          </w:tcPr>
          <w:p w:rsidR="00D54EF1" w:rsidRPr="00D54EF1" w:rsidRDefault="00D54EF1" w:rsidP="00413A3B">
            <w:pPr>
              <w:suppressAutoHyphens w:val="0"/>
              <w:spacing w:before="80" w:after="80" w:line="200" w:lineRule="exact"/>
              <w:ind w:right="113"/>
              <w:rPr>
                <w:rFonts w:eastAsia="MS PGothic"/>
                <w:i/>
                <w:sz w:val="16"/>
                <w:szCs w:val="16"/>
              </w:rPr>
            </w:pPr>
            <w:r w:rsidRPr="00D54EF1">
              <w:rPr>
                <w:rFonts w:eastAsia="MS PGothic"/>
                <w:i/>
                <w:sz w:val="16"/>
                <w:szCs w:val="16"/>
              </w:rPr>
              <w:t>Title</w:t>
            </w:r>
          </w:p>
        </w:tc>
        <w:tc>
          <w:tcPr>
            <w:tcW w:w="589"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D54EF1" w:rsidRPr="00D54EF1" w:rsidRDefault="00D54EF1" w:rsidP="00516336">
            <w:pPr>
              <w:suppressAutoHyphens w:val="0"/>
              <w:spacing w:before="80" w:after="80" w:line="200" w:lineRule="exact"/>
              <w:ind w:right="113"/>
              <w:jc w:val="center"/>
              <w:rPr>
                <w:rFonts w:eastAsia="MS PGothic"/>
                <w:i/>
                <w:sz w:val="16"/>
                <w:szCs w:val="16"/>
              </w:rPr>
            </w:pPr>
            <w:r w:rsidRPr="00D54EF1">
              <w:rPr>
                <w:rFonts w:eastAsia="MS PGothic"/>
                <w:i/>
                <w:sz w:val="16"/>
                <w:szCs w:val="16"/>
              </w:rPr>
              <w:t xml:space="preserve">Allocation to </w:t>
            </w:r>
          </w:p>
        </w:tc>
        <w:tc>
          <w:tcPr>
            <w:tcW w:w="662"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D54EF1" w:rsidRPr="00D54EF1" w:rsidRDefault="00D54EF1" w:rsidP="00516336">
            <w:pPr>
              <w:suppressAutoHyphens w:val="0"/>
              <w:spacing w:before="80" w:after="80" w:line="200" w:lineRule="exact"/>
              <w:ind w:right="113"/>
              <w:jc w:val="center"/>
              <w:rPr>
                <w:rFonts w:eastAsia="MS PGothic"/>
                <w:i/>
                <w:sz w:val="16"/>
                <w:szCs w:val="16"/>
              </w:rPr>
            </w:pPr>
            <w:r w:rsidRPr="00D54EF1">
              <w:rPr>
                <w:rFonts w:eastAsia="MS PGothic"/>
                <w:i/>
                <w:sz w:val="16"/>
                <w:szCs w:val="16"/>
              </w:rPr>
              <w:t>Main targets</w:t>
            </w:r>
          </w:p>
        </w:tc>
        <w:tc>
          <w:tcPr>
            <w:tcW w:w="2942" w:type="pct"/>
            <w:tcBorders>
              <w:top w:val="single" w:sz="4" w:space="0" w:color="auto"/>
              <w:left w:val="single" w:sz="4" w:space="0" w:color="auto"/>
              <w:bottom w:val="single" w:sz="12" w:space="0" w:color="auto"/>
              <w:right w:val="single" w:sz="4" w:space="0" w:color="auto"/>
            </w:tcBorders>
          </w:tcPr>
          <w:p w:rsidR="00D54EF1" w:rsidRPr="00D54EF1" w:rsidRDefault="00D54EF1" w:rsidP="00516336">
            <w:pPr>
              <w:suppressAutoHyphens w:val="0"/>
              <w:spacing w:before="80" w:after="80" w:line="200" w:lineRule="exact"/>
              <w:ind w:right="113"/>
              <w:jc w:val="center"/>
              <w:rPr>
                <w:rFonts w:eastAsia="MS PGothic"/>
                <w:i/>
                <w:sz w:val="16"/>
                <w:szCs w:val="16"/>
              </w:rPr>
            </w:pPr>
            <w:r w:rsidRPr="00D54EF1">
              <w:rPr>
                <w:rFonts w:eastAsia="MS PGothic"/>
                <w:i/>
                <w:sz w:val="16"/>
                <w:szCs w:val="16"/>
              </w:rPr>
              <w:t>Comments</w:t>
            </w:r>
          </w:p>
        </w:tc>
      </w:tr>
      <w:tr w:rsidR="00F03126" w:rsidRPr="00FF47E4" w:rsidTr="0013025C">
        <w:trPr>
          <w:trHeight w:val="445"/>
          <w:tblHeader/>
          <w:jc w:val="center"/>
        </w:trPr>
        <w:tc>
          <w:tcPr>
            <w:tcW w:w="807" w:type="pct"/>
            <w:tcBorders>
              <w:top w:val="single" w:sz="12"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vAlign w:val="center"/>
          </w:tcPr>
          <w:p w:rsidR="00F03126" w:rsidRPr="00580629" w:rsidRDefault="00F03126" w:rsidP="00F03126">
            <w:pPr>
              <w:snapToGrid w:val="0"/>
              <w:rPr>
                <w:sz w:val="18"/>
                <w:szCs w:val="18"/>
              </w:rPr>
            </w:pPr>
            <w:r w:rsidRPr="00580629">
              <w:rPr>
                <w:sz w:val="18"/>
                <w:szCs w:val="18"/>
              </w:rPr>
              <w:t>Framework document on automated /autonomous vehicles</w:t>
            </w:r>
            <w:r w:rsidR="00DC2D84" w:rsidRPr="00580629">
              <w:rPr>
                <w:sz w:val="18"/>
                <w:szCs w:val="18"/>
              </w:rPr>
              <w:t xml:space="preserve"> </w:t>
            </w:r>
          </w:p>
        </w:tc>
        <w:tc>
          <w:tcPr>
            <w:tcW w:w="589"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03126" w:rsidRPr="00580629" w:rsidRDefault="00F03126" w:rsidP="00F03126">
            <w:pPr>
              <w:suppressAutoHyphens w:val="0"/>
              <w:spacing w:before="40" w:after="120" w:line="220" w:lineRule="exact"/>
              <w:ind w:right="113"/>
              <w:rPr>
                <w:rFonts w:eastAsia="MS PGothic"/>
                <w:bCs/>
                <w:sz w:val="18"/>
                <w:szCs w:val="18"/>
              </w:rPr>
            </w:pPr>
            <w:r w:rsidRPr="00580629">
              <w:rPr>
                <w:rFonts w:eastAsia="MS PGothic"/>
                <w:bCs/>
                <w:sz w:val="18"/>
                <w:szCs w:val="18"/>
              </w:rPr>
              <w:t>GRVA</w:t>
            </w:r>
          </w:p>
        </w:tc>
        <w:tc>
          <w:tcPr>
            <w:tcW w:w="662" w:type="pct"/>
            <w:tcBorders>
              <w:top w:val="single" w:sz="12"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03126" w:rsidRPr="00580629" w:rsidRDefault="00F03126" w:rsidP="00F03126">
            <w:pPr>
              <w:suppressAutoHyphens w:val="0"/>
              <w:spacing w:before="40" w:after="120" w:line="220" w:lineRule="exact"/>
              <w:ind w:right="113"/>
              <w:rPr>
                <w:rFonts w:eastAsia="MS PGothic"/>
                <w:bCs/>
                <w:sz w:val="18"/>
                <w:szCs w:val="18"/>
              </w:rPr>
            </w:pPr>
            <w:r w:rsidRPr="00580629">
              <w:rPr>
                <w:rFonts w:eastAsia="MS PGothic"/>
                <w:bCs/>
                <w:sz w:val="18"/>
                <w:szCs w:val="18"/>
              </w:rPr>
              <w:t>Automated / Autonomous vehicles</w:t>
            </w:r>
          </w:p>
        </w:tc>
        <w:tc>
          <w:tcPr>
            <w:tcW w:w="2942" w:type="pct"/>
            <w:tcBorders>
              <w:top w:val="single" w:sz="12" w:space="0" w:color="auto"/>
              <w:left w:val="single" w:sz="4" w:space="0" w:color="auto"/>
              <w:bottom w:val="single" w:sz="4" w:space="0" w:color="auto"/>
              <w:right w:val="single" w:sz="4" w:space="0" w:color="auto"/>
            </w:tcBorders>
          </w:tcPr>
          <w:p w:rsidR="00CA2255" w:rsidRPr="00580629" w:rsidRDefault="00E333F9" w:rsidP="00F03126">
            <w:pPr>
              <w:suppressAutoHyphens w:val="0"/>
              <w:spacing w:before="40" w:after="120" w:line="220" w:lineRule="exact"/>
              <w:ind w:left="136" w:right="113"/>
              <w:rPr>
                <w:rFonts w:eastAsia="MS PGothic"/>
                <w:bCs/>
                <w:sz w:val="18"/>
                <w:szCs w:val="18"/>
              </w:rPr>
            </w:pPr>
            <w:r w:rsidRPr="00580629">
              <w:rPr>
                <w:rFonts w:eastAsia="MS PGothic"/>
                <w:bCs/>
                <w:sz w:val="18"/>
                <w:szCs w:val="18"/>
              </w:rPr>
              <w:t xml:space="preserve">This work item should concentrate on developing </w:t>
            </w:r>
            <w:r w:rsidR="00BA0173">
              <w:rPr>
                <w:rFonts w:eastAsia="MS PGothic"/>
                <w:bCs/>
                <w:sz w:val="18"/>
                <w:szCs w:val="18"/>
              </w:rPr>
              <w:t>principles and guidelines</w:t>
            </w:r>
            <w:r w:rsidR="00360E69">
              <w:rPr>
                <w:rFonts w:eastAsia="MS PGothic"/>
                <w:bCs/>
                <w:sz w:val="18"/>
                <w:szCs w:val="18"/>
              </w:rPr>
              <w:t xml:space="preserve"> governing </w:t>
            </w:r>
            <w:r w:rsidR="00CA2255" w:rsidRPr="00580629">
              <w:rPr>
                <w:rFonts w:eastAsia="MS PGothic"/>
                <w:bCs/>
                <w:sz w:val="18"/>
                <w:szCs w:val="18"/>
              </w:rPr>
              <w:t xml:space="preserve">automated / </w:t>
            </w:r>
            <w:r w:rsidR="00360E69">
              <w:rPr>
                <w:rFonts w:eastAsia="MS PGothic"/>
                <w:bCs/>
                <w:sz w:val="18"/>
                <w:szCs w:val="18"/>
              </w:rPr>
              <w:t>a</w:t>
            </w:r>
            <w:r w:rsidR="00CA2255" w:rsidRPr="00580629">
              <w:rPr>
                <w:rFonts w:eastAsia="MS PGothic"/>
                <w:bCs/>
                <w:sz w:val="18"/>
                <w:szCs w:val="18"/>
              </w:rPr>
              <w:t>utonomous vehicles</w:t>
            </w:r>
            <w:r w:rsidR="00360E69">
              <w:rPr>
                <w:rFonts w:eastAsia="MS PGothic"/>
                <w:bCs/>
                <w:sz w:val="18"/>
                <w:szCs w:val="18"/>
              </w:rPr>
              <w:t xml:space="preserve"> and especially their </w:t>
            </w:r>
            <w:r w:rsidR="00360E69" w:rsidRPr="00360E69">
              <w:rPr>
                <w:rFonts w:eastAsia="MS PGothic"/>
                <w:bCs/>
                <w:sz w:val="18"/>
                <w:szCs w:val="18"/>
              </w:rPr>
              <w:t>safety</w:t>
            </w:r>
            <w:r w:rsidR="00CA2255" w:rsidRPr="00580629">
              <w:rPr>
                <w:rFonts w:eastAsia="MS PGothic"/>
                <w:bCs/>
                <w:sz w:val="18"/>
                <w:szCs w:val="18"/>
              </w:rPr>
              <w:t>.</w:t>
            </w:r>
          </w:p>
          <w:p w:rsidR="00F03126" w:rsidRPr="00580629" w:rsidRDefault="00CA2255" w:rsidP="00F03126">
            <w:pPr>
              <w:suppressAutoHyphens w:val="0"/>
              <w:spacing w:before="40" w:after="120" w:line="220" w:lineRule="exact"/>
              <w:ind w:left="136" w:right="113"/>
              <w:rPr>
                <w:rFonts w:eastAsia="MS PGothic"/>
                <w:bCs/>
                <w:sz w:val="18"/>
                <w:szCs w:val="18"/>
              </w:rPr>
            </w:pPr>
            <w:r w:rsidRPr="00580629">
              <w:rPr>
                <w:rFonts w:eastAsia="MS PGothic"/>
                <w:bCs/>
                <w:sz w:val="18"/>
                <w:szCs w:val="18"/>
              </w:rPr>
              <w:t>It covers all key elements and evaluation methods</w:t>
            </w:r>
            <w:r w:rsidR="000A523A" w:rsidRPr="00580629">
              <w:rPr>
                <w:rFonts w:eastAsia="MS PGothic"/>
                <w:bCs/>
                <w:sz w:val="18"/>
                <w:szCs w:val="18"/>
              </w:rPr>
              <w:t>.</w:t>
            </w:r>
          </w:p>
        </w:tc>
      </w:tr>
      <w:tr w:rsidR="00F03126" w:rsidRPr="00FF47E4" w:rsidTr="0013025C">
        <w:trPr>
          <w:trHeight w:val="445"/>
          <w:tblHeader/>
          <w:jc w:val="center"/>
        </w:trPr>
        <w:tc>
          <w:tcPr>
            <w:tcW w:w="807"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F03126" w:rsidRPr="00315086" w:rsidRDefault="00F03126" w:rsidP="00F03126">
            <w:pPr>
              <w:suppressAutoHyphens w:val="0"/>
              <w:spacing w:before="40" w:after="120" w:line="220" w:lineRule="exact"/>
              <w:ind w:right="113"/>
              <w:rPr>
                <w:rFonts w:eastAsia="MS PGothic"/>
                <w:sz w:val="18"/>
                <w:szCs w:val="18"/>
              </w:rPr>
            </w:pPr>
            <w:r w:rsidRPr="00D54EF1">
              <w:rPr>
                <w:rFonts w:eastAsia="MS PGothic"/>
                <w:sz w:val="18"/>
                <w:szCs w:val="18"/>
              </w:rPr>
              <w:t>Functional Requirements for automated</w:t>
            </w:r>
            <w:r w:rsidR="00E333F9">
              <w:rPr>
                <w:rFonts w:eastAsia="MS PGothic"/>
                <w:sz w:val="18"/>
                <w:szCs w:val="18"/>
              </w:rPr>
              <w:t xml:space="preserve"> </w:t>
            </w:r>
            <w:r w:rsidRPr="00D54EF1">
              <w:rPr>
                <w:rFonts w:eastAsia="MS PGothic"/>
                <w:sz w:val="18"/>
                <w:szCs w:val="18"/>
              </w:rPr>
              <w:t>/</w:t>
            </w:r>
            <w:r>
              <w:rPr>
                <w:rFonts w:eastAsia="MS PGothic"/>
                <w:sz w:val="18"/>
                <w:szCs w:val="18"/>
              </w:rPr>
              <w:t xml:space="preserve"> </w:t>
            </w:r>
            <w:r w:rsidRPr="00D54EF1">
              <w:rPr>
                <w:rFonts w:eastAsia="MS PGothic"/>
                <w:sz w:val="18"/>
                <w:szCs w:val="18"/>
              </w:rPr>
              <w:t>autonomous vehicles</w:t>
            </w:r>
          </w:p>
        </w:tc>
        <w:tc>
          <w:tcPr>
            <w:tcW w:w="589"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03126" w:rsidRPr="00315086" w:rsidRDefault="00F03126" w:rsidP="00F03126">
            <w:pPr>
              <w:suppressAutoHyphens w:val="0"/>
              <w:spacing w:before="40" w:after="120" w:line="220" w:lineRule="exact"/>
              <w:ind w:right="113"/>
              <w:rPr>
                <w:rFonts w:eastAsia="MS PGothic"/>
                <w:bCs/>
                <w:sz w:val="18"/>
                <w:szCs w:val="18"/>
              </w:rPr>
            </w:pPr>
            <w:r>
              <w:rPr>
                <w:rFonts w:eastAsia="MS PGothic"/>
                <w:bCs/>
                <w:sz w:val="18"/>
                <w:szCs w:val="18"/>
              </w:rPr>
              <w:t>GRVA</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03126" w:rsidRPr="00315086" w:rsidRDefault="00F03126" w:rsidP="00F03126">
            <w:pPr>
              <w:suppressAutoHyphens w:val="0"/>
              <w:spacing w:before="40" w:after="120" w:line="220" w:lineRule="exact"/>
              <w:ind w:right="113"/>
              <w:rPr>
                <w:rFonts w:eastAsia="MS PGothic"/>
                <w:bCs/>
                <w:sz w:val="18"/>
                <w:szCs w:val="18"/>
              </w:rPr>
            </w:pPr>
            <w:r>
              <w:rPr>
                <w:rFonts w:eastAsia="MS PGothic"/>
                <w:bCs/>
                <w:sz w:val="18"/>
                <w:szCs w:val="18"/>
              </w:rPr>
              <w:t>Automated / Autonomous vehicles</w:t>
            </w:r>
          </w:p>
        </w:tc>
        <w:tc>
          <w:tcPr>
            <w:tcW w:w="2942" w:type="pct"/>
            <w:tcBorders>
              <w:top w:val="single" w:sz="4" w:space="0" w:color="auto"/>
              <w:left w:val="single" w:sz="4" w:space="0" w:color="auto"/>
              <w:bottom w:val="single" w:sz="4" w:space="0" w:color="auto"/>
              <w:right w:val="single" w:sz="4" w:space="0" w:color="auto"/>
            </w:tcBorders>
          </w:tcPr>
          <w:p w:rsidR="00F03126" w:rsidRDefault="00F03126" w:rsidP="00F03126">
            <w:pPr>
              <w:suppressAutoHyphens w:val="0"/>
              <w:spacing w:before="40" w:after="120" w:line="220" w:lineRule="exact"/>
              <w:ind w:left="136" w:right="113"/>
              <w:rPr>
                <w:rFonts w:eastAsia="MS PGothic"/>
                <w:bCs/>
                <w:sz w:val="18"/>
                <w:szCs w:val="18"/>
              </w:rPr>
            </w:pPr>
            <w:r>
              <w:rPr>
                <w:rFonts w:eastAsia="MS PGothic"/>
                <w:bCs/>
                <w:sz w:val="18"/>
                <w:szCs w:val="18"/>
              </w:rPr>
              <w:t>This work item s</w:t>
            </w:r>
            <w:r w:rsidRPr="00D54EF1">
              <w:rPr>
                <w:rFonts w:eastAsia="MS PGothic"/>
                <w:bCs/>
                <w:sz w:val="18"/>
                <w:szCs w:val="18"/>
              </w:rPr>
              <w:t>hould cover the functional requirements for the combination of the different functions for driving: longitudinal control (acceleration, braking, road speed), lateral control (lane discipline), environment monitoring (headway, side, rear), minimum risk manoeuvre, transition demand, HMI (internal and external) and driver monitoring.</w:t>
            </w:r>
          </w:p>
          <w:p w:rsidR="00013CC1" w:rsidRPr="00315086" w:rsidRDefault="00580629" w:rsidP="00F03126">
            <w:pPr>
              <w:suppressAutoHyphens w:val="0"/>
              <w:spacing w:before="40" w:after="120" w:line="220" w:lineRule="exact"/>
              <w:ind w:left="136" w:right="113"/>
              <w:rPr>
                <w:rFonts w:eastAsia="MS PGothic"/>
                <w:bCs/>
                <w:sz w:val="18"/>
                <w:szCs w:val="18"/>
              </w:rPr>
            </w:pPr>
            <w:r w:rsidRPr="00CD0EC0">
              <w:rPr>
                <w:rFonts w:eastAsia="MS PGothic"/>
                <w:bCs/>
                <w:sz w:val="18"/>
                <w:szCs w:val="18"/>
              </w:rPr>
              <w:t>This work item should also cover</w:t>
            </w:r>
            <w:r w:rsidR="00CD0EC0" w:rsidRPr="00CD0EC0">
              <w:rPr>
                <w:rFonts w:eastAsia="MS PGothic"/>
                <w:bCs/>
                <w:sz w:val="18"/>
                <w:szCs w:val="18"/>
              </w:rPr>
              <w:t xml:space="preserve"> the requirements for Functional Safety</w:t>
            </w:r>
            <w:r w:rsidR="0013025C">
              <w:rPr>
                <w:rFonts w:eastAsia="MS PGothic"/>
                <w:bCs/>
                <w:sz w:val="18"/>
                <w:szCs w:val="18"/>
              </w:rPr>
              <w:t>.</w:t>
            </w:r>
          </w:p>
        </w:tc>
      </w:tr>
      <w:tr w:rsidR="00F03126" w:rsidRPr="00FF47E4" w:rsidTr="0013025C">
        <w:trPr>
          <w:trHeight w:val="445"/>
          <w:tblHeader/>
          <w:jc w:val="center"/>
        </w:trPr>
        <w:tc>
          <w:tcPr>
            <w:tcW w:w="807"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F03126" w:rsidRPr="00D54EF1" w:rsidRDefault="00F03126" w:rsidP="00E333F9">
            <w:pPr>
              <w:suppressAutoHyphens w:val="0"/>
              <w:spacing w:before="40" w:after="120" w:line="220" w:lineRule="exact"/>
              <w:ind w:right="54"/>
              <w:rPr>
                <w:rFonts w:eastAsia="MS PGothic"/>
                <w:sz w:val="18"/>
                <w:szCs w:val="18"/>
              </w:rPr>
            </w:pPr>
            <w:r>
              <w:rPr>
                <w:rFonts w:eastAsia="MS PGothic"/>
                <w:sz w:val="18"/>
                <w:szCs w:val="18"/>
              </w:rPr>
              <w:t>New assessment / Test method</w:t>
            </w:r>
          </w:p>
        </w:tc>
        <w:tc>
          <w:tcPr>
            <w:tcW w:w="589"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03126" w:rsidRDefault="00F03126" w:rsidP="00F03126">
            <w:pPr>
              <w:suppressAutoHyphens w:val="0"/>
              <w:spacing w:before="40" w:after="120" w:line="220" w:lineRule="exact"/>
              <w:ind w:right="113"/>
              <w:rPr>
                <w:rFonts w:eastAsia="MS PGothic"/>
                <w:bCs/>
                <w:sz w:val="18"/>
                <w:szCs w:val="18"/>
              </w:rPr>
            </w:pPr>
            <w:r>
              <w:rPr>
                <w:rFonts w:eastAsia="MS PGothic"/>
                <w:bCs/>
                <w:sz w:val="18"/>
                <w:szCs w:val="18"/>
              </w:rPr>
              <w:t>GRVA</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03126" w:rsidRDefault="00F03126" w:rsidP="00F03126">
            <w:pPr>
              <w:suppressAutoHyphens w:val="0"/>
              <w:spacing w:before="40" w:after="120" w:line="220" w:lineRule="exact"/>
              <w:ind w:right="113"/>
              <w:rPr>
                <w:rFonts w:eastAsia="MS PGothic"/>
                <w:bCs/>
                <w:sz w:val="18"/>
                <w:szCs w:val="18"/>
              </w:rPr>
            </w:pPr>
            <w:r>
              <w:rPr>
                <w:rFonts w:eastAsia="MS PGothic"/>
                <w:bCs/>
                <w:sz w:val="18"/>
                <w:szCs w:val="18"/>
              </w:rPr>
              <w:t>Automated / Autonomous vehicles</w:t>
            </w:r>
          </w:p>
        </w:tc>
        <w:tc>
          <w:tcPr>
            <w:tcW w:w="2942" w:type="pct"/>
            <w:tcBorders>
              <w:top w:val="single" w:sz="4" w:space="0" w:color="auto"/>
              <w:left w:val="single" w:sz="4" w:space="0" w:color="auto"/>
              <w:bottom w:val="single" w:sz="4" w:space="0" w:color="auto"/>
              <w:right w:val="single" w:sz="4" w:space="0" w:color="auto"/>
            </w:tcBorders>
          </w:tcPr>
          <w:p w:rsidR="00F03126" w:rsidRDefault="00F03126" w:rsidP="00F03126">
            <w:pPr>
              <w:suppressAutoHyphens w:val="0"/>
              <w:spacing w:before="40" w:after="120" w:line="220" w:lineRule="exact"/>
              <w:ind w:left="136" w:right="113"/>
              <w:rPr>
                <w:rFonts w:eastAsia="MS PGothic"/>
                <w:bCs/>
                <w:sz w:val="18"/>
                <w:szCs w:val="18"/>
              </w:rPr>
            </w:pPr>
            <w:r w:rsidRPr="00D54EF1">
              <w:rPr>
                <w:rFonts w:eastAsia="MS PGothic"/>
                <w:bCs/>
                <w:sz w:val="18"/>
                <w:szCs w:val="18"/>
              </w:rPr>
              <w:t>Multi-pillar concept: Audit</w:t>
            </w:r>
            <w:r>
              <w:rPr>
                <w:rFonts w:eastAsia="MS PGothic"/>
                <w:bCs/>
                <w:sz w:val="18"/>
                <w:szCs w:val="18"/>
              </w:rPr>
              <w:t xml:space="preserve">, </w:t>
            </w:r>
            <w:r w:rsidRPr="00D54EF1">
              <w:rPr>
                <w:rFonts w:eastAsia="MS PGothic"/>
                <w:bCs/>
                <w:sz w:val="18"/>
                <w:szCs w:val="18"/>
              </w:rPr>
              <w:t>simulation</w:t>
            </w:r>
            <w:r>
              <w:rPr>
                <w:rFonts w:eastAsia="MS PGothic"/>
                <w:bCs/>
                <w:sz w:val="18"/>
                <w:szCs w:val="18"/>
              </w:rPr>
              <w:t xml:space="preserve">, </w:t>
            </w:r>
            <w:r w:rsidRPr="00D54EF1">
              <w:rPr>
                <w:rFonts w:eastAsia="MS PGothic"/>
                <w:bCs/>
                <w:sz w:val="18"/>
                <w:szCs w:val="18"/>
              </w:rPr>
              <w:t>electronic system compliance</w:t>
            </w:r>
            <w:r>
              <w:rPr>
                <w:rFonts w:eastAsia="MS PGothic"/>
                <w:bCs/>
                <w:sz w:val="18"/>
                <w:szCs w:val="18"/>
              </w:rPr>
              <w:t xml:space="preserve">, </w:t>
            </w:r>
            <w:r w:rsidRPr="00D54EF1">
              <w:rPr>
                <w:rFonts w:eastAsia="MS PGothic"/>
                <w:bCs/>
                <w:sz w:val="18"/>
                <w:szCs w:val="18"/>
              </w:rPr>
              <w:t>digital identity, test track, real world driving evaluation</w:t>
            </w:r>
            <w:r w:rsidR="00CD0EC0">
              <w:rPr>
                <w:rFonts w:eastAsia="MS PGothic"/>
                <w:bCs/>
                <w:sz w:val="18"/>
                <w:szCs w:val="18"/>
              </w:rPr>
              <w:t>.</w:t>
            </w:r>
          </w:p>
          <w:p w:rsidR="00580629" w:rsidRDefault="00580629" w:rsidP="00F03126">
            <w:pPr>
              <w:suppressAutoHyphens w:val="0"/>
              <w:spacing w:before="40" w:after="120" w:line="220" w:lineRule="exact"/>
              <w:ind w:left="136" w:right="113"/>
              <w:rPr>
                <w:rFonts w:eastAsia="MS PGothic"/>
                <w:bCs/>
                <w:sz w:val="18"/>
                <w:szCs w:val="18"/>
              </w:rPr>
            </w:pPr>
            <w:r w:rsidRPr="00CD0EC0">
              <w:rPr>
                <w:rFonts w:eastAsia="MS PGothic"/>
                <w:bCs/>
                <w:sz w:val="18"/>
                <w:szCs w:val="18"/>
              </w:rPr>
              <w:t>This work item should also cover</w:t>
            </w:r>
            <w:r w:rsidR="00CD0EC0" w:rsidRPr="00CD0EC0">
              <w:rPr>
                <w:rFonts w:eastAsia="MS PGothic"/>
                <w:bCs/>
                <w:sz w:val="18"/>
                <w:szCs w:val="18"/>
              </w:rPr>
              <w:t xml:space="preserve"> the </w:t>
            </w:r>
            <w:r w:rsidR="00CD0EC0" w:rsidRPr="006E0FA4">
              <w:rPr>
                <w:rFonts w:eastAsia="MS PGothic"/>
                <w:bCs/>
                <w:sz w:val="18"/>
                <w:szCs w:val="18"/>
              </w:rPr>
              <w:t>assessment</w:t>
            </w:r>
            <w:r w:rsidR="00CD0EC0" w:rsidRPr="00CD0EC0">
              <w:rPr>
                <w:rFonts w:eastAsia="MS PGothic"/>
                <w:bCs/>
                <w:sz w:val="18"/>
                <w:szCs w:val="18"/>
              </w:rPr>
              <w:t xml:space="preserve"> of Functional Safety</w:t>
            </w:r>
            <w:r w:rsidR="00CD0EC0">
              <w:rPr>
                <w:rFonts w:eastAsia="MS PGothic"/>
                <w:bCs/>
                <w:sz w:val="18"/>
                <w:szCs w:val="18"/>
              </w:rPr>
              <w:t>.</w:t>
            </w:r>
          </w:p>
        </w:tc>
      </w:tr>
      <w:tr w:rsidR="00F03126" w:rsidRPr="00FF47E4" w:rsidTr="0013025C">
        <w:trPr>
          <w:trHeight w:val="1155"/>
          <w:tblHeader/>
          <w:jc w:val="center"/>
        </w:trPr>
        <w:tc>
          <w:tcPr>
            <w:tcW w:w="807"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F03126" w:rsidRDefault="00F03126" w:rsidP="00F03126">
            <w:pPr>
              <w:suppressAutoHyphens w:val="0"/>
              <w:spacing w:before="40" w:after="120" w:line="220" w:lineRule="exact"/>
              <w:ind w:right="113"/>
              <w:rPr>
                <w:rFonts w:eastAsia="MS PGothic"/>
                <w:sz w:val="18"/>
                <w:szCs w:val="18"/>
              </w:rPr>
            </w:pPr>
            <w:r>
              <w:rPr>
                <w:rFonts w:eastAsia="MS PGothic"/>
                <w:sz w:val="18"/>
                <w:szCs w:val="18"/>
              </w:rPr>
              <w:t>Cyber security</w:t>
            </w:r>
          </w:p>
        </w:tc>
        <w:tc>
          <w:tcPr>
            <w:tcW w:w="589"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03126" w:rsidRDefault="00F03126" w:rsidP="00F03126">
            <w:pPr>
              <w:suppressAutoHyphens w:val="0"/>
              <w:spacing w:before="40" w:after="120" w:line="220" w:lineRule="exact"/>
              <w:ind w:right="113"/>
              <w:rPr>
                <w:rFonts w:eastAsia="MS PGothic"/>
                <w:bCs/>
                <w:sz w:val="18"/>
                <w:szCs w:val="18"/>
              </w:rPr>
            </w:pPr>
            <w:r>
              <w:rPr>
                <w:rFonts w:eastAsia="MS PGothic"/>
                <w:bCs/>
                <w:sz w:val="18"/>
                <w:szCs w:val="18"/>
              </w:rPr>
              <w:t>GRVA</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03126" w:rsidRDefault="00F03126" w:rsidP="00F03126">
            <w:pPr>
              <w:suppressAutoHyphens w:val="0"/>
              <w:spacing w:before="40" w:after="120" w:line="220" w:lineRule="exact"/>
              <w:ind w:right="113"/>
              <w:rPr>
                <w:rFonts w:eastAsia="MS PGothic"/>
                <w:bCs/>
                <w:sz w:val="18"/>
                <w:szCs w:val="18"/>
              </w:rPr>
            </w:pPr>
            <w:r>
              <w:rPr>
                <w:rFonts w:eastAsia="MS PGothic"/>
                <w:bCs/>
                <w:sz w:val="18"/>
                <w:szCs w:val="18"/>
              </w:rPr>
              <w:t>Conventional and Automated / Autonomous vehicles</w:t>
            </w:r>
          </w:p>
        </w:tc>
        <w:tc>
          <w:tcPr>
            <w:tcW w:w="2942" w:type="pct"/>
            <w:tcBorders>
              <w:top w:val="single" w:sz="4" w:space="0" w:color="auto"/>
              <w:left w:val="single" w:sz="4" w:space="0" w:color="auto"/>
              <w:bottom w:val="single" w:sz="4" w:space="0" w:color="auto"/>
              <w:right w:val="single" w:sz="4" w:space="0" w:color="auto"/>
            </w:tcBorders>
          </w:tcPr>
          <w:p w:rsidR="00F03126" w:rsidRDefault="00F03126" w:rsidP="00F03126">
            <w:pPr>
              <w:suppressAutoHyphens w:val="0"/>
              <w:spacing w:before="40" w:after="120" w:line="220" w:lineRule="exact"/>
              <w:ind w:left="136" w:right="113"/>
              <w:rPr>
                <w:rFonts w:eastAsia="MS PGothic"/>
                <w:bCs/>
                <w:sz w:val="18"/>
                <w:szCs w:val="18"/>
              </w:rPr>
            </w:pPr>
            <w:r w:rsidRPr="00D54EF1">
              <w:rPr>
                <w:rFonts w:eastAsia="MS PGothic"/>
                <w:bCs/>
                <w:sz w:val="18"/>
                <w:szCs w:val="18"/>
              </w:rPr>
              <w:t xml:space="preserve">Work of Task Force on Cyber Security </w:t>
            </w:r>
            <w:r>
              <w:rPr>
                <w:rFonts w:eastAsia="MS PGothic"/>
                <w:bCs/>
                <w:sz w:val="18"/>
                <w:szCs w:val="18"/>
              </w:rPr>
              <w:t xml:space="preserve">and (OTA) software updates </w:t>
            </w:r>
            <w:r w:rsidRPr="00D54EF1">
              <w:rPr>
                <w:rFonts w:eastAsia="MS PGothic"/>
                <w:bCs/>
                <w:sz w:val="18"/>
                <w:szCs w:val="18"/>
              </w:rPr>
              <w:t>(</w:t>
            </w:r>
            <w:r>
              <w:rPr>
                <w:rFonts w:eastAsia="MS PGothic"/>
                <w:bCs/>
                <w:sz w:val="18"/>
                <w:szCs w:val="18"/>
              </w:rPr>
              <w:t>TF</w:t>
            </w:r>
            <w:r w:rsidR="0013025C">
              <w:rPr>
                <w:rFonts w:eastAsia="MS PGothic"/>
                <w:bCs/>
                <w:sz w:val="18"/>
                <w:szCs w:val="18"/>
              </w:rPr>
              <w:t> </w:t>
            </w:r>
            <w:r w:rsidRPr="00D54EF1">
              <w:rPr>
                <w:rFonts w:eastAsia="MS PGothic"/>
                <w:bCs/>
                <w:sz w:val="18"/>
                <w:szCs w:val="18"/>
              </w:rPr>
              <w:t>CS</w:t>
            </w:r>
            <w:r>
              <w:rPr>
                <w:rFonts w:eastAsia="MS PGothic"/>
                <w:bCs/>
                <w:sz w:val="18"/>
                <w:szCs w:val="18"/>
              </w:rPr>
              <w:t>/OTA</w:t>
            </w:r>
            <w:r w:rsidRPr="00D54EF1">
              <w:rPr>
                <w:rFonts w:eastAsia="MS PGothic"/>
                <w:bCs/>
                <w:sz w:val="18"/>
                <w:szCs w:val="18"/>
              </w:rPr>
              <w:t>) ongoing</w:t>
            </w:r>
            <w:r>
              <w:rPr>
                <w:rFonts w:eastAsia="MS PGothic"/>
                <w:bCs/>
                <w:sz w:val="18"/>
                <w:szCs w:val="18"/>
              </w:rPr>
              <w:t>.</w:t>
            </w:r>
          </w:p>
          <w:p w:rsidR="00F03126" w:rsidRPr="00D54EF1" w:rsidRDefault="00F03126" w:rsidP="00F03126">
            <w:pPr>
              <w:suppressAutoHyphens w:val="0"/>
              <w:spacing w:before="40" w:after="120" w:line="220" w:lineRule="exact"/>
              <w:ind w:left="136" w:right="113"/>
              <w:rPr>
                <w:rFonts w:eastAsia="MS PGothic"/>
                <w:bCs/>
                <w:sz w:val="18"/>
                <w:szCs w:val="18"/>
              </w:rPr>
            </w:pPr>
            <w:r w:rsidRPr="00FA7AE8">
              <w:rPr>
                <w:rFonts w:eastAsia="MS PGothic"/>
                <w:bCs/>
                <w:sz w:val="18"/>
                <w:szCs w:val="18"/>
              </w:rPr>
              <w:t xml:space="preserve">Draft recommendations on legislative approach </w:t>
            </w:r>
            <w:r>
              <w:rPr>
                <w:rFonts w:eastAsia="MS PGothic"/>
                <w:bCs/>
                <w:sz w:val="18"/>
                <w:szCs w:val="18"/>
              </w:rPr>
              <w:t>and d</w:t>
            </w:r>
            <w:r w:rsidRPr="00FA7AE8">
              <w:rPr>
                <w:rFonts w:eastAsia="MS PGothic"/>
                <w:bCs/>
                <w:sz w:val="18"/>
                <w:szCs w:val="18"/>
              </w:rPr>
              <w:t>raft Regulation delivered to GRVA</w:t>
            </w:r>
            <w:r w:rsidR="00CD0EC0">
              <w:rPr>
                <w:rFonts w:eastAsia="MS PGothic"/>
                <w:bCs/>
                <w:sz w:val="18"/>
                <w:szCs w:val="18"/>
              </w:rPr>
              <w:t>.</w:t>
            </w:r>
          </w:p>
        </w:tc>
      </w:tr>
      <w:tr w:rsidR="00F03126" w:rsidRPr="00FF47E4" w:rsidTr="0013025C">
        <w:trPr>
          <w:trHeight w:val="445"/>
          <w:tblHeader/>
          <w:jc w:val="center"/>
        </w:trPr>
        <w:tc>
          <w:tcPr>
            <w:tcW w:w="807"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F03126" w:rsidRDefault="00F03126" w:rsidP="00F03126">
            <w:pPr>
              <w:suppressAutoHyphens w:val="0"/>
              <w:spacing w:before="40" w:after="120" w:line="220" w:lineRule="exact"/>
              <w:ind w:right="113"/>
              <w:rPr>
                <w:rFonts w:eastAsia="MS PGothic"/>
                <w:sz w:val="18"/>
                <w:szCs w:val="18"/>
              </w:rPr>
            </w:pPr>
            <w:r>
              <w:rPr>
                <w:rFonts w:eastAsia="MS PGothic"/>
                <w:sz w:val="18"/>
                <w:szCs w:val="18"/>
              </w:rPr>
              <w:t>(Over-the-Air) Software updates</w:t>
            </w:r>
          </w:p>
        </w:tc>
        <w:tc>
          <w:tcPr>
            <w:tcW w:w="589"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03126" w:rsidRDefault="00F03126" w:rsidP="00F03126">
            <w:pPr>
              <w:suppressAutoHyphens w:val="0"/>
              <w:spacing w:before="40" w:after="120" w:line="220" w:lineRule="exact"/>
              <w:ind w:right="113"/>
              <w:rPr>
                <w:rFonts w:eastAsia="MS PGothic"/>
                <w:bCs/>
                <w:sz w:val="18"/>
                <w:szCs w:val="18"/>
              </w:rPr>
            </w:pPr>
            <w:r>
              <w:rPr>
                <w:rFonts w:eastAsia="MS PGothic"/>
                <w:bCs/>
                <w:sz w:val="18"/>
                <w:szCs w:val="18"/>
              </w:rPr>
              <w:t>GRVA</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03126" w:rsidRDefault="00F03126" w:rsidP="00F03126">
            <w:pPr>
              <w:suppressAutoHyphens w:val="0"/>
              <w:spacing w:before="40" w:after="120" w:line="220" w:lineRule="exact"/>
              <w:ind w:right="113"/>
              <w:rPr>
                <w:rFonts w:eastAsia="MS PGothic"/>
                <w:bCs/>
                <w:sz w:val="18"/>
                <w:szCs w:val="18"/>
              </w:rPr>
            </w:pPr>
            <w:r>
              <w:rPr>
                <w:rFonts w:eastAsia="MS PGothic"/>
                <w:bCs/>
                <w:sz w:val="18"/>
                <w:szCs w:val="18"/>
              </w:rPr>
              <w:t>Conventional and Automated / Autonomous vehicles</w:t>
            </w:r>
          </w:p>
        </w:tc>
        <w:tc>
          <w:tcPr>
            <w:tcW w:w="2942" w:type="pct"/>
            <w:tcBorders>
              <w:top w:val="single" w:sz="4" w:space="0" w:color="auto"/>
              <w:left w:val="single" w:sz="4" w:space="0" w:color="auto"/>
              <w:bottom w:val="single" w:sz="4" w:space="0" w:color="auto"/>
              <w:right w:val="single" w:sz="4" w:space="0" w:color="auto"/>
            </w:tcBorders>
          </w:tcPr>
          <w:p w:rsidR="00F03126" w:rsidRDefault="00F03126" w:rsidP="00F03126">
            <w:pPr>
              <w:suppressAutoHyphens w:val="0"/>
              <w:spacing w:before="40" w:after="120" w:line="220" w:lineRule="exact"/>
              <w:ind w:left="136" w:right="113"/>
              <w:rPr>
                <w:rFonts w:eastAsia="MS PGothic"/>
                <w:bCs/>
                <w:sz w:val="18"/>
                <w:szCs w:val="18"/>
              </w:rPr>
            </w:pPr>
            <w:r w:rsidRPr="00D54EF1">
              <w:rPr>
                <w:rFonts w:eastAsia="MS PGothic"/>
                <w:bCs/>
                <w:sz w:val="18"/>
                <w:szCs w:val="18"/>
              </w:rPr>
              <w:t xml:space="preserve">Work of Task Force on Cyber Security </w:t>
            </w:r>
            <w:r>
              <w:rPr>
                <w:rFonts w:eastAsia="MS PGothic"/>
                <w:bCs/>
                <w:sz w:val="18"/>
                <w:szCs w:val="18"/>
              </w:rPr>
              <w:t xml:space="preserve">and (OTA) software updates </w:t>
            </w:r>
            <w:r w:rsidRPr="00D54EF1">
              <w:rPr>
                <w:rFonts w:eastAsia="MS PGothic"/>
                <w:bCs/>
                <w:sz w:val="18"/>
                <w:szCs w:val="18"/>
              </w:rPr>
              <w:t>(</w:t>
            </w:r>
            <w:r>
              <w:rPr>
                <w:rFonts w:eastAsia="MS PGothic"/>
                <w:bCs/>
                <w:sz w:val="18"/>
                <w:szCs w:val="18"/>
              </w:rPr>
              <w:t>TF</w:t>
            </w:r>
            <w:r w:rsidR="0013025C">
              <w:rPr>
                <w:rFonts w:eastAsia="MS PGothic"/>
                <w:bCs/>
                <w:sz w:val="18"/>
                <w:szCs w:val="18"/>
              </w:rPr>
              <w:t> </w:t>
            </w:r>
            <w:r w:rsidRPr="00D54EF1">
              <w:rPr>
                <w:rFonts w:eastAsia="MS PGothic"/>
                <w:bCs/>
                <w:sz w:val="18"/>
                <w:szCs w:val="18"/>
              </w:rPr>
              <w:t>CS</w:t>
            </w:r>
            <w:r>
              <w:rPr>
                <w:rFonts w:eastAsia="MS PGothic"/>
                <w:bCs/>
                <w:sz w:val="18"/>
                <w:szCs w:val="18"/>
              </w:rPr>
              <w:t>/OTA</w:t>
            </w:r>
            <w:r w:rsidRPr="00D54EF1">
              <w:rPr>
                <w:rFonts w:eastAsia="MS PGothic"/>
                <w:bCs/>
                <w:sz w:val="18"/>
                <w:szCs w:val="18"/>
              </w:rPr>
              <w:t>) ongoing</w:t>
            </w:r>
            <w:r>
              <w:rPr>
                <w:rFonts w:eastAsia="MS PGothic"/>
                <w:bCs/>
                <w:sz w:val="18"/>
                <w:szCs w:val="18"/>
              </w:rPr>
              <w:t>.</w:t>
            </w:r>
          </w:p>
          <w:p w:rsidR="00F03126" w:rsidRPr="00D54EF1" w:rsidRDefault="00F03126" w:rsidP="00F03126">
            <w:pPr>
              <w:suppressAutoHyphens w:val="0"/>
              <w:spacing w:before="40" w:after="120" w:line="220" w:lineRule="exact"/>
              <w:ind w:left="136" w:right="113"/>
              <w:rPr>
                <w:rFonts w:eastAsia="MS PGothic"/>
                <w:bCs/>
                <w:sz w:val="18"/>
                <w:szCs w:val="18"/>
              </w:rPr>
            </w:pPr>
            <w:r w:rsidRPr="00FA7AE8">
              <w:rPr>
                <w:rFonts w:eastAsia="MS PGothic"/>
                <w:bCs/>
                <w:sz w:val="18"/>
                <w:szCs w:val="18"/>
              </w:rPr>
              <w:t xml:space="preserve">Draft recommendations on legislative approach </w:t>
            </w:r>
            <w:r>
              <w:rPr>
                <w:rFonts w:eastAsia="MS PGothic"/>
                <w:bCs/>
                <w:sz w:val="18"/>
                <w:szCs w:val="18"/>
              </w:rPr>
              <w:t>and</w:t>
            </w:r>
            <w:r w:rsidRPr="00FA7AE8">
              <w:rPr>
                <w:rFonts w:eastAsia="MS PGothic"/>
                <w:bCs/>
                <w:sz w:val="18"/>
                <w:szCs w:val="18"/>
              </w:rPr>
              <w:t xml:space="preserve"> </w:t>
            </w:r>
            <w:r>
              <w:rPr>
                <w:rFonts w:eastAsia="MS PGothic"/>
                <w:bCs/>
                <w:sz w:val="18"/>
                <w:szCs w:val="18"/>
              </w:rPr>
              <w:t>d</w:t>
            </w:r>
            <w:r w:rsidRPr="00FA7AE8">
              <w:rPr>
                <w:rFonts w:eastAsia="MS PGothic"/>
                <w:bCs/>
                <w:sz w:val="18"/>
                <w:szCs w:val="18"/>
              </w:rPr>
              <w:t>raft Regulation delivered to GRVA</w:t>
            </w:r>
            <w:r w:rsidR="0013025C">
              <w:rPr>
                <w:rFonts w:eastAsia="MS PGothic"/>
                <w:bCs/>
                <w:sz w:val="18"/>
                <w:szCs w:val="18"/>
              </w:rPr>
              <w:t>.</w:t>
            </w:r>
          </w:p>
        </w:tc>
      </w:tr>
      <w:tr w:rsidR="00F03126" w:rsidRPr="00FF47E4" w:rsidTr="0013025C">
        <w:trPr>
          <w:trHeight w:val="1079"/>
          <w:tblHeader/>
          <w:jc w:val="center"/>
        </w:trPr>
        <w:tc>
          <w:tcPr>
            <w:tcW w:w="807" w:type="pct"/>
            <w:tcBorders>
              <w:top w:val="single" w:sz="4" w:space="0" w:color="auto"/>
              <w:left w:val="single" w:sz="4" w:space="0" w:color="auto"/>
              <w:bottom w:val="single" w:sz="4" w:space="0" w:color="auto"/>
              <w:right w:val="single" w:sz="4" w:space="0" w:color="auto"/>
            </w:tcBorders>
            <w:shd w:val="clear" w:color="auto" w:fill="auto"/>
            <w:tcMar>
              <w:top w:w="43" w:type="dxa"/>
              <w:left w:w="85" w:type="dxa"/>
              <w:bottom w:w="43" w:type="dxa"/>
              <w:right w:w="85" w:type="dxa"/>
            </w:tcMar>
          </w:tcPr>
          <w:p w:rsidR="00F03126" w:rsidRDefault="00F03126" w:rsidP="00F03126">
            <w:pPr>
              <w:suppressAutoHyphens w:val="0"/>
              <w:spacing w:before="40" w:after="120" w:line="220" w:lineRule="exact"/>
              <w:ind w:right="113"/>
              <w:rPr>
                <w:rFonts w:eastAsia="MS PGothic"/>
                <w:sz w:val="18"/>
                <w:szCs w:val="18"/>
              </w:rPr>
            </w:pPr>
            <w:r>
              <w:rPr>
                <w:rFonts w:eastAsia="MS PGothic"/>
                <w:sz w:val="18"/>
                <w:szCs w:val="18"/>
              </w:rPr>
              <w:t>Event Data Recorder (EDR)</w:t>
            </w:r>
          </w:p>
        </w:tc>
        <w:tc>
          <w:tcPr>
            <w:tcW w:w="589"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03126" w:rsidRDefault="00F03126" w:rsidP="00F03126">
            <w:pPr>
              <w:suppressAutoHyphens w:val="0"/>
              <w:spacing w:before="40" w:after="120" w:line="220" w:lineRule="exact"/>
              <w:ind w:right="113"/>
              <w:rPr>
                <w:rFonts w:eastAsia="MS PGothic"/>
                <w:bCs/>
                <w:sz w:val="18"/>
                <w:szCs w:val="18"/>
              </w:rPr>
            </w:pPr>
            <w:r>
              <w:rPr>
                <w:rFonts w:eastAsia="MS PGothic"/>
                <w:bCs/>
                <w:sz w:val="18"/>
                <w:szCs w:val="18"/>
              </w:rPr>
              <w:t>GRSG</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F03126" w:rsidRDefault="00F03126" w:rsidP="00F03126">
            <w:pPr>
              <w:suppressAutoHyphens w:val="0"/>
              <w:spacing w:before="40" w:after="120" w:line="220" w:lineRule="exact"/>
              <w:ind w:right="113"/>
              <w:rPr>
                <w:rFonts w:eastAsia="MS PGothic"/>
                <w:bCs/>
                <w:sz w:val="18"/>
                <w:szCs w:val="18"/>
              </w:rPr>
            </w:pPr>
            <w:r>
              <w:rPr>
                <w:rFonts w:eastAsia="MS PGothic"/>
                <w:bCs/>
                <w:sz w:val="18"/>
                <w:szCs w:val="18"/>
              </w:rPr>
              <w:t>Conventional and Automated / Autonomous vehicles</w:t>
            </w:r>
          </w:p>
        </w:tc>
        <w:tc>
          <w:tcPr>
            <w:tcW w:w="2942" w:type="pct"/>
            <w:tcBorders>
              <w:top w:val="single" w:sz="4" w:space="0" w:color="auto"/>
              <w:left w:val="single" w:sz="4" w:space="0" w:color="auto"/>
              <w:bottom w:val="single" w:sz="4" w:space="0" w:color="auto"/>
              <w:right w:val="single" w:sz="4" w:space="0" w:color="auto"/>
            </w:tcBorders>
          </w:tcPr>
          <w:p w:rsidR="00F03126" w:rsidRPr="00D54EF1" w:rsidRDefault="00F03126" w:rsidP="00F03126">
            <w:pPr>
              <w:suppressAutoHyphens w:val="0"/>
              <w:spacing w:before="40" w:after="120" w:line="220" w:lineRule="exact"/>
              <w:ind w:left="136" w:right="113"/>
              <w:rPr>
                <w:rFonts w:eastAsia="MS PGothic"/>
                <w:bCs/>
                <w:sz w:val="18"/>
                <w:szCs w:val="18"/>
              </w:rPr>
            </w:pPr>
            <w:r w:rsidRPr="00FA7AE8">
              <w:rPr>
                <w:rFonts w:eastAsia="MS PGothic"/>
                <w:bCs/>
                <w:sz w:val="18"/>
                <w:szCs w:val="18"/>
              </w:rPr>
              <w:t>Existing systems - as road safety measure (e.g. accident recoding)</w:t>
            </w:r>
            <w:r w:rsidR="0013025C">
              <w:rPr>
                <w:rFonts w:eastAsia="MS PGothic"/>
                <w:bCs/>
                <w:sz w:val="18"/>
                <w:szCs w:val="18"/>
              </w:rPr>
              <w:t>.</w:t>
            </w:r>
          </w:p>
        </w:tc>
      </w:tr>
      <w:tr w:rsidR="00F03126" w:rsidRPr="00FF47E4" w:rsidTr="0013025C">
        <w:trPr>
          <w:trHeight w:val="1567"/>
          <w:tblHeader/>
          <w:jc w:val="center"/>
        </w:trPr>
        <w:tc>
          <w:tcPr>
            <w:tcW w:w="807" w:type="pct"/>
            <w:tcBorders>
              <w:top w:val="single" w:sz="4" w:space="0" w:color="auto"/>
              <w:left w:val="single" w:sz="4" w:space="0" w:color="auto"/>
              <w:bottom w:val="single" w:sz="12" w:space="0" w:color="auto"/>
              <w:right w:val="single" w:sz="4" w:space="0" w:color="auto"/>
            </w:tcBorders>
            <w:shd w:val="clear" w:color="auto" w:fill="auto"/>
            <w:tcMar>
              <w:top w:w="43" w:type="dxa"/>
              <w:left w:w="85" w:type="dxa"/>
              <w:bottom w:w="43" w:type="dxa"/>
              <w:right w:w="85" w:type="dxa"/>
            </w:tcMar>
          </w:tcPr>
          <w:p w:rsidR="00F03126" w:rsidRPr="00733A68" w:rsidRDefault="00F03126" w:rsidP="00F03126">
            <w:pPr>
              <w:suppressAutoHyphens w:val="0"/>
              <w:spacing w:before="40" w:after="120" w:line="220" w:lineRule="exact"/>
              <w:ind w:right="113"/>
              <w:rPr>
                <w:rFonts w:eastAsia="MS PGothic"/>
                <w:sz w:val="18"/>
                <w:szCs w:val="18"/>
              </w:rPr>
            </w:pPr>
            <w:r w:rsidRPr="00733A68">
              <w:rPr>
                <w:rFonts w:eastAsia="MS PGothic"/>
                <w:sz w:val="18"/>
                <w:szCs w:val="18"/>
              </w:rPr>
              <w:t>Data Storage System for Automated Driving vehicles (DSSAD)</w:t>
            </w:r>
          </w:p>
        </w:tc>
        <w:tc>
          <w:tcPr>
            <w:tcW w:w="589"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0F5A33" w:rsidRPr="00733A68" w:rsidRDefault="000F5A33" w:rsidP="00C930A3">
            <w:pPr>
              <w:suppressAutoHyphens w:val="0"/>
              <w:spacing w:before="40" w:after="120" w:line="220" w:lineRule="exact"/>
              <w:ind w:right="113"/>
              <w:rPr>
                <w:rFonts w:eastAsia="MS PGothic"/>
                <w:bCs/>
                <w:sz w:val="18"/>
                <w:szCs w:val="18"/>
              </w:rPr>
            </w:pPr>
            <w:r w:rsidRPr="0013025C">
              <w:rPr>
                <w:rFonts w:eastAsia="MS PGothic"/>
                <w:bCs/>
                <w:sz w:val="18"/>
                <w:szCs w:val="18"/>
                <w:u w:val="single"/>
              </w:rPr>
              <w:t>First</w:t>
            </w:r>
            <w:r w:rsidRPr="00EC5911">
              <w:rPr>
                <w:rFonts w:eastAsia="MS PGothic"/>
                <w:bCs/>
                <w:sz w:val="18"/>
                <w:szCs w:val="18"/>
              </w:rPr>
              <w:t xml:space="preserve">: </w:t>
            </w:r>
            <w:r w:rsidR="00F03126" w:rsidRPr="00733A68">
              <w:rPr>
                <w:rFonts w:eastAsia="MS PGothic"/>
                <w:bCs/>
                <w:sz w:val="18"/>
                <w:szCs w:val="18"/>
              </w:rPr>
              <w:t>GRVA</w:t>
            </w:r>
            <w:r w:rsidR="00C930A3" w:rsidRPr="00733A68">
              <w:rPr>
                <w:rFonts w:eastAsia="MS PGothic"/>
                <w:bCs/>
                <w:sz w:val="18"/>
                <w:szCs w:val="18"/>
              </w:rPr>
              <w:t xml:space="preserve"> </w:t>
            </w:r>
          </w:p>
          <w:p w:rsidR="00F03126" w:rsidRPr="00733A68" w:rsidRDefault="0013025C" w:rsidP="000F5A33">
            <w:pPr>
              <w:suppressAutoHyphens w:val="0"/>
              <w:spacing w:before="40" w:after="120" w:line="220" w:lineRule="exact"/>
              <w:ind w:right="113"/>
              <w:rPr>
                <w:rFonts w:eastAsia="MS PGothic"/>
                <w:bCs/>
                <w:sz w:val="18"/>
                <w:szCs w:val="18"/>
              </w:rPr>
            </w:pPr>
            <w:r>
              <w:rPr>
                <w:rFonts w:eastAsia="MS PGothic"/>
                <w:bCs/>
                <w:sz w:val="18"/>
                <w:szCs w:val="18"/>
                <w:u w:val="single"/>
              </w:rPr>
              <w:t>Later</w:t>
            </w:r>
            <w:r w:rsidR="000F5A33" w:rsidRPr="00EC5911">
              <w:rPr>
                <w:rFonts w:eastAsia="MS PGothic"/>
                <w:bCs/>
                <w:sz w:val="18"/>
                <w:szCs w:val="18"/>
              </w:rPr>
              <w:t>:</w:t>
            </w:r>
            <w:r w:rsidR="000F5A33" w:rsidRPr="00733A68">
              <w:rPr>
                <w:rFonts w:eastAsia="MS PGothic"/>
                <w:bCs/>
                <w:sz w:val="18"/>
                <w:szCs w:val="18"/>
              </w:rPr>
              <w:br/>
            </w:r>
            <w:r w:rsidR="00F03126" w:rsidRPr="00733A68">
              <w:rPr>
                <w:rFonts w:eastAsia="MS PGothic"/>
                <w:bCs/>
                <w:sz w:val="18"/>
                <w:szCs w:val="18"/>
              </w:rPr>
              <w:t>GRSG</w:t>
            </w:r>
            <w:r w:rsidR="00C930A3" w:rsidRPr="00733A68">
              <w:rPr>
                <w:rFonts w:eastAsia="MS PGothic"/>
                <w:bCs/>
                <w:sz w:val="18"/>
                <w:szCs w:val="18"/>
              </w:rPr>
              <w:t xml:space="preserve"> </w:t>
            </w:r>
            <w:r w:rsidR="000F5A33" w:rsidRPr="00733A68">
              <w:rPr>
                <w:rFonts w:eastAsia="MS PGothic"/>
                <w:bCs/>
                <w:sz w:val="18"/>
                <w:szCs w:val="18"/>
              </w:rPr>
              <w:t>(in</w:t>
            </w:r>
            <w:r w:rsidR="00C930A3" w:rsidRPr="00733A68">
              <w:rPr>
                <w:rFonts w:eastAsia="MS PGothic"/>
                <w:bCs/>
                <w:sz w:val="18"/>
                <w:szCs w:val="18"/>
              </w:rPr>
              <w:t xml:space="preserve"> coordination with GRVA</w:t>
            </w:r>
            <w:r w:rsidR="000F5A33" w:rsidRPr="00733A68">
              <w:rPr>
                <w:rFonts w:eastAsia="MS PGothic"/>
                <w:bCs/>
                <w:sz w:val="18"/>
                <w:szCs w:val="18"/>
              </w:rPr>
              <w:t>)</w:t>
            </w:r>
          </w:p>
        </w:tc>
        <w:tc>
          <w:tcPr>
            <w:tcW w:w="662" w:type="pct"/>
            <w:tcBorders>
              <w:top w:val="single" w:sz="4" w:space="0" w:color="auto"/>
              <w:left w:val="single" w:sz="4" w:space="0" w:color="auto"/>
              <w:bottom w:val="single" w:sz="12" w:space="0" w:color="auto"/>
              <w:right w:val="single" w:sz="4" w:space="0" w:color="auto"/>
            </w:tcBorders>
            <w:shd w:val="clear" w:color="auto" w:fill="auto"/>
            <w:tcMar>
              <w:top w:w="43" w:type="dxa"/>
              <w:left w:w="43" w:type="dxa"/>
              <w:bottom w:w="43" w:type="dxa"/>
              <w:right w:w="43" w:type="dxa"/>
            </w:tcMar>
          </w:tcPr>
          <w:p w:rsidR="00F03126" w:rsidRPr="00733A68" w:rsidRDefault="00F03126" w:rsidP="00F03126">
            <w:pPr>
              <w:suppressAutoHyphens w:val="0"/>
              <w:spacing w:before="40" w:after="120" w:line="220" w:lineRule="exact"/>
              <w:ind w:right="113"/>
              <w:rPr>
                <w:rFonts w:eastAsia="MS PGothic"/>
                <w:bCs/>
                <w:sz w:val="18"/>
                <w:szCs w:val="18"/>
              </w:rPr>
            </w:pPr>
            <w:r w:rsidRPr="00733A68">
              <w:rPr>
                <w:rFonts w:eastAsia="MS PGothic"/>
                <w:bCs/>
                <w:sz w:val="18"/>
                <w:szCs w:val="18"/>
              </w:rPr>
              <w:t>Automated / Autonomous vehicles</w:t>
            </w:r>
          </w:p>
        </w:tc>
        <w:tc>
          <w:tcPr>
            <w:tcW w:w="2942" w:type="pct"/>
            <w:tcBorders>
              <w:top w:val="single" w:sz="4" w:space="0" w:color="auto"/>
              <w:left w:val="single" w:sz="4" w:space="0" w:color="auto"/>
              <w:bottom w:val="single" w:sz="12" w:space="0" w:color="auto"/>
              <w:right w:val="single" w:sz="4" w:space="0" w:color="auto"/>
            </w:tcBorders>
          </w:tcPr>
          <w:p w:rsidR="00F03126" w:rsidRPr="00733A68" w:rsidRDefault="00F03126" w:rsidP="00F03126">
            <w:pPr>
              <w:suppressAutoHyphens w:val="0"/>
              <w:spacing w:before="40" w:after="120" w:line="220" w:lineRule="exact"/>
              <w:ind w:left="136" w:right="113"/>
              <w:rPr>
                <w:rFonts w:eastAsia="MS PGothic"/>
                <w:bCs/>
                <w:sz w:val="18"/>
                <w:szCs w:val="18"/>
              </w:rPr>
            </w:pPr>
            <w:r w:rsidRPr="00733A68">
              <w:rPr>
                <w:rFonts w:eastAsia="MS PGothic"/>
                <w:bCs/>
                <w:sz w:val="18"/>
                <w:szCs w:val="18"/>
              </w:rPr>
              <w:t>DSSAD are for autonomous vehicles (e.g. accident recoding). This work item should take into consideration of the discussion at GRVA and its Informal Working Group on Automatically Commended Steering Function (IWG on ACSF).</w:t>
            </w:r>
          </w:p>
          <w:p w:rsidR="00F03126" w:rsidRPr="00733A68" w:rsidRDefault="00F03126" w:rsidP="00F03126">
            <w:pPr>
              <w:suppressAutoHyphens w:val="0"/>
              <w:spacing w:before="40" w:after="120" w:line="220" w:lineRule="exact"/>
              <w:ind w:left="136" w:right="113"/>
              <w:rPr>
                <w:rFonts w:eastAsia="MS PGothic"/>
                <w:bCs/>
                <w:sz w:val="18"/>
                <w:szCs w:val="18"/>
              </w:rPr>
            </w:pPr>
            <w:r w:rsidRPr="00733A68">
              <w:rPr>
                <w:rFonts w:eastAsia="MS PGothic"/>
                <w:bCs/>
                <w:sz w:val="18"/>
                <w:szCs w:val="18"/>
              </w:rPr>
              <w:t>Clear objectives</w:t>
            </w:r>
            <w:r w:rsidR="00BA0173" w:rsidRPr="00733A68">
              <w:rPr>
                <w:rFonts w:eastAsia="MS PGothic"/>
                <w:bCs/>
                <w:sz w:val="18"/>
                <w:szCs w:val="18"/>
              </w:rPr>
              <w:t>, deadline</w:t>
            </w:r>
            <w:r w:rsidRPr="00733A68">
              <w:rPr>
                <w:rFonts w:eastAsia="MS PGothic"/>
                <w:bCs/>
                <w:sz w:val="18"/>
                <w:szCs w:val="18"/>
              </w:rPr>
              <w:t xml:space="preserve"> and the identification of differences with EDR to be determined first before discussion </w:t>
            </w:r>
            <w:r w:rsidR="00BA0173" w:rsidRPr="00733A68">
              <w:rPr>
                <w:rFonts w:eastAsia="MS PGothic"/>
                <w:bCs/>
                <w:sz w:val="18"/>
                <w:szCs w:val="18"/>
              </w:rPr>
              <w:t xml:space="preserve">on </w:t>
            </w:r>
            <w:r w:rsidRPr="00733A68">
              <w:rPr>
                <w:rFonts w:eastAsia="MS PGothic"/>
                <w:bCs/>
                <w:sz w:val="18"/>
                <w:szCs w:val="18"/>
              </w:rPr>
              <w:t>detailed data information</w:t>
            </w:r>
            <w:r w:rsidR="00BA0173" w:rsidRPr="00733A68">
              <w:rPr>
                <w:rFonts w:eastAsia="MS PGothic"/>
                <w:bCs/>
                <w:sz w:val="18"/>
                <w:szCs w:val="18"/>
              </w:rPr>
              <w:t>.</w:t>
            </w:r>
          </w:p>
        </w:tc>
      </w:tr>
    </w:tbl>
    <w:p w:rsidR="00C54B63" w:rsidRPr="00F03126" w:rsidRDefault="00F03126" w:rsidP="00CC7ED1">
      <w:pPr>
        <w:spacing w:before="240"/>
        <w:jc w:val="center"/>
        <w:rPr>
          <w:u w:val="single"/>
        </w:rPr>
      </w:pPr>
      <w:r>
        <w:rPr>
          <w:u w:val="single"/>
        </w:rPr>
        <w:tab/>
      </w:r>
      <w:r>
        <w:rPr>
          <w:u w:val="single"/>
        </w:rPr>
        <w:tab/>
      </w:r>
      <w:r>
        <w:rPr>
          <w:u w:val="single"/>
        </w:rPr>
        <w:tab/>
      </w:r>
    </w:p>
    <w:sectPr w:rsidR="00C54B63" w:rsidRPr="00F03126" w:rsidSect="006E0FA4">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357" w:rsidRDefault="00A40357"/>
  </w:endnote>
  <w:endnote w:type="continuationSeparator" w:id="0">
    <w:p w:rsidR="00A40357" w:rsidRDefault="00A40357"/>
  </w:endnote>
  <w:endnote w:type="continuationNotice" w:id="1">
    <w:p w:rsidR="00A40357" w:rsidRDefault="00A40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0A0" w:rsidRDefault="00A550A0">
    <w:pPr>
      <w:pStyle w:val="Footer"/>
    </w:pPr>
    <w:r w:rsidRPr="009A6A9E">
      <w:rPr>
        <w:b/>
        <w:sz w:val="18"/>
      </w:rPr>
      <w:fldChar w:fldCharType="begin"/>
    </w:r>
    <w:r w:rsidRPr="009A6A9E">
      <w:rPr>
        <w:b/>
        <w:sz w:val="18"/>
      </w:rPr>
      <w:instrText xml:space="preserve"> PAGE  \* MERGEFORMAT </w:instrText>
    </w:r>
    <w:r w:rsidRPr="009A6A9E">
      <w:rPr>
        <w:b/>
        <w:sz w:val="18"/>
      </w:rPr>
      <w:fldChar w:fldCharType="separate"/>
    </w:r>
    <w:r>
      <w:rPr>
        <w:b/>
        <w:sz w:val="18"/>
      </w:rPr>
      <w:t>2</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0A0" w:rsidRDefault="00A550A0" w:rsidP="00A550A0">
    <w:pPr>
      <w:pStyle w:val="Footer"/>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Pr>
        <w:b/>
        <w:sz w:val="18"/>
      </w:rPr>
      <w:t>2</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56" w:rsidRDefault="00616756" w:rsidP="0061675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357" w:rsidRPr="000B175B" w:rsidRDefault="00A40357" w:rsidP="000B175B">
      <w:pPr>
        <w:tabs>
          <w:tab w:val="right" w:pos="2155"/>
        </w:tabs>
        <w:spacing w:after="80"/>
        <w:ind w:left="680"/>
        <w:rPr>
          <w:u w:val="single"/>
        </w:rPr>
      </w:pPr>
      <w:r>
        <w:rPr>
          <w:u w:val="single"/>
        </w:rPr>
        <w:tab/>
      </w:r>
    </w:p>
  </w:footnote>
  <w:footnote w:type="continuationSeparator" w:id="0">
    <w:p w:rsidR="00A40357" w:rsidRPr="00FC68B7" w:rsidRDefault="00A40357" w:rsidP="00FC68B7">
      <w:pPr>
        <w:tabs>
          <w:tab w:val="left" w:pos="2155"/>
        </w:tabs>
        <w:spacing w:after="80"/>
        <w:ind w:left="680"/>
        <w:rPr>
          <w:u w:val="single"/>
        </w:rPr>
      </w:pPr>
      <w:r>
        <w:rPr>
          <w:u w:val="single"/>
        </w:rPr>
        <w:tab/>
      </w:r>
    </w:p>
  </w:footnote>
  <w:footnote w:type="continuationNotice" w:id="1">
    <w:p w:rsidR="00A40357" w:rsidRDefault="00A40357"/>
  </w:footnote>
  <w:footnote w:id="2">
    <w:p w:rsidR="00617E65" w:rsidRDefault="00617E65" w:rsidP="0013025C">
      <w:pPr>
        <w:pStyle w:val="FootnoteText"/>
        <w:rPr>
          <w:lang w:val="en-US"/>
        </w:rPr>
      </w:pPr>
      <w:r>
        <w:tab/>
      </w:r>
      <w:r w:rsidRPr="00ED0BAC">
        <w:rPr>
          <w:rStyle w:val="FootnoteReference"/>
          <w:sz w:val="20"/>
          <w:vertAlign w:val="baseline"/>
        </w:rPr>
        <w:t>*</w:t>
      </w:r>
      <w:r>
        <w:tab/>
      </w:r>
      <w:r w:rsidR="00A550A0" w:rsidRPr="00B15178">
        <w:rPr>
          <w:szCs w:val="18"/>
          <w:lang w:val="en-US"/>
        </w:rPr>
        <w:t xml:space="preserve">In accordance with the </w:t>
      </w:r>
      <w:proofErr w:type="spellStart"/>
      <w:r w:rsidR="00A550A0" w:rsidRPr="00B15178">
        <w:rPr>
          <w:szCs w:val="18"/>
          <w:lang w:val="en-US"/>
        </w:rPr>
        <w:t>programme</w:t>
      </w:r>
      <w:proofErr w:type="spellEnd"/>
      <w:r w:rsidR="00A550A0" w:rsidRPr="00B15178">
        <w:rPr>
          <w:szCs w:val="18"/>
          <w:lang w:val="en-US"/>
        </w:rPr>
        <w:t xml:space="preserve"> of work of the Inland Transport Committee for 2018–2019 (ECE/TRANS/274, para. 123 and ECE/TRANS/2018/21/Add.1, Cluster 3.1), the World Forum will develop, harmonize and update U</w:t>
      </w:r>
      <w:r w:rsidR="00A550A0">
        <w:rPr>
          <w:szCs w:val="18"/>
          <w:lang w:val="en-US"/>
        </w:rPr>
        <w:t>N r</w:t>
      </w:r>
      <w:r w:rsidR="00A550A0" w:rsidRPr="00B15178">
        <w:rPr>
          <w:szCs w:val="18"/>
          <w:lang w:val="en-US"/>
        </w:rPr>
        <w:t xml:space="preserve">egulations </w:t>
      </w:r>
      <w:proofErr w:type="gramStart"/>
      <w:r w:rsidR="00A550A0" w:rsidRPr="00B15178">
        <w:rPr>
          <w:szCs w:val="18"/>
          <w:lang w:val="en-US"/>
        </w:rPr>
        <w:t>in order to</w:t>
      </w:r>
      <w:proofErr w:type="gramEnd"/>
      <w:r w:rsidR="00A550A0" w:rsidRPr="00B15178">
        <w:rPr>
          <w:szCs w:val="18"/>
          <w:lang w:val="en-US"/>
        </w:rPr>
        <w:t xml:space="preserve"> enhance the performance of vehicles. The present document is submitted </w:t>
      </w:r>
      <w:r w:rsidR="00A550A0">
        <w:rPr>
          <w:szCs w:val="18"/>
          <w:lang w:val="en-US"/>
        </w:rPr>
        <w:t>in conformity with that mandate</w:t>
      </w:r>
      <w:r w:rsidRPr="006636B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D44" w:rsidRPr="009C1087" w:rsidRDefault="00B44D44" w:rsidP="009C1087">
    <w:pPr>
      <w:pBdr>
        <w:bottom w:val="single" w:sz="4" w:space="1" w:color="auto"/>
      </w:pBdr>
      <w:rPr>
        <w:b/>
        <w:bCs/>
        <w:sz w:val="18"/>
        <w:szCs w:val="18"/>
      </w:rPr>
    </w:pPr>
    <w:r w:rsidRPr="009C1087">
      <w:rPr>
        <w:b/>
        <w:bCs/>
        <w:noProof/>
        <w:sz w:val="18"/>
        <w:szCs w:val="18"/>
        <w:lang w:eastAsia="en-GB"/>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B44D44" w:rsidRDefault="00050E9E" w:rsidP="00050E9E">
                          <w:pPr>
                            <w:pStyle w:val="Header"/>
                          </w:pPr>
                          <w:r w:rsidRPr="009D2A5B">
                            <w:t>ECE/TRANS/WP.</w:t>
                          </w:r>
                          <w:r w:rsidR="00167006">
                            <w:t>29/1140</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" filled="f" stroked="f">
              <v:stroke joinstyle="round"/>
              <v:textbox style="layout-flow:vertical" inset="0,0,0,0">
                <w:txbxContent>
                  <w:p w:rsidR="00B44D44" w:rsidRDefault="00050E9E" w:rsidP="00050E9E">
                    <w:pPr>
                      <w:pStyle w:val="Header"/>
                    </w:pPr>
                    <w:r w:rsidRPr="009D2A5B">
                      <w:t>ECE/TRANS/WP.</w:t>
                    </w:r>
                    <w:r w:rsidR="00167006">
                      <w:t>29/1140</w:t>
                    </w:r>
                  </w:p>
                </w:txbxContent>
              </v:textbox>
              <w10:wrap anchorx="page" anchory="margin"/>
            </v:shape>
          </w:pict>
        </mc:Fallback>
      </mc:AlternateContent>
    </w:r>
    <w:r w:rsidR="009C1087" w:rsidRPr="009C1087">
      <w:rPr>
        <w:b/>
        <w:bCs/>
        <w:sz w:val="18"/>
        <w:szCs w:val="18"/>
      </w:rPr>
      <w:t>ECE/TRANS/WP.29/2019/</w:t>
    </w:r>
    <w:r w:rsidR="00A550A0">
      <w:rPr>
        <w:b/>
        <w:bCs/>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56" w:rsidRPr="009C1087" w:rsidRDefault="00616756" w:rsidP="00616756">
    <w:pPr>
      <w:pBdr>
        <w:bottom w:val="single" w:sz="4" w:space="1" w:color="auto"/>
      </w:pBdr>
      <w:rPr>
        <w:b/>
        <w:bCs/>
        <w:sz w:val="18"/>
        <w:szCs w:val="18"/>
      </w:rPr>
    </w:pPr>
    <w:r w:rsidRPr="009C1087">
      <w:rPr>
        <w:b/>
        <w:bCs/>
        <w:noProof/>
        <w:sz w:val="18"/>
        <w:szCs w:val="18"/>
        <w:lang w:eastAsia="en-GB"/>
      </w:rPr>
      <mc:AlternateContent>
        <mc:Choice Requires="wps">
          <w:drawing>
            <wp:anchor distT="0" distB="0" distL="114300" distR="114300" simplePos="0" relativeHeight="251663360" behindDoc="0" locked="0" layoutInCell="1" allowOverlap="1" wp14:anchorId="2E7341B1" wp14:editId="16AC011D">
              <wp:simplePos x="0" y="0"/>
              <wp:positionH relativeFrom="page">
                <wp:posOffset>9791700</wp:posOffset>
              </wp:positionH>
              <wp:positionV relativeFrom="margin">
                <wp:posOffset>0</wp:posOffset>
              </wp:positionV>
              <wp:extent cx="215900" cy="6120130"/>
              <wp:effectExtent l="0" t="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616756" w:rsidRDefault="00616756" w:rsidP="00616756">
                          <w:pPr>
                            <w:pStyle w:val="Header"/>
                          </w:pPr>
                          <w:r w:rsidRPr="009D2A5B">
                            <w:t>ECE/TRANS/WP.</w:t>
                          </w:r>
                          <w:r>
                            <w:t>29/1140</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7341B1" id="_x0000_t202" coordsize="21600,21600" o:spt="202" path="m,l,21600r21600,l21600,xe">
              <v:stroke joinstyle="miter"/>
              <v:path gradientshapeok="t" o:connecttype="rect"/>
            </v:shapetype>
            <v:shape id="Text Box 3" o:spid="_x0000_s1027" type="#_x0000_t202" style="position:absolute;margin-left:771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" filled="f" stroked="f">
              <v:stroke joinstyle="round"/>
              <v:textbox style="layout-flow:vertical" inset="0,0,0,0">
                <w:txbxContent>
                  <w:p w:rsidR="00616756" w:rsidRDefault="00616756" w:rsidP="00616756">
                    <w:pPr>
                      <w:pStyle w:val="Header"/>
                    </w:pPr>
                    <w:r w:rsidRPr="009D2A5B">
                      <w:t>ECE/TRANS/WP.</w:t>
                    </w:r>
                    <w:r>
                      <w:t>29/1140</w:t>
                    </w:r>
                  </w:p>
                </w:txbxContent>
              </v:textbox>
              <w10:wrap anchorx="page" anchory="margin"/>
            </v:shape>
          </w:pict>
        </mc:Fallback>
      </mc:AlternateContent>
    </w:r>
    <w:r w:rsidRPr="009C1087">
      <w:rPr>
        <w:b/>
        <w:bCs/>
        <w:sz w:val="18"/>
        <w:szCs w:val="18"/>
      </w:rPr>
      <w:t>ECE/TRANS/WP.29/2019/</w:t>
    </w:r>
    <w:r w:rsidR="00A550A0">
      <w:rPr>
        <w:b/>
        <w:bCs/>
        <w:sz w:val="18"/>
        <w:szCs w:val="18"/>
      </w:rPr>
      <w:t>2</w:t>
    </w:r>
  </w:p>
  <w:p w:rsidR="00B44D44" w:rsidRPr="00B44D44" w:rsidRDefault="00B44D44" w:rsidP="00B44D44">
    <w:r>
      <w:rPr>
        <w:noProof/>
        <w:lang w:eastAsia="en-GB"/>
      </w:rPr>
      <mc:AlternateContent>
        <mc:Choice Requires="wps">
          <w:drawing>
            <wp:anchor distT="0" distB="0" distL="114300" distR="114300" simplePos="0" relativeHeight="251661312"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B44D44" w:rsidRPr="009D2A5B" w:rsidRDefault="00050E9E" w:rsidP="00B44D44">
                          <w:pPr>
                            <w:pStyle w:val="Header"/>
                            <w:jc w:val="right"/>
                          </w:pPr>
                          <w:r w:rsidRPr="009D2A5B">
                            <w:t>ECE/TRANS/WP.</w:t>
                          </w:r>
                          <w:r w:rsidR="00461169">
                            <w:t>29/</w:t>
                          </w:r>
                          <w:r w:rsidR="00167006">
                            <w:t>1140</w:t>
                          </w:r>
                        </w:p>
                        <w:p w:rsidR="00B44D44" w:rsidRDefault="00B44D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" filled="f" stroked="f">
              <v:stroke joinstyle="round"/>
              <v:textbox style="layout-flow:vertical" inset="0,0,0,0">
                <w:txbxContent>
                  <w:p w:rsidR="00B44D44" w:rsidRPr="009D2A5B" w:rsidRDefault="00050E9E" w:rsidP="00B44D44">
                    <w:pPr>
                      <w:pStyle w:val="Header"/>
                      <w:jc w:val="right"/>
                    </w:pPr>
                    <w:r w:rsidRPr="009D2A5B">
                      <w:t>ECE/TRANS/WP.</w:t>
                    </w:r>
                    <w:r w:rsidR="00461169">
                      <w:t>29/</w:t>
                    </w:r>
                    <w:r w:rsidR="00167006">
                      <w:t>1140</w:t>
                    </w:r>
                  </w:p>
                  <w:p w:rsidR="00B44D44" w:rsidRDefault="00B44D44"/>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D11DAE"/>
    <w:multiLevelType w:val="hybridMultilevel"/>
    <w:tmpl w:val="867E16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081F8E"/>
    <w:multiLevelType w:val="hybridMultilevel"/>
    <w:tmpl w:val="817E2A4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1CAE7F1E"/>
    <w:multiLevelType w:val="hybridMultilevel"/>
    <w:tmpl w:val="EB1AE7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E24D4C"/>
    <w:multiLevelType w:val="hybridMultilevel"/>
    <w:tmpl w:val="627EE3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53A4A"/>
    <w:multiLevelType w:val="hybridMultilevel"/>
    <w:tmpl w:val="ACF264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34D207A"/>
    <w:multiLevelType w:val="hybridMultilevel"/>
    <w:tmpl w:val="CA5CC24A"/>
    <w:lvl w:ilvl="0" w:tplc="5C3CC0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2" w15:restartNumberingAfterBreak="0">
    <w:nsid w:val="4FA94977"/>
    <w:multiLevelType w:val="hybridMultilevel"/>
    <w:tmpl w:val="4D4824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4BA3494"/>
    <w:multiLevelType w:val="hybridMultilevel"/>
    <w:tmpl w:val="7F0A2C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89C66F8"/>
    <w:multiLevelType w:val="hybridMultilevel"/>
    <w:tmpl w:val="6210682C"/>
    <w:lvl w:ilvl="0" w:tplc="21647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8BD6023"/>
    <w:multiLevelType w:val="hybridMultilevel"/>
    <w:tmpl w:val="83526658"/>
    <w:lvl w:ilvl="0" w:tplc="63845594">
      <w:start w:val="1"/>
      <w:numFmt w:val="bullet"/>
      <w:lvlText w:val=""/>
      <w:lvlJc w:val="left"/>
      <w:pPr>
        <w:ind w:left="720" w:hanging="360"/>
      </w:pPr>
      <w:rPr>
        <w:rFonts w:ascii="Symbol" w:eastAsia="MS P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AC6515"/>
    <w:multiLevelType w:val="hybridMultilevel"/>
    <w:tmpl w:val="2B2A3986"/>
    <w:lvl w:ilvl="0" w:tplc="2164788C">
      <w:start w:val="1"/>
      <w:numFmt w:val="bullet"/>
      <w:lvlText w:val=""/>
      <w:lvlJc w:val="left"/>
      <w:pPr>
        <w:ind w:left="688" w:hanging="420"/>
      </w:pPr>
      <w:rPr>
        <w:rFonts w:ascii="Wingdings" w:hAnsi="Wingdings" w:hint="default"/>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abstractNum w:abstractNumId="28" w15:restartNumberingAfterBreak="0">
    <w:nsid w:val="7E83475F"/>
    <w:multiLevelType w:val="hybridMultilevel"/>
    <w:tmpl w:val="7C9A84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FE82A67"/>
    <w:multiLevelType w:val="hybridMultilevel"/>
    <w:tmpl w:val="FD506F16"/>
    <w:lvl w:ilvl="0" w:tplc="F41C7D14">
      <w:start w:val="25"/>
      <w:numFmt w:val="bullet"/>
      <w:lvlText w:val=""/>
      <w:lvlJc w:val="left"/>
      <w:pPr>
        <w:ind w:left="1494" w:hanging="360"/>
      </w:pPr>
      <w:rPr>
        <w:rFonts w:ascii="Symbol" w:eastAsiaTheme="minorEastAsia"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4"/>
  </w:num>
  <w:num w:numId="15">
    <w:abstractNumId w:val="13"/>
  </w:num>
  <w:num w:numId="16">
    <w:abstractNumId w:val="11"/>
  </w:num>
  <w:num w:numId="17">
    <w:abstractNumId w:val="21"/>
  </w:num>
  <w:num w:numId="18">
    <w:abstractNumId w:val="25"/>
  </w:num>
  <w:num w:numId="19">
    <w:abstractNumId w:val="27"/>
  </w:num>
  <w:num w:numId="20">
    <w:abstractNumId w:val="2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5"/>
  </w:num>
  <w:num w:numId="24">
    <w:abstractNumId w:val="12"/>
  </w:num>
  <w:num w:numId="25">
    <w:abstractNumId w:val="28"/>
  </w:num>
  <w:num w:numId="26">
    <w:abstractNumId w:val="17"/>
  </w:num>
  <w:num w:numId="27">
    <w:abstractNumId w:val="19"/>
  </w:num>
  <w:num w:numId="28">
    <w:abstractNumId w:val="22"/>
  </w:num>
  <w:num w:numId="29">
    <w:abstractNumId w:val="20"/>
  </w:num>
  <w:num w:numId="3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3CC1"/>
    <w:rsid w:val="00034A36"/>
    <w:rsid w:val="0003565A"/>
    <w:rsid w:val="00037F90"/>
    <w:rsid w:val="00046B1F"/>
    <w:rsid w:val="000509A7"/>
    <w:rsid w:val="00050E9E"/>
    <w:rsid w:val="00050F6B"/>
    <w:rsid w:val="0005166F"/>
    <w:rsid w:val="0005583C"/>
    <w:rsid w:val="00057E97"/>
    <w:rsid w:val="00072C8C"/>
    <w:rsid w:val="000733B5"/>
    <w:rsid w:val="00080491"/>
    <w:rsid w:val="0008179C"/>
    <w:rsid w:val="00081815"/>
    <w:rsid w:val="00083600"/>
    <w:rsid w:val="000931C0"/>
    <w:rsid w:val="000A189D"/>
    <w:rsid w:val="000A3990"/>
    <w:rsid w:val="000A523A"/>
    <w:rsid w:val="000A60F4"/>
    <w:rsid w:val="000A6D55"/>
    <w:rsid w:val="000B0595"/>
    <w:rsid w:val="000B1333"/>
    <w:rsid w:val="000B175B"/>
    <w:rsid w:val="000B3A0F"/>
    <w:rsid w:val="000B4EF7"/>
    <w:rsid w:val="000B625D"/>
    <w:rsid w:val="000C2C03"/>
    <w:rsid w:val="000C2D2E"/>
    <w:rsid w:val="000C4D51"/>
    <w:rsid w:val="000D2353"/>
    <w:rsid w:val="000E0415"/>
    <w:rsid w:val="000F5A33"/>
    <w:rsid w:val="001103AA"/>
    <w:rsid w:val="0011666B"/>
    <w:rsid w:val="001208E2"/>
    <w:rsid w:val="0012201C"/>
    <w:rsid w:val="0013025C"/>
    <w:rsid w:val="0013389E"/>
    <w:rsid w:val="00153670"/>
    <w:rsid w:val="00155068"/>
    <w:rsid w:val="00165F3A"/>
    <w:rsid w:val="00167006"/>
    <w:rsid w:val="0017587F"/>
    <w:rsid w:val="001B0DDF"/>
    <w:rsid w:val="001B13A5"/>
    <w:rsid w:val="001B4B04"/>
    <w:rsid w:val="001C1A9E"/>
    <w:rsid w:val="001C6663"/>
    <w:rsid w:val="001C7895"/>
    <w:rsid w:val="001D0BC9"/>
    <w:rsid w:val="001D0C8C"/>
    <w:rsid w:val="001D1419"/>
    <w:rsid w:val="001D26DF"/>
    <w:rsid w:val="001D3A03"/>
    <w:rsid w:val="001D7F46"/>
    <w:rsid w:val="001E0B9E"/>
    <w:rsid w:val="001E7B67"/>
    <w:rsid w:val="001F7435"/>
    <w:rsid w:val="00202DA8"/>
    <w:rsid w:val="0021157B"/>
    <w:rsid w:val="00211E0B"/>
    <w:rsid w:val="00231139"/>
    <w:rsid w:val="00267F5F"/>
    <w:rsid w:val="00272379"/>
    <w:rsid w:val="00272592"/>
    <w:rsid w:val="00277C12"/>
    <w:rsid w:val="00286B4D"/>
    <w:rsid w:val="002A603B"/>
    <w:rsid w:val="002B41F7"/>
    <w:rsid w:val="002C242A"/>
    <w:rsid w:val="002C2E00"/>
    <w:rsid w:val="002D4643"/>
    <w:rsid w:val="002D4B6C"/>
    <w:rsid w:val="002E7E8E"/>
    <w:rsid w:val="002F175C"/>
    <w:rsid w:val="002F41CF"/>
    <w:rsid w:val="002F4E85"/>
    <w:rsid w:val="00302E18"/>
    <w:rsid w:val="00312506"/>
    <w:rsid w:val="003229D8"/>
    <w:rsid w:val="00352709"/>
    <w:rsid w:val="00360E69"/>
    <w:rsid w:val="0036726E"/>
    <w:rsid w:val="00371178"/>
    <w:rsid w:val="00377472"/>
    <w:rsid w:val="00380004"/>
    <w:rsid w:val="00381475"/>
    <w:rsid w:val="003A6810"/>
    <w:rsid w:val="003B6C76"/>
    <w:rsid w:val="003C2CC4"/>
    <w:rsid w:val="003D4B23"/>
    <w:rsid w:val="004059B4"/>
    <w:rsid w:val="00410565"/>
    <w:rsid w:val="00410C89"/>
    <w:rsid w:val="00413A3B"/>
    <w:rsid w:val="00422E03"/>
    <w:rsid w:val="00426B9B"/>
    <w:rsid w:val="00430EFE"/>
    <w:rsid w:val="00431BC9"/>
    <w:rsid w:val="004325CB"/>
    <w:rsid w:val="00441896"/>
    <w:rsid w:val="00442A83"/>
    <w:rsid w:val="00443AB5"/>
    <w:rsid w:val="0045495B"/>
    <w:rsid w:val="00461169"/>
    <w:rsid w:val="004615D4"/>
    <w:rsid w:val="00480F23"/>
    <w:rsid w:val="0048397A"/>
    <w:rsid w:val="004A12F2"/>
    <w:rsid w:val="004C2461"/>
    <w:rsid w:val="004C7462"/>
    <w:rsid w:val="004D19F4"/>
    <w:rsid w:val="004D4E04"/>
    <w:rsid w:val="004D5426"/>
    <w:rsid w:val="004E0C05"/>
    <w:rsid w:val="004E3FC6"/>
    <w:rsid w:val="004E77B2"/>
    <w:rsid w:val="005003A4"/>
    <w:rsid w:val="00503DEB"/>
    <w:rsid w:val="00504B2D"/>
    <w:rsid w:val="00511A9B"/>
    <w:rsid w:val="00516336"/>
    <w:rsid w:val="0052136D"/>
    <w:rsid w:val="00522B58"/>
    <w:rsid w:val="0052775E"/>
    <w:rsid w:val="00535C90"/>
    <w:rsid w:val="005420F2"/>
    <w:rsid w:val="00543785"/>
    <w:rsid w:val="00545927"/>
    <w:rsid w:val="00546993"/>
    <w:rsid w:val="00546AD4"/>
    <w:rsid w:val="005628B6"/>
    <w:rsid w:val="00580629"/>
    <w:rsid w:val="0058365A"/>
    <w:rsid w:val="00597EDC"/>
    <w:rsid w:val="005A20C8"/>
    <w:rsid w:val="005A575C"/>
    <w:rsid w:val="005B3DB3"/>
    <w:rsid w:val="005B4E13"/>
    <w:rsid w:val="005C7397"/>
    <w:rsid w:val="005E6A77"/>
    <w:rsid w:val="005F7B75"/>
    <w:rsid w:val="006001EE"/>
    <w:rsid w:val="00605042"/>
    <w:rsid w:val="00605A9A"/>
    <w:rsid w:val="00611FC4"/>
    <w:rsid w:val="00616756"/>
    <w:rsid w:val="006176FB"/>
    <w:rsid w:val="00617E65"/>
    <w:rsid w:val="0063734B"/>
    <w:rsid w:val="00640B26"/>
    <w:rsid w:val="00644191"/>
    <w:rsid w:val="00652D0A"/>
    <w:rsid w:val="00656B98"/>
    <w:rsid w:val="006623D5"/>
    <w:rsid w:val="00662BB6"/>
    <w:rsid w:val="00667F8F"/>
    <w:rsid w:val="006736E1"/>
    <w:rsid w:val="00673B80"/>
    <w:rsid w:val="00684C21"/>
    <w:rsid w:val="0069232B"/>
    <w:rsid w:val="006A2530"/>
    <w:rsid w:val="006B2EA8"/>
    <w:rsid w:val="006C3589"/>
    <w:rsid w:val="006D37AF"/>
    <w:rsid w:val="006D51D0"/>
    <w:rsid w:val="006E0FA4"/>
    <w:rsid w:val="006E288D"/>
    <w:rsid w:val="006E5117"/>
    <w:rsid w:val="006E564B"/>
    <w:rsid w:val="006E7191"/>
    <w:rsid w:val="00703577"/>
    <w:rsid w:val="00705894"/>
    <w:rsid w:val="0072632A"/>
    <w:rsid w:val="00731FF0"/>
    <w:rsid w:val="007327D5"/>
    <w:rsid w:val="00733A68"/>
    <w:rsid w:val="007611CF"/>
    <w:rsid w:val="007629C8"/>
    <w:rsid w:val="0077047D"/>
    <w:rsid w:val="00794727"/>
    <w:rsid w:val="007A7626"/>
    <w:rsid w:val="007B6BA5"/>
    <w:rsid w:val="007C3390"/>
    <w:rsid w:val="007C4F4B"/>
    <w:rsid w:val="007D46D5"/>
    <w:rsid w:val="007E01E9"/>
    <w:rsid w:val="007E446F"/>
    <w:rsid w:val="007E63F3"/>
    <w:rsid w:val="007F6611"/>
    <w:rsid w:val="007F7106"/>
    <w:rsid w:val="00811920"/>
    <w:rsid w:val="00815AD0"/>
    <w:rsid w:val="008242D7"/>
    <w:rsid w:val="00824FAF"/>
    <w:rsid w:val="008257B1"/>
    <w:rsid w:val="0083719C"/>
    <w:rsid w:val="00843767"/>
    <w:rsid w:val="008521A5"/>
    <w:rsid w:val="008679D9"/>
    <w:rsid w:val="00871389"/>
    <w:rsid w:val="00874CB6"/>
    <w:rsid w:val="00881C0C"/>
    <w:rsid w:val="00883999"/>
    <w:rsid w:val="008878DE"/>
    <w:rsid w:val="00894520"/>
    <w:rsid w:val="008979B1"/>
    <w:rsid w:val="008A6B25"/>
    <w:rsid w:val="008A6C4F"/>
    <w:rsid w:val="008B2335"/>
    <w:rsid w:val="008B717B"/>
    <w:rsid w:val="008E0678"/>
    <w:rsid w:val="008E7526"/>
    <w:rsid w:val="008F682D"/>
    <w:rsid w:val="00901B81"/>
    <w:rsid w:val="0092212D"/>
    <w:rsid w:val="009223CA"/>
    <w:rsid w:val="00940F93"/>
    <w:rsid w:val="0094558F"/>
    <w:rsid w:val="00961690"/>
    <w:rsid w:val="009760F3"/>
    <w:rsid w:val="009837D4"/>
    <w:rsid w:val="009A0E8D"/>
    <w:rsid w:val="009B1518"/>
    <w:rsid w:val="009B26E7"/>
    <w:rsid w:val="009B6669"/>
    <w:rsid w:val="009C1087"/>
    <w:rsid w:val="009C3EED"/>
    <w:rsid w:val="009C454F"/>
    <w:rsid w:val="009D2A5B"/>
    <w:rsid w:val="009D45A1"/>
    <w:rsid w:val="00A00A3F"/>
    <w:rsid w:val="00A01489"/>
    <w:rsid w:val="00A3009E"/>
    <w:rsid w:val="00A3026E"/>
    <w:rsid w:val="00A302F7"/>
    <w:rsid w:val="00A338F1"/>
    <w:rsid w:val="00A40357"/>
    <w:rsid w:val="00A43545"/>
    <w:rsid w:val="00A550A0"/>
    <w:rsid w:val="00A57C7B"/>
    <w:rsid w:val="00A72F22"/>
    <w:rsid w:val="00A7360F"/>
    <w:rsid w:val="00A748A6"/>
    <w:rsid w:val="00A769F4"/>
    <w:rsid w:val="00A776B4"/>
    <w:rsid w:val="00A81407"/>
    <w:rsid w:val="00A9093D"/>
    <w:rsid w:val="00A9142D"/>
    <w:rsid w:val="00A94361"/>
    <w:rsid w:val="00AA0041"/>
    <w:rsid w:val="00AA293C"/>
    <w:rsid w:val="00AB69D2"/>
    <w:rsid w:val="00AD365F"/>
    <w:rsid w:val="00AE08DA"/>
    <w:rsid w:val="00AE6935"/>
    <w:rsid w:val="00AF3993"/>
    <w:rsid w:val="00B00155"/>
    <w:rsid w:val="00B11BB4"/>
    <w:rsid w:val="00B175D8"/>
    <w:rsid w:val="00B22BC2"/>
    <w:rsid w:val="00B30179"/>
    <w:rsid w:val="00B36283"/>
    <w:rsid w:val="00B421C1"/>
    <w:rsid w:val="00B42658"/>
    <w:rsid w:val="00B44C7A"/>
    <w:rsid w:val="00B44D44"/>
    <w:rsid w:val="00B55C71"/>
    <w:rsid w:val="00B56E4A"/>
    <w:rsid w:val="00B56E9C"/>
    <w:rsid w:val="00B61320"/>
    <w:rsid w:val="00B64B1F"/>
    <w:rsid w:val="00B6553F"/>
    <w:rsid w:val="00B70F1E"/>
    <w:rsid w:val="00B734ED"/>
    <w:rsid w:val="00B74259"/>
    <w:rsid w:val="00B77D05"/>
    <w:rsid w:val="00B81206"/>
    <w:rsid w:val="00B81E12"/>
    <w:rsid w:val="00B857E8"/>
    <w:rsid w:val="00BA0173"/>
    <w:rsid w:val="00BA5B4B"/>
    <w:rsid w:val="00BB78E9"/>
    <w:rsid w:val="00BB7CD1"/>
    <w:rsid w:val="00BC3FA0"/>
    <w:rsid w:val="00BC74E9"/>
    <w:rsid w:val="00BD4443"/>
    <w:rsid w:val="00BF68A8"/>
    <w:rsid w:val="00C10FE6"/>
    <w:rsid w:val="00C11A03"/>
    <w:rsid w:val="00C17725"/>
    <w:rsid w:val="00C22C0C"/>
    <w:rsid w:val="00C2358B"/>
    <w:rsid w:val="00C255AF"/>
    <w:rsid w:val="00C30C61"/>
    <w:rsid w:val="00C313DC"/>
    <w:rsid w:val="00C3172E"/>
    <w:rsid w:val="00C35502"/>
    <w:rsid w:val="00C40B11"/>
    <w:rsid w:val="00C4527F"/>
    <w:rsid w:val="00C463DD"/>
    <w:rsid w:val="00C4724C"/>
    <w:rsid w:val="00C54B63"/>
    <w:rsid w:val="00C563BF"/>
    <w:rsid w:val="00C629A0"/>
    <w:rsid w:val="00C64629"/>
    <w:rsid w:val="00C745C3"/>
    <w:rsid w:val="00C76E71"/>
    <w:rsid w:val="00C76F8B"/>
    <w:rsid w:val="00C92461"/>
    <w:rsid w:val="00C930A3"/>
    <w:rsid w:val="00CA2255"/>
    <w:rsid w:val="00CB3E03"/>
    <w:rsid w:val="00CC7ED1"/>
    <w:rsid w:val="00CD0EC0"/>
    <w:rsid w:val="00CD298F"/>
    <w:rsid w:val="00CD5607"/>
    <w:rsid w:val="00CE4A8F"/>
    <w:rsid w:val="00D032FC"/>
    <w:rsid w:val="00D06A75"/>
    <w:rsid w:val="00D2031B"/>
    <w:rsid w:val="00D25FE2"/>
    <w:rsid w:val="00D40784"/>
    <w:rsid w:val="00D43252"/>
    <w:rsid w:val="00D47EEA"/>
    <w:rsid w:val="00D54EF1"/>
    <w:rsid w:val="00D550D4"/>
    <w:rsid w:val="00D773DF"/>
    <w:rsid w:val="00D872AC"/>
    <w:rsid w:val="00D9255F"/>
    <w:rsid w:val="00D95303"/>
    <w:rsid w:val="00D978C6"/>
    <w:rsid w:val="00DA3C1C"/>
    <w:rsid w:val="00DC2D84"/>
    <w:rsid w:val="00DD29BD"/>
    <w:rsid w:val="00DD692F"/>
    <w:rsid w:val="00DE1D53"/>
    <w:rsid w:val="00DF0F1A"/>
    <w:rsid w:val="00DF2A8F"/>
    <w:rsid w:val="00E046DF"/>
    <w:rsid w:val="00E15557"/>
    <w:rsid w:val="00E240D2"/>
    <w:rsid w:val="00E27346"/>
    <w:rsid w:val="00E32662"/>
    <w:rsid w:val="00E333F9"/>
    <w:rsid w:val="00E71610"/>
    <w:rsid w:val="00E71BC8"/>
    <w:rsid w:val="00E7260F"/>
    <w:rsid w:val="00E73F5D"/>
    <w:rsid w:val="00E77E4E"/>
    <w:rsid w:val="00E81D63"/>
    <w:rsid w:val="00E8771C"/>
    <w:rsid w:val="00E9622E"/>
    <w:rsid w:val="00E96630"/>
    <w:rsid w:val="00EC106A"/>
    <w:rsid w:val="00EC1E8A"/>
    <w:rsid w:val="00EC4AD3"/>
    <w:rsid w:val="00EC5911"/>
    <w:rsid w:val="00ED7A2A"/>
    <w:rsid w:val="00EE5AFC"/>
    <w:rsid w:val="00EE6B3A"/>
    <w:rsid w:val="00EF1D7F"/>
    <w:rsid w:val="00EF3090"/>
    <w:rsid w:val="00F03126"/>
    <w:rsid w:val="00F31E5F"/>
    <w:rsid w:val="00F32BB7"/>
    <w:rsid w:val="00F33F7F"/>
    <w:rsid w:val="00F40989"/>
    <w:rsid w:val="00F47EDC"/>
    <w:rsid w:val="00F6100A"/>
    <w:rsid w:val="00F63C9D"/>
    <w:rsid w:val="00F65AE4"/>
    <w:rsid w:val="00F66565"/>
    <w:rsid w:val="00F75A16"/>
    <w:rsid w:val="00F86C1B"/>
    <w:rsid w:val="00F92A22"/>
    <w:rsid w:val="00F93781"/>
    <w:rsid w:val="00FA6DA6"/>
    <w:rsid w:val="00FA7AE8"/>
    <w:rsid w:val="00FB5E2C"/>
    <w:rsid w:val="00FB613B"/>
    <w:rsid w:val="00FC68B7"/>
    <w:rsid w:val="00FE106A"/>
    <w:rsid w:val="00FE3513"/>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6E9AEE"/>
  <w15:docId w15:val="{1FF38824-D5BA-4A3A-B9F3-0CA7CFE6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Footnote Reference),-E Fußnotenzeichen,BVI fnr, BVI fnr,Footnote symbol,Footnote,Footnote Reference Superscript,SUPERS"/>
    <w:rsid w:val="007B6BA5"/>
    <w:rPr>
      <w:rFonts w:ascii="Times New Roman" w:hAnsi="Times New Roman"/>
      <w:sz w:val="18"/>
      <w:vertAlign w:val="superscript"/>
    </w:rPr>
  </w:style>
  <w:style w:type="paragraph" w:styleId="FootnoteText">
    <w:name w:val="footnote text"/>
    <w:aliases w:val="5_G,PP"/>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PP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B44D44"/>
    <w:pPr>
      <w:widowControl w:val="0"/>
      <w:suppressAutoHyphens w:val="0"/>
      <w:spacing w:line="240" w:lineRule="auto"/>
      <w:ind w:leftChars="400" w:left="840"/>
      <w:jc w:val="both"/>
    </w:pPr>
    <w:rPr>
      <w:rFonts w:asciiTheme="minorHAnsi" w:hAnsiTheme="minorHAnsi" w:cstheme="minorBidi"/>
      <w:kern w:val="2"/>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5717">
      <w:bodyDiv w:val="1"/>
      <w:marLeft w:val="0"/>
      <w:marRight w:val="0"/>
      <w:marTop w:val="0"/>
      <w:marBottom w:val="0"/>
      <w:divBdr>
        <w:top w:val="none" w:sz="0" w:space="0" w:color="auto"/>
        <w:left w:val="none" w:sz="0" w:space="0" w:color="auto"/>
        <w:bottom w:val="none" w:sz="0" w:space="0" w:color="auto"/>
        <w:right w:val="none" w:sz="0" w:space="0" w:color="auto"/>
      </w:divBdr>
    </w:div>
    <w:div w:id="1793863604">
      <w:bodyDiv w:val="1"/>
      <w:marLeft w:val="0"/>
      <w:marRight w:val="0"/>
      <w:marTop w:val="0"/>
      <w:marBottom w:val="0"/>
      <w:divBdr>
        <w:top w:val="none" w:sz="0" w:space="0" w:color="auto"/>
        <w:left w:val="none" w:sz="0" w:space="0" w:color="auto"/>
        <w:bottom w:val="none" w:sz="0" w:space="0" w:color="auto"/>
        <w:right w:val="none" w:sz="0" w:space="0" w:color="auto"/>
      </w:divBdr>
    </w:div>
    <w:div w:id="18801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E37D-1E59-45C6-81E0-733F09F1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3404</Characters>
  <Application>Microsoft Office Word</Application>
  <DocSecurity>0</DocSecurity>
  <Lines>136</Lines>
  <Paragraphs>68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Work priorities on ADVs</vt:lpstr>
      <vt:lpstr>1126259</vt:lpstr>
      <vt:lpstr>1126259</vt:lpstr>
    </vt:vector>
  </TitlesOfParts>
  <Company>CSD</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priorities on ADVs</dc:title>
  <dc:subject>AD definitions</dc:subject>
  <dc:creator>Francois E Guichard</dc:creator>
  <cp:keywords>ECE/TRANS/WP.29/2019/2</cp:keywords>
  <dc:description>Final</dc:description>
  <cp:lastModifiedBy>Marie-Claude Collet</cp:lastModifiedBy>
  <cp:revision>2</cp:revision>
  <cp:lastPrinted>2018-12-17T11:21:00Z</cp:lastPrinted>
  <dcterms:created xsi:type="dcterms:W3CDTF">2018-12-20T16:11:00Z</dcterms:created>
  <dcterms:modified xsi:type="dcterms:W3CDTF">2018-12-20T16:11:00Z</dcterms:modified>
</cp:coreProperties>
</file>