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302ABAD" w14:textId="77777777" w:rsidTr="00C97039">
        <w:trPr>
          <w:trHeight w:hRule="exact" w:val="851"/>
        </w:trPr>
        <w:tc>
          <w:tcPr>
            <w:tcW w:w="1276" w:type="dxa"/>
            <w:tcBorders>
              <w:bottom w:val="single" w:sz="4" w:space="0" w:color="auto"/>
            </w:tcBorders>
          </w:tcPr>
          <w:p w14:paraId="5E0CCF8B" w14:textId="77777777" w:rsidR="00F35BAF" w:rsidRPr="00DB58B5" w:rsidRDefault="00F35BAF" w:rsidP="001C1DE7">
            <w:bookmarkStart w:id="0" w:name="_GoBack"/>
            <w:bookmarkEnd w:id="0"/>
          </w:p>
        </w:tc>
        <w:tc>
          <w:tcPr>
            <w:tcW w:w="2268" w:type="dxa"/>
            <w:tcBorders>
              <w:bottom w:val="single" w:sz="4" w:space="0" w:color="auto"/>
            </w:tcBorders>
            <w:vAlign w:val="bottom"/>
          </w:tcPr>
          <w:p w14:paraId="2C82FB3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EB254C" w14:textId="77777777" w:rsidR="00F35BAF" w:rsidRPr="00DB58B5" w:rsidRDefault="001C1DE7" w:rsidP="001C1DE7">
            <w:pPr>
              <w:jc w:val="right"/>
            </w:pPr>
            <w:r w:rsidRPr="001C1DE7">
              <w:rPr>
                <w:sz w:val="40"/>
              </w:rPr>
              <w:t>ECE</w:t>
            </w:r>
            <w:r>
              <w:t>/TRANS/WP.29/2019/97</w:t>
            </w:r>
          </w:p>
        </w:tc>
      </w:tr>
      <w:tr w:rsidR="00F35BAF" w:rsidRPr="00DB58B5" w14:paraId="4B864BF6" w14:textId="77777777" w:rsidTr="00C97039">
        <w:trPr>
          <w:trHeight w:hRule="exact" w:val="2835"/>
        </w:trPr>
        <w:tc>
          <w:tcPr>
            <w:tcW w:w="1276" w:type="dxa"/>
            <w:tcBorders>
              <w:top w:val="single" w:sz="4" w:space="0" w:color="auto"/>
              <w:bottom w:val="single" w:sz="12" w:space="0" w:color="auto"/>
            </w:tcBorders>
          </w:tcPr>
          <w:p w14:paraId="2880E83C" w14:textId="77777777" w:rsidR="00F35BAF" w:rsidRPr="00DB58B5" w:rsidRDefault="00F35BAF" w:rsidP="00C97039">
            <w:pPr>
              <w:spacing w:before="120"/>
              <w:jc w:val="center"/>
            </w:pPr>
            <w:r>
              <w:rPr>
                <w:noProof/>
                <w:lang w:eastAsia="fr-CH"/>
              </w:rPr>
              <w:drawing>
                <wp:inline distT="0" distB="0" distL="0" distR="0" wp14:anchorId="57D7FD23" wp14:editId="141708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5A1E3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45E458" w14:textId="77777777" w:rsidR="00F35BAF" w:rsidRDefault="001C1DE7" w:rsidP="00C97039">
            <w:pPr>
              <w:spacing w:before="240"/>
            </w:pPr>
            <w:r>
              <w:t xml:space="preserve">Distr. </w:t>
            </w:r>
            <w:proofErr w:type="gramStart"/>
            <w:r>
              <w:t>générale</w:t>
            </w:r>
            <w:proofErr w:type="gramEnd"/>
          </w:p>
          <w:p w14:paraId="5455DF01" w14:textId="77777777" w:rsidR="001C1DE7" w:rsidRDefault="001C1DE7" w:rsidP="001C1DE7">
            <w:pPr>
              <w:spacing w:line="240" w:lineRule="exact"/>
            </w:pPr>
            <w:r>
              <w:t>22 août 2019</w:t>
            </w:r>
          </w:p>
          <w:p w14:paraId="7D591DCC" w14:textId="77777777" w:rsidR="001C1DE7" w:rsidRDefault="001C1DE7" w:rsidP="001C1DE7">
            <w:pPr>
              <w:spacing w:line="240" w:lineRule="exact"/>
            </w:pPr>
            <w:r>
              <w:t>Français</w:t>
            </w:r>
          </w:p>
          <w:p w14:paraId="5ED925A6" w14:textId="77777777" w:rsidR="001C1DE7" w:rsidRPr="00DB58B5" w:rsidRDefault="001C1DE7" w:rsidP="001C1DE7">
            <w:pPr>
              <w:spacing w:line="240" w:lineRule="exact"/>
            </w:pPr>
            <w:r>
              <w:t>Original</w:t>
            </w:r>
            <w:r w:rsidR="00301C35">
              <w:t> :</w:t>
            </w:r>
            <w:r>
              <w:t xml:space="preserve"> anglais</w:t>
            </w:r>
          </w:p>
        </w:tc>
      </w:tr>
    </w:tbl>
    <w:p w14:paraId="7A1D0377" w14:textId="77777777" w:rsidR="007F20FA" w:rsidRPr="000312C0" w:rsidRDefault="007F20FA" w:rsidP="007F20FA">
      <w:pPr>
        <w:spacing w:before="120"/>
        <w:rPr>
          <w:b/>
          <w:sz w:val="28"/>
          <w:szCs w:val="28"/>
        </w:rPr>
      </w:pPr>
      <w:r w:rsidRPr="000312C0">
        <w:rPr>
          <w:b/>
          <w:sz w:val="28"/>
          <w:szCs w:val="28"/>
        </w:rPr>
        <w:t>Commission économique pour l’Europe</w:t>
      </w:r>
    </w:p>
    <w:p w14:paraId="461AEA09" w14:textId="77777777" w:rsidR="007F20FA" w:rsidRDefault="007F20FA" w:rsidP="007F20FA">
      <w:pPr>
        <w:spacing w:before="120"/>
        <w:rPr>
          <w:sz w:val="28"/>
          <w:szCs w:val="28"/>
        </w:rPr>
      </w:pPr>
      <w:r w:rsidRPr="00685843">
        <w:rPr>
          <w:sz w:val="28"/>
          <w:szCs w:val="28"/>
        </w:rPr>
        <w:t>Comité des transports intérieurs</w:t>
      </w:r>
    </w:p>
    <w:p w14:paraId="11913436" w14:textId="77777777" w:rsidR="007D7369" w:rsidRDefault="007D7369" w:rsidP="00301C35">
      <w:pPr>
        <w:spacing w:before="120"/>
        <w:rPr>
          <w:rFonts w:eastAsia="Times New Roman"/>
          <w:b/>
          <w:sz w:val="24"/>
          <w:szCs w:val="24"/>
        </w:rPr>
      </w:pPr>
    </w:p>
    <w:p w14:paraId="0A8CC666" w14:textId="77777777" w:rsidR="00301C35" w:rsidRPr="00301C35" w:rsidRDefault="00301C35" w:rsidP="00301C35">
      <w:pPr>
        <w:spacing w:before="120"/>
        <w:rPr>
          <w:rFonts w:eastAsia="Times New Roman"/>
          <w:b/>
          <w:sz w:val="24"/>
          <w:szCs w:val="24"/>
        </w:rPr>
      </w:pPr>
      <w:r w:rsidRPr="00301C35">
        <w:rPr>
          <w:rFonts w:eastAsia="Times New Roman"/>
          <w:b/>
          <w:sz w:val="24"/>
          <w:szCs w:val="24"/>
        </w:rPr>
        <w:t>Forum mondial de l’harmonisation</w:t>
      </w:r>
      <w:r w:rsidR="007D7369">
        <w:rPr>
          <w:rFonts w:eastAsia="Times New Roman"/>
          <w:b/>
          <w:sz w:val="24"/>
          <w:szCs w:val="24"/>
        </w:rPr>
        <w:br/>
      </w:r>
      <w:r w:rsidRPr="00301C35">
        <w:rPr>
          <w:rFonts w:eastAsia="Times New Roman"/>
          <w:b/>
          <w:sz w:val="24"/>
          <w:szCs w:val="24"/>
        </w:rPr>
        <w:t>des Règlements concernant les véhicules</w:t>
      </w:r>
    </w:p>
    <w:p w14:paraId="55A3F52B" w14:textId="77777777" w:rsidR="00301C35" w:rsidRPr="00D8028F" w:rsidRDefault="00301C35" w:rsidP="00301C35">
      <w:pPr>
        <w:spacing w:before="120"/>
        <w:rPr>
          <w:rFonts w:eastAsia="Times New Roman"/>
          <w:b/>
        </w:rPr>
      </w:pPr>
      <w:r w:rsidRPr="00D8028F">
        <w:rPr>
          <w:rFonts w:eastAsia="Times New Roman"/>
          <w:b/>
        </w:rPr>
        <w:t>179</w:t>
      </w:r>
      <w:r w:rsidRPr="00D8028F">
        <w:rPr>
          <w:rFonts w:eastAsia="Times New Roman"/>
          <w:b/>
          <w:vertAlign w:val="superscript"/>
        </w:rPr>
        <w:t>e</w:t>
      </w:r>
      <w:r w:rsidRPr="00D8028F">
        <w:rPr>
          <w:rFonts w:eastAsia="Times New Roman"/>
          <w:b/>
        </w:rPr>
        <w:t> session</w:t>
      </w:r>
    </w:p>
    <w:p w14:paraId="0E0162B8" w14:textId="77777777" w:rsidR="00301C35" w:rsidRPr="00D8028F" w:rsidRDefault="00301C35" w:rsidP="00301C35">
      <w:pPr>
        <w:rPr>
          <w:rFonts w:eastAsia="Times New Roman"/>
        </w:rPr>
      </w:pPr>
      <w:r w:rsidRPr="00D8028F">
        <w:rPr>
          <w:rFonts w:eastAsia="Times New Roman"/>
        </w:rPr>
        <w:t>Genève, 12-14 novembre 2019</w:t>
      </w:r>
    </w:p>
    <w:p w14:paraId="6634D621" w14:textId="77777777" w:rsidR="00301C35" w:rsidRPr="00D8028F" w:rsidRDefault="00301C35" w:rsidP="00301C35">
      <w:pPr>
        <w:rPr>
          <w:rFonts w:eastAsia="Times New Roman"/>
        </w:rPr>
      </w:pPr>
      <w:r w:rsidRPr="00D8028F">
        <w:rPr>
          <w:rFonts w:eastAsia="Times New Roman"/>
        </w:rPr>
        <w:t>Point 4.7.5 de l’ordre du jour provisoire</w:t>
      </w:r>
    </w:p>
    <w:p w14:paraId="14078D0D" w14:textId="77777777" w:rsidR="00301C35" w:rsidRPr="00D8028F" w:rsidRDefault="00301C35" w:rsidP="00301C35">
      <w:pPr>
        <w:rPr>
          <w:rFonts w:eastAsia="Times New Roman"/>
          <w:b/>
        </w:rPr>
      </w:pPr>
      <w:r w:rsidRPr="00D8028F">
        <w:rPr>
          <w:rFonts w:eastAsia="Times New Roman"/>
          <w:b/>
        </w:rPr>
        <w:t>Accord de 1958</w:t>
      </w:r>
      <w:r>
        <w:rPr>
          <w:rFonts w:eastAsia="Times New Roman"/>
          <w:b/>
        </w:rPr>
        <w:t> :</w:t>
      </w:r>
      <w:r>
        <w:rPr>
          <w:rFonts w:eastAsia="Times New Roman"/>
          <w:b/>
        </w:rPr>
        <w:br/>
      </w:r>
      <w:r w:rsidRPr="00D8028F">
        <w:rPr>
          <w:rFonts w:eastAsia="Times New Roman"/>
          <w:b/>
        </w:rPr>
        <w:t>Examen des projets d’amendements à des Règlements ONU</w:t>
      </w:r>
      <w:r w:rsidR="007D7369">
        <w:rPr>
          <w:rFonts w:eastAsia="Times New Roman"/>
          <w:b/>
        </w:rPr>
        <w:br/>
      </w:r>
      <w:r w:rsidRPr="00D8028F">
        <w:rPr>
          <w:rFonts w:eastAsia="Times New Roman"/>
          <w:b/>
        </w:rPr>
        <w:t>existants,</w:t>
      </w:r>
      <w:r w:rsidR="007D7369">
        <w:rPr>
          <w:rFonts w:eastAsia="Times New Roman"/>
          <w:b/>
        </w:rPr>
        <w:t xml:space="preserve"> </w:t>
      </w:r>
      <w:r w:rsidRPr="00D8028F">
        <w:rPr>
          <w:rFonts w:eastAsia="Times New Roman"/>
          <w:b/>
        </w:rPr>
        <w:t>soumis par le GRSG</w:t>
      </w:r>
    </w:p>
    <w:p w14:paraId="00BAF621" w14:textId="77777777" w:rsidR="00301C35" w:rsidRPr="00D8028F" w:rsidRDefault="00301C35" w:rsidP="00301C35">
      <w:pPr>
        <w:pStyle w:val="HChG"/>
        <w:rPr>
          <w:sz w:val="26"/>
          <w:szCs w:val="26"/>
        </w:rPr>
      </w:pPr>
      <w:r w:rsidRPr="00D8028F">
        <w:tab/>
      </w:r>
      <w:r w:rsidRPr="00D8028F">
        <w:tab/>
        <w:t>Proposition de complément 1 à la série 03 d’amendements au</w:t>
      </w:r>
      <w:r>
        <w:t> </w:t>
      </w:r>
      <w:r w:rsidRPr="00D8028F">
        <w:t>Règlement ONU n</w:t>
      </w:r>
      <w:r w:rsidRPr="00D8028F">
        <w:rPr>
          <w:vertAlign w:val="superscript"/>
        </w:rPr>
        <w:t>o</w:t>
      </w:r>
      <w:r w:rsidRPr="00D8028F">
        <w:t> 58 (Dispositifs arrière de protection antiencastrement)</w:t>
      </w:r>
    </w:p>
    <w:p w14:paraId="1F8111A1" w14:textId="77777777" w:rsidR="00301C35" w:rsidRPr="00301C35" w:rsidRDefault="00301C35" w:rsidP="00301C35">
      <w:pPr>
        <w:pStyle w:val="H1G"/>
      </w:pPr>
      <w:r w:rsidRPr="00D8028F">
        <w:tab/>
      </w:r>
      <w:r w:rsidRPr="00D8028F">
        <w:tab/>
        <w:t>Communication des experts du Groupe de travail des dispositions générales de sécurité</w:t>
      </w:r>
      <w:r w:rsidRPr="00301C35">
        <w:rPr>
          <w:rStyle w:val="FootnoteReference"/>
          <w:b w:val="0"/>
          <w:sz w:val="20"/>
          <w:vertAlign w:val="baseline"/>
        </w:rPr>
        <w:footnoteReference w:customMarkFollows="1" w:id="2"/>
        <w:t>*</w:t>
      </w:r>
    </w:p>
    <w:p w14:paraId="358E0576" w14:textId="77777777" w:rsidR="00301C35" w:rsidRPr="00D8028F" w:rsidRDefault="00301C35" w:rsidP="00FE5543">
      <w:pPr>
        <w:pStyle w:val="SingleTxtG"/>
        <w:ind w:firstLine="567"/>
      </w:pPr>
      <w:r w:rsidRPr="00D8028F">
        <w:t>Le texte ci-après, adopté par le Groupe de travail des dispositions générales de sécurité (GRSG) à sa 116</w:t>
      </w:r>
      <w:r w:rsidRPr="00D8028F">
        <w:rPr>
          <w:vertAlign w:val="superscript"/>
        </w:rPr>
        <w:t>e</w:t>
      </w:r>
      <w:r>
        <w:t> </w:t>
      </w:r>
      <w:r w:rsidRPr="00D8028F">
        <w:t>session (ECE/TRANS/WP.29/GRSG/95, par.</w:t>
      </w:r>
      <w:r>
        <w:t> </w:t>
      </w:r>
      <w:r w:rsidRPr="00D8028F">
        <w:t>69), est fondé sur le document ECE/TRANS/WP.29/GRSG/2019/14. Il est soumis au Forum mondial de l’harmonisation des Règlements concernant les véhicules (WP.29) et au Comité d’administration de l’Accord de 1958 (AC.1) pour examen à leurs sessions de novembre</w:t>
      </w:r>
      <w:r w:rsidR="00FE5543">
        <w:t> </w:t>
      </w:r>
      <w:r w:rsidRPr="00D8028F">
        <w:t>2019.</w:t>
      </w:r>
    </w:p>
    <w:p w14:paraId="24745925" w14:textId="77777777" w:rsidR="00301C35" w:rsidRPr="00301C35" w:rsidRDefault="00301C35" w:rsidP="00301C35">
      <w:pPr>
        <w:pStyle w:val="HChG"/>
        <w:rPr>
          <w:spacing w:val="-2"/>
        </w:rPr>
      </w:pPr>
      <w:r w:rsidRPr="00D8028F">
        <w:br w:type="page"/>
      </w:r>
      <w:r w:rsidRPr="00D8028F">
        <w:lastRenderedPageBreak/>
        <w:tab/>
      </w:r>
      <w:r w:rsidRPr="00D8028F">
        <w:tab/>
      </w:r>
      <w:r w:rsidRPr="00301C35">
        <w:rPr>
          <w:spacing w:val="-2"/>
        </w:rPr>
        <w:t>Complément 1 à la série 03 d’amendements au Règlement ONU n</w:t>
      </w:r>
      <w:r w:rsidRPr="00301C35">
        <w:rPr>
          <w:spacing w:val="-2"/>
          <w:vertAlign w:val="superscript"/>
        </w:rPr>
        <w:t>o</w:t>
      </w:r>
      <w:r w:rsidRPr="00301C35">
        <w:rPr>
          <w:spacing w:val="-2"/>
        </w:rPr>
        <w:t xml:space="preserve"> 58 (Dispositifs arrière de protection antiencastrement)</w:t>
      </w:r>
    </w:p>
    <w:p w14:paraId="1E8CB75C" w14:textId="77777777" w:rsidR="00301C35" w:rsidRPr="00D8028F" w:rsidRDefault="00301C35" w:rsidP="00301C35">
      <w:pPr>
        <w:pStyle w:val="SingleTxtG"/>
        <w:keepNext/>
      </w:pPr>
      <w:r w:rsidRPr="00301C35">
        <w:rPr>
          <w:i/>
        </w:rPr>
        <w:t>Paragraphe 2.4</w:t>
      </w:r>
      <w:r w:rsidRPr="00D8028F">
        <w:t>, lire</w:t>
      </w:r>
      <w:r>
        <w:t> :</w:t>
      </w:r>
    </w:p>
    <w:p w14:paraId="176312E0" w14:textId="77777777" w:rsidR="00301C35" w:rsidRPr="00D8028F" w:rsidRDefault="00301C35" w:rsidP="00301C35">
      <w:pPr>
        <w:pStyle w:val="SingleTxtG"/>
        <w:ind w:left="2268" w:hanging="1134"/>
      </w:pPr>
      <w:r w:rsidRPr="00D8028F">
        <w:t>« 2.4</w:t>
      </w:r>
      <w:r w:rsidRPr="00D8028F">
        <w:tab/>
        <w:t xml:space="preserve">Les véhicules de la catégorie G doivent être considérés comme répondant aux conditions relatives à la garde au sol énoncées dans le présent Règlement si l’angle de fuite (ISO </w:t>
      </w:r>
      <w:proofErr w:type="gramStart"/>
      <w:r w:rsidRPr="00D8028F">
        <w:t>612</w:t>
      </w:r>
      <w:r>
        <w:t>:</w:t>
      </w:r>
      <w:proofErr w:type="gramEnd"/>
      <w:r w:rsidRPr="00D8028F">
        <w:t>1978) ne dépasse pas</w:t>
      </w:r>
      <w:r>
        <w:t> :</w:t>
      </w:r>
    </w:p>
    <w:p w14:paraId="4ED7D5AB" w14:textId="77777777" w:rsidR="00301C35" w:rsidRPr="00D8028F" w:rsidRDefault="00301C35" w:rsidP="00301C35">
      <w:pPr>
        <w:pStyle w:val="SingleTxtG"/>
        <w:ind w:left="2835" w:hanging="567"/>
      </w:pPr>
      <w:r w:rsidRPr="00D8028F">
        <w:t>a)</w:t>
      </w:r>
      <w:r w:rsidRPr="00D8028F">
        <w:tab/>
        <w:t>10° dans le cas des véhicules des catégories M</w:t>
      </w:r>
      <w:r w:rsidRPr="00D8028F">
        <w:rPr>
          <w:vertAlign w:val="subscript"/>
        </w:rPr>
        <w:t>1</w:t>
      </w:r>
      <w:r w:rsidRPr="00D8028F">
        <w:t>G et N</w:t>
      </w:r>
      <w:r w:rsidRPr="00D8028F">
        <w:rPr>
          <w:vertAlign w:val="subscript"/>
        </w:rPr>
        <w:t>1</w:t>
      </w:r>
      <w:r w:rsidRPr="00D8028F">
        <w:t>G</w:t>
      </w:r>
      <w:r>
        <w:t> ;</w:t>
      </w:r>
    </w:p>
    <w:p w14:paraId="492CE719" w14:textId="77777777" w:rsidR="00301C35" w:rsidRPr="00D8028F" w:rsidRDefault="00301C35" w:rsidP="00301C35">
      <w:pPr>
        <w:pStyle w:val="SingleTxtG"/>
        <w:ind w:left="2835" w:hanging="567"/>
      </w:pPr>
      <w:r w:rsidRPr="00D8028F">
        <w:t>b)</w:t>
      </w:r>
      <w:r w:rsidRPr="00D8028F">
        <w:tab/>
        <w:t>20° dans le cas des véhicules des catégories M</w:t>
      </w:r>
      <w:r w:rsidRPr="00D8028F">
        <w:rPr>
          <w:vertAlign w:val="subscript"/>
        </w:rPr>
        <w:t>2</w:t>
      </w:r>
      <w:r w:rsidRPr="00D8028F">
        <w:t>G et N</w:t>
      </w:r>
      <w:r w:rsidRPr="00D8028F">
        <w:rPr>
          <w:vertAlign w:val="subscript"/>
        </w:rPr>
        <w:t>2</w:t>
      </w:r>
      <w:r w:rsidRPr="00D8028F">
        <w:t>G</w:t>
      </w:r>
      <w:r>
        <w:t> ;</w:t>
      </w:r>
    </w:p>
    <w:p w14:paraId="5AAA8C16" w14:textId="77777777" w:rsidR="00301C35" w:rsidRPr="00D8028F" w:rsidRDefault="00301C35" w:rsidP="00301C35">
      <w:pPr>
        <w:pStyle w:val="SingleTxtG"/>
        <w:ind w:left="2835" w:hanging="567"/>
      </w:pPr>
      <w:r>
        <w:t>c</w:t>
      </w:r>
      <w:r w:rsidRPr="00D8028F">
        <w:t>)</w:t>
      </w:r>
      <w:r w:rsidRPr="00D8028F">
        <w:tab/>
        <w:t>25° dans le cas des véhicules des catégories M</w:t>
      </w:r>
      <w:r w:rsidRPr="00D8028F">
        <w:rPr>
          <w:vertAlign w:val="subscript"/>
        </w:rPr>
        <w:t>3</w:t>
      </w:r>
      <w:r w:rsidRPr="00D8028F">
        <w:t>G et N</w:t>
      </w:r>
      <w:r w:rsidRPr="00D8028F">
        <w:rPr>
          <w:vertAlign w:val="subscript"/>
        </w:rPr>
        <w:t>3</w:t>
      </w:r>
      <w:r w:rsidRPr="00D8028F">
        <w:t>G</w:t>
      </w:r>
      <w:r>
        <w:t> ;</w:t>
      </w:r>
    </w:p>
    <w:p w14:paraId="5BCD184F" w14:textId="77777777" w:rsidR="00301C35" w:rsidRPr="00D8028F" w:rsidRDefault="00301C35" w:rsidP="00301C35">
      <w:pPr>
        <w:pStyle w:val="SingleTxtG"/>
        <w:ind w:left="2268"/>
      </w:pPr>
      <w:proofErr w:type="gramStart"/>
      <w:r w:rsidRPr="00D8028F">
        <w:t>sur</w:t>
      </w:r>
      <w:proofErr w:type="gramEnd"/>
      <w:r w:rsidRPr="00D8028F">
        <w:t xml:space="preserve"> une largeur qui ne doit pas être inférieure de plus de 100 mm à l’essieu arrière de part et d’autre (compte non tenu du renflement des pneumatiques au contact du sol).</w:t>
      </w:r>
    </w:p>
    <w:p w14:paraId="662A7340" w14:textId="77777777" w:rsidR="00301C35" w:rsidRPr="00D8028F" w:rsidRDefault="00301C35" w:rsidP="00301C35">
      <w:pPr>
        <w:pStyle w:val="SingleTxtG"/>
        <w:ind w:left="2268"/>
      </w:pPr>
      <w:r w:rsidRPr="00D8028F">
        <w:t>S’il y a plusieurs essieux arrière, la largeur à prendre en considération est celle de l’essieu le plus large. Les prescriptions des alinéas</w:t>
      </w:r>
      <w:r w:rsidR="000225B7">
        <w:t xml:space="preserve"> </w:t>
      </w:r>
      <w:proofErr w:type="gramStart"/>
      <w:r w:rsidRPr="00D8028F">
        <w:t>a</w:t>
      </w:r>
      <w:proofErr w:type="gramEnd"/>
      <w:r w:rsidRPr="00D8028F">
        <w:t>) à c) du présent paragraphe doivent au minimum être respectées sur une ligne</w:t>
      </w:r>
      <w:r>
        <w:t> :</w:t>
      </w:r>
    </w:p>
    <w:p w14:paraId="05945551" w14:textId="77777777" w:rsidR="00301C35" w:rsidRPr="00D8028F" w:rsidRDefault="00301C35" w:rsidP="00301C35">
      <w:pPr>
        <w:pStyle w:val="SingleTxtG"/>
        <w:ind w:left="2835" w:hanging="567"/>
      </w:pPr>
      <w:r w:rsidRPr="00D8028F">
        <w:t>a)</w:t>
      </w:r>
      <w:r w:rsidRPr="00D8028F">
        <w:tab/>
        <w:t>Située au maximum à 450 mm de l’extrémité arrière du véhicule</w:t>
      </w:r>
      <w:r>
        <w:t> ;</w:t>
      </w:r>
    </w:p>
    <w:p w14:paraId="2699A998" w14:textId="77777777" w:rsidR="00301C35" w:rsidRPr="00D8028F" w:rsidRDefault="00301C35" w:rsidP="00301C35">
      <w:pPr>
        <w:pStyle w:val="SingleTxtG"/>
        <w:ind w:left="2835" w:hanging="567"/>
      </w:pPr>
      <w:r w:rsidRPr="00D8028F">
        <w:t>b)</w:t>
      </w:r>
      <w:r w:rsidRPr="00D8028F">
        <w:tab/>
        <w:t>Pouvant présenter des interruptions ne dépassant pas au total 200 </w:t>
      </w:r>
      <w:proofErr w:type="spellStart"/>
      <w:r w:rsidRPr="00D8028F">
        <w:t>mm.</w:t>
      </w:r>
      <w:proofErr w:type="spellEnd"/>
      <w:r w:rsidRPr="00D8028F">
        <w:t> ».</w:t>
      </w:r>
    </w:p>
    <w:p w14:paraId="700BE34A" w14:textId="77777777" w:rsidR="00301C35" w:rsidRPr="00301C35" w:rsidRDefault="00301C35" w:rsidP="000225B7">
      <w:pPr>
        <w:pStyle w:val="SingleTxtG"/>
        <w:keepNext/>
        <w:ind w:left="2268" w:hanging="1134"/>
        <w:rPr>
          <w:i/>
        </w:rPr>
      </w:pPr>
      <w:r w:rsidRPr="00301C35">
        <w:rPr>
          <w:i/>
        </w:rPr>
        <w:t>Partie II.</w:t>
      </w:r>
      <w:r w:rsidRPr="00301C35">
        <w:rPr>
          <w:i/>
        </w:rPr>
        <w:tab/>
        <w:t>Homologation d’un véhicule en ce qui concerne le montage d’un dispositif arrière de protection antiencastrement d’un type homologué</w:t>
      </w:r>
    </w:p>
    <w:p w14:paraId="131B7B22" w14:textId="77777777" w:rsidR="00301C35" w:rsidRPr="00D8028F" w:rsidRDefault="00301C35" w:rsidP="000225B7">
      <w:pPr>
        <w:pStyle w:val="SingleTxtG"/>
        <w:keepNext/>
      </w:pPr>
      <w:r w:rsidRPr="00301C35">
        <w:rPr>
          <w:i/>
        </w:rPr>
        <w:t>Paragraphe 16.1</w:t>
      </w:r>
      <w:r w:rsidRPr="00D8028F">
        <w:t>, lire</w:t>
      </w:r>
      <w:r>
        <w:t> :</w:t>
      </w:r>
    </w:p>
    <w:p w14:paraId="204F7489" w14:textId="77777777" w:rsidR="00301C35" w:rsidRPr="00D8028F" w:rsidRDefault="00301C35" w:rsidP="00301C35">
      <w:pPr>
        <w:pStyle w:val="SingleTxtG"/>
        <w:ind w:left="2268" w:hanging="1134"/>
      </w:pPr>
      <w:r w:rsidRPr="00D8028F">
        <w:t>« 16.1</w:t>
      </w:r>
      <w:r w:rsidRPr="00D8028F">
        <w:tab/>
        <w:t>Pour les véhicules des catégories N</w:t>
      </w:r>
      <w:r w:rsidRPr="00D8028F">
        <w:rPr>
          <w:vertAlign w:val="subscript"/>
        </w:rPr>
        <w:t>2</w:t>
      </w:r>
      <w:r w:rsidRPr="00D8028F">
        <w:t xml:space="preserve"> d’un poids total en charge dépassant 8 t, N</w:t>
      </w:r>
      <w:r w:rsidRPr="00D8028F">
        <w:rPr>
          <w:vertAlign w:val="subscript"/>
        </w:rPr>
        <w:t>3</w:t>
      </w:r>
      <w:r w:rsidRPr="00D8028F">
        <w:t>, O</w:t>
      </w:r>
      <w:r w:rsidRPr="00D8028F">
        <w:rPr>
          <w:vertAlign w:val="subscript"/>
        </w:rPr>
        <w:t>3</w:t>
      </w:r>
      <w:r w:rsidRPr="00D8028F">
        <w:t xml:space="preserve"> et O</w:t>
      </w:r>
      <w:r w:rsidRPr="00D8028F">
        <w:rPr>
          <w:vertAlign w:val="subscript"/>
        </w:rPr>
        <w:t>4</w:t>
      </w:r>
      <w:r w:rsidRPr="00D8028F">
        <w:t>, la garde au sol de la partie inférieure du dispositif de protection, même pour un véhicule à vide, ne doit pas dépasser les valeurs suivantes</w:t>
      </w:r>
      <w:r>
        <w:t> :</w:t>
      </w:r>
    </w:p>
    <w:p w14:paraId="2336738E" w14:textId="77777777" w:rsidR="00301C35" w:rsidRPr="00D8028F" w:rsidRDefault="00301C35" w:rsidP="00301C35">
      <w:pPr>
        <w:pStyle w:val="SingleTxtG"/>
        <w:ind w:left="2835" w:hanging="567"/>
      </w:pPr>
      <w:r w:rsidRPr="00D8028F">
        <w:t>a)</w:t>
      </w:r>
      <w:r w:rsidRPr="00D8028F">
        <w:tab/>
        <w:t xml:space="preserve">450 mm pour les véhicules à moteur et les remorques dotés d’une suspension hydropneumatique, hydraulique ou pneumatique ou d’un dispositif de correction automatique d’assiette en fonction de la charge. Dans tous les cas, cette prescription doit être considérée comme satisfaite si l’angle de fuite ne dépasse pas 8° selon la norme ISO </w:t>
      </w:r>
      <w:proofErr w:type="gramStart"/>
      <w:r w:rsidRPr="00D8028F">
        <w:t>612</w:t>
      </w:r>
      <w:r>
        <w:t>:</w:t>
      </w:r>
      <w:proofErr w:type="gramEnd"/>
      <w:r w:rsidRPr="00D8028F">
        <w:t>1978 avec une garde au sol maximale de 550 mm</w:t>
      </w:r>
      <w:r>
        <w:t> ;</w:t>
      </w:r>
      <w:r w:rsidRPr="00D8028F">
        <w:t xml:space="preserve"> </w:t>
      </w:r>
    </w:p>
    <w:p w14:paraId="7AFBC282" w14:textId="77777777" w:rsidR="00301C35" w:rsidRPr="00D8028F" w:rsidRDefault="00301C35" w:rsidP="00301C35">
      <w:pPr>
        <w:pStyle w:val="SingleTxtG"/>
        <w:ind w:left="2835" w:hanging="567"/>
      </w:pPr>
      <w:r w:rsidRPr="00D8028F">
        <w:t>b)</w:t>
      </w:r>
      <w:r w:rsidRPr="00D8028F">
        <w:tab/>
        <w:t xml:space="preserve">500 mm pour les véhicules autres que ceux qui sont décrits à l’alinéa a) ci-dessus. Dans tous les cas, cette prescription doit être considérée comme satisfaite si l’angle de fuite ne dépasse pas 8° selon la norme ISO </w:t>
      </w:r>
      <w:proofErr w:type="gramStart"/>
      <w:r w:rsidRPr="00D8028F">
        <w:t>612</w:t>
      </w:r>
      <w:r>
        <w:t>:</w:t>
      </w:r>
      <w:proofErr w:type="gramEnd"/>
      <w:r w:rsidRPr="00D8028F">
        <w:t>1978 avec une garde au sol maximale de 550 </w:t>
      </w:r>
      <w:proofErr w:type="spellStart"/>
      <w:r w:rsidRPr="00D8028F">
        <w:t>mm</w:t>
      </w:r>
      <w:r w:rsidR="00B439CB">
        <w:t>.</w:t>
      </w:r>
      <w:proofErr w:type="spellEnd"/>
    </w:p>
    <w:p w14:paraId="2761F0B6" w14:textId="77777777" w:rsidR="00301C35" w:rsidRPr="00D8028F" w:rsidRDefault="00301C35" w:rsidP="00301C35">
      <w:pPr>
        <w:pStyle w:val="SingleTxtG"/>
        <w:ind w:left="2268"/>
      </w:pPr>
      <w:r w:rsidRPr="00D8028F">
        <w:t>Cette prescription s’applique sur toute la largeur du véhicule à moteur ou de la remorque et ne doit pas avoir pour effet de placer les points d’application des forces d’essai appliquées au dispositif conformément à la partie</w:t>
      </w:r>
      <w:r w:rsidR="000225B7">
        <w:t xml:space="preserve"> </w:t>
      </w:r>
      <w:r w:rsidRPr="00D8028F">
        <w:t>I du présent Règlement et indiquées dans la fiche de communication de l’homologation (point 7</w:t>
      </w:r>
      <w:r w:rsidR="000225B7">
        <w:t xml:space="preserve"> </w:t>
      </w:r>
      <w:r w:rsidRPr="00D8028F">
        <w:t>de l’annexe</w:t>
      </w:r>
      <w:r w:rsidR="000225B7">
        <w:t xml:space="preserve"> </w:t>
      </w:r>
      <w:r w:rsidRPr="00D8028F">
        <w:t>1) à une hauteur dépassant les valeurs indiquées aux alinéas</w:t>
      </w:r>
      <w:r w:rsidR="000225B7">
        <w:t xml:space="preserve"> </w:t>
      </w:r>
      <w:r w:rsidRPr="00D8028F">
        <w:t>a) et b) ci-dessus, augmentées de la moitié de la hauteur de section minimale prescrite pour la traverse du dispositif arrière de protection antiencastrement.</w:t>
      </w:r>
    </w:p>
    <w:p w14:paraId="735C36C7" w14:textId="77777777" w:rsidR="00301C35" w:rsidRPr="00D8028F" w:rsidRDefault="00301C35" w:rsidP="00301C35">
      <w:pPr>
        <w:pStyle w:val="SingleTxtG"/>
        <w:ind w:left="2268"/>
      </w:pPr>
      <w:r w:rsidRPr="00D8028F">
        <w:t>La hauteur prescrite pour l’application des forces d’essai doit être adaptée à la garde au sol réglée en application des prescriptions ci-dessus relatives à l’angle de fuite. ».</w:t>
      </w:r>
    </w:p>
    <w:p w14:paraId="33AE6721" w14:textId="77777777" w:rsidR="00301C35" w:rsidRPr="00301C35" w:rsidRDefault="00301C35" w:rsidP="000225B7">
      <w:pPr>
        <w:pStyle w:val="SingleTxtG"/>
        <w:keepNext/>
        <w:ind w:left="2268" w:hanging="1134"/>
        <w:rPr>
          <w:i/>
        </w:rPr>
      </w:pPr>
      <w:r w:rsidRPr="00301C35">
        <w:rPr>
          <w:i/>
        </w:rPr>
        <w:lastRenderedPageBreak/>
        <w:t>Partie III</w:t>
      </w:r>
      <w:r>
        <w:rPr>
          <w:i/>
        </w:rPr>
        <w:t>.</w:t>
      </w:r>
      <w:r w:rsidRPr="00301C35">
        <w:rPr>
          <w:i/>
        </w:rPr>
        <w:tab/>
        <w:t>Homologation d’un véhicule en ce qui concerne sa protection contre l’encastrement à l’arrière</w:t>
      </w:r>
    </w:p>
    <w:p w14:paraId="44B73A20" w14:textId="77777777" w:rsidR="00301C35" w:rsidRPr="00D8028F" w:rsidRDefault="00301C35" w:rsidP="000225B7">
      <w:pPr>
        <w:pStyle w:val="SingleTxtG"/>
        <w:keepNext/>
      </w:pPr>
      <w:r w:rsidRPr="00301C35">
        <w:rPr>
          <w:i/>
        </w:rPr>
        <w:t>Paragraphe 25.1</w:t>
      </w:r>
      <w:r w:rsidRPr="00D8028F">
        <w:t>, lire</w:t>
      </w:r>
      <w:r>
        <w:t> :</w:t>
      </w:r>
    </w:p>
    <w:p w14:paraId="443DAEFF" w14:textId="77777777" w:rsidR="00301C35" w:rsidRPr="00D8028F" w:rsidRDefault="00301C35" w:rsidP="00301C35">
      <w:pPr>
        <w:pStyle w:val="SingleTxtG"/>
        <w:ind w:left="2268" w:hanging="1134"/>
      </w:pPr>
      <w:r w:rsidRPr="00D8028F">
        <w:t>« 25.1</w:t>
      </w:r>
      <w:r w:rsidRPr="00D8028F">
        <w:tab/>
        <w:t>Pour les véhicules des catégories N</w:t>
      </w:r>
      <w:r w:rsidRPr="00D8028F">
        <w:rPr>
          <w:vertAlign w:val="subscript"/>
        </w:rPr>
        <w:t>2</w:t>
      </w:r>
      <w:r w:rsidRPr="000225B7">
        <w:t xml:space="preserve"> </w:t>
      </w:r>
      <w:r w:rsidRPr="00D8028F">
        <w:t>d’un poids total en charge dépassant 8 t, N</w:t>
      </w:r>
      <w:r w:rsidRPr="00D8028F">
        <w:rPr>
          <w:vertAlign w:val="subscript"/>
        </w:rPr>
        <w:t>3</w:t>
      </w:r>
      <w:r w:rsidRPr="00D8028F">
        <w:t>, O</w:t>
      </w:r>
      <w:r w:rsidRPr="00D8028F">
        <w:rPr>
          <w:vertAlign w:val="subscript"/>
        </w:rPr>
        <w:t>3</w:t>
      </w:r>
      <w:r w:rsidRPr="00D8028F">
        <w:t xml:space="preserve"> et O</w:t>
      </w:r>
      <w:r w:rsidRPr="00D8028F">
        <w:rPr>
          <w:vertAlign w:val="subscript"/>
        </w:rPr>
        <w:t>4</w:t>
      </w:r>
      <w:r w:rsidRPr="00D8028F">
        <w:t>, la garde au sol de la partie inférieure du dispositif de protection contre l’encastrement à l’arrière, même pour un véhicule à vide, ne doit pas dépasser les valeurs suivantes</w:t>
      </w:r>
      <w:r>
        <w:t> :</w:t>
      </w:r>
    </w:p>
    <w:p w14:paraId="0D6F5085" w14:textId="77777777" w:rsidR="00301C35" w:rsidRPr="00D8028F" w:rsidRDefault="00301C35" w:rsidP="00301C35">
      <w:pPr>
        <w:pStyle w:val="SingleTxtG"/>
        <w:ind w:left="2835" w:hanging="567"/>
      </w:pPr>
      <w:r w:rsidRPr="00D8028F">
        <w:t>a)</w:t>
      </w:r>
      <w:r w:rsidRPr="00D8028F">
        <w:tab/>
        <w:t>450 mm pour les véhicules à moteur et les remorques dotés d’une suspension hydropneumatique, hydraulique ou pneumatique ou d’un dispositif de correction automatique d’assiette en fonction de la charge. Dans tous les cas, cette prescription doit être considérée comme satisfaite si l’angle de fuite ne dépasse pas 8° selon la norme ISO</w:t>
      </w:r>
      <w:r w:rsidR="000225B7">
        <w:t> </w:t>
      </w:r>
      <w:proofErr w:type="gramStart"/>
      <w:r w:rsidRPr="00D8028F">
        <w:t>612</w:t>
      </w:r>
      <w:r>
        <w:t>:</w:t>
      </w:r>
      <w:proofErr w:type="gramEnd"/>
      <w:r w:rsidRPr="00D8028F">
        <w:t>1978 avec une garde au sol maximale de 550 mm</w:t>
      </w:r>
      <w:r>
        <w:t> ;</w:t>
      </w:r>
    </w:p>
    <w:p w14:paraId="0270B6AB" w14:textId="77777777" w:rsidR="00301C35" w:rsidRPr="00D8028F" w:rsidRDefault="00301C35" w:rsidP="00301C35">
      <w:pPr>
        <w:pStyle w:val="SingleTxtG"/>
        <w:ind w:left="2835" w:hanging="567"/>
      </w:pPr>
      <w:r w:rsidRPr="00D8028F">
        <w:t>b)</w:t>
      </w:r>
      <w:r w:rsidRPr="00D8028F">
        <w:tab/>
        <w:t>500 mm pour les véhicules autres que ceux qui sont décrits à l’alinéa</w:t>
      </w:r>
      <w:r w:rsidR="00FB03A3">
        <w:t> </w:t>
      </w:r>
      <w:r w:rsidRPr="00D8028F">
        <w:t>a) ci-dessus. Dans tous les cas, cette prescription doit être considérée comme satisfaite si l’angle de fuite ne dépasse pas 8° selon la norme ISO</w:t>
      </w:r>
      <w:r w:rsidR="000225B7">
        <w:t> </w:t>
      </w:r>
      <w:proofErr w:type="gramStart"/>
      <w:r w:rsidRPr="00D8028F">
        <w:t>612</w:t>
      </w:r>
      <w:r>
        <w:t>:</w:t>
      </w:r>
      <w:proofErr w:type="gramEnd"/>
      <w:r w:rsidRPr="00D8028F">
        <w:t>1978 avec une garde au sol maximale de 550 </w:t>
      </w:r>
      <w:proofErr w:type="spellStart"/>
      <w:r w:rsidRPr="00D8028F">
        <w:t>mm.</w:t>
      </w:r>
      <w:proofErr w:type="spellEnd"/>
    </w:p>
    <w:p w14:paraId="391C6203" w14:textId="77777777" w:rsidR="00301C35" w:rsidRPr="00D8028F" w:rsidRDefault="00301C35" w:rsidP="00301C35">
      <w:pPr>
        <w:pStyle w:val="SingleTxtG"/>
        <w:ind w:left="2268"/>
      </w:pPr>
      <w:r w:rsidRPr="00D8028F">
        <w:t>Cette prescription s’applique sur toute la largeur du véhicule à moteur ou de la remorque et ne doit pas avoir pour effet de placer les points d’application des forces d’essai appliquées au dispositif conformément à la partie</w:t>
      </w:r>
      <w:r w:rsidR="000225B7">
        <w:t xml:space="preserve"> </w:t>
      </w:r>
      <w:r w:rsidRPr="00D8028F">
        <w:t>I du présent Règlement et consignées dans la fiche de communication de l’homologation (point 7</w:t>
      </w:r>
      <w:r w:rsidR="000225B7">
        <w:t xml:space="preserve"> </w:t>
      </w:r>
      <w:r w:rsidRPr="00D8028F">
        <w:t>de l’annexe</w:t>
      </w:r>
      <w:r w:rsidR="000225B7">
        <w:t xml:space="preserve"> </w:t>
      </w:r>
      <w:r w:rsidRPr="00D8028F">
        <w:t>1) à une hauteur dépassant les valeurs indiquées aux alinéas</w:t>
      </w:r>
      <w:r w:rsidR="000225B7">
        <w:t xml:space="preserve"> </w:t>
      </w:r>
      <w:r w:rsidRPr="00D8028F">
        <w:t>a) et b) ci-dessus, augmentées de la moitié de la hauteur de section minimale prescrite pour la traverse du dispositif arrière de protection antiencastrement.</w:t>
      </w:r>
    </w:p>
    <w:p w14:paraId="10E8E729" w14:textId="77777777" w:rsidR="00301C35" w:rsidRPr="00D8028F" w:rsidRDefault="00301C35" w:rsidP="00301C35">
      <w:pPr>
        <w:pStyle w:val="SingleTxtG"/>
        <w:ind w:left="2268"/>
      </w:pPr>
      <w:r w:rsidRPr="00D8028F">
        <w:t>La hauteur prescrite pour l’application des forces d’essai doit être adaptée à la garde au sol réglée en application des prescriptions ci-dessus relatives à l’angle de fuite. ».</w:t>
      </w:r>
    </w:p>
    <w:p w14:paraId="51F8C0BF" w14:textId="77777777" w:rsidR="00301C35" w:rsidRPr="00D8028F" w:rsidRDefault="00301C35" w:rsidP="000225B7">
      <w:pPr>
        <w:pStyle w:val="SingleTxtG"/>
        <w:keepNext/>
      </w:pPr>
      <w:r w:rsidRPr="00301C35">
        <w:rPr>
          <w:i/>
        </w:rPr>
        <w:t xml:space="preserve">Annexe 7, </w:t>
      </w:r>
      <w:r w:rsidRPr="00301C35">
        <w:rPr>
          <w:i/>
          <w:iCs/>
        </w:rPr>
        <w:t>tableau</w:t>
      </w:r>
      <w:r w:rsidRPr="00D8028F">
        <w:t>, lire</w:t>
      </w:r>
      <w:r>
        <w:t> :</w:t>
      </w:r>
    </w:p>
    <w:p w14:paraId="4F0749B6" w14:textId="77777777" w:rsidR="00301C35" w:rsidRPr="00D8028F" w:rsidRDefault="00301C35" w:rsidP="000225B7">
      <w:pPr>
        <w:pStyle w:val="SingleTxtG"/>
        <w:keepNext/>
      </w:pPr>
      <w:r w:rsidRPr="00D8028F">
        <w: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61"/>
        <w:gridCol w:w="1061"/>
        <w:gridCol w:w="1134"/>
        <w:gridCol w:w="1682"/>
        <w:gridCol w:w="1432"/>
      </w:tblGrid>
      <w:tr w:rsidR="00301C35" w:rsidRPr="00D8028F" w14:paraId="73B9723A" w14:textId="77777777" w:rsidTr="003C552A">
        <w:trPr>
          <w:trHeight w:val="355"/>
          <w:tblHeader/>
        </w:trPr>
        <w:tc>
          <w:tcPr>
            <w:tcW w:w="2061"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65A39B4A" w14:textId="77777777" w:rsidR="00301C35" w:rsidRPr="00D8028F" w:rsidRDefault="00301C35" w:rsidP="003C552A">
            <w:pPr>
              <w:spacing w:before="80" w:after="80" w:line="200" w:lineRule="exact"/>
              <w:ind w:left="57" w:right="57"/>
              <w:rPr>
                <w:rFonts w:eastAsia="Times New Roman"/>
                <w:i/>
                <w:sz w:val="16"/>
                <w:szCs w:val="16"/>
              </w:rPr>
            </w:pPr>
            <w:r w:rsidRPr="00D8028F">
              <w:rPr>
                <w:rFonts w:eastAsia="Times New Roman"/>
                <w:i/>
                <w:iCs/>
                <w:sz w:val="16"/>
                <w:szCs w:val="16"/>
              </w:rPr>
              <w:t xml:space="preserve">Catégorie ou type </w:t>
            </w:r>
            <w:r w:rsidRPr="00D8028F">
              <w:rPr>
                <w:rFonts w:eastAsia="Times New Roman"/>
                <w:i/>
                <w:iCs/>
                <w:sz w:val="16"/>
                <w:szCs w:val="16"/>
              </w:rPr>
              <w:br/>
              <w:t>de véhicule</w:t>
            </w:r>
          </w:p>
        </w:tc>
        <w:tc>
          <w:tcPr>
            <w:tcW w:w="3877"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50894D5C" w14:textId="77777777" w:rsidR="00301C35" w:rsidRPr="00D8028F" w:rsidRDefault="00301C35" w:rsidP="003C552A">
            <w:pPr>
              <w:spacing w:before="80" w:after="80" w:line="200" w:lineRule="exact"/>
              <w:ind w:left="57" w:right="57"/>
              <w:jc w:val="center"/>
              <w:rPr>
                <w:rFonts w:eastAsia="Times New Roman"/>
                <w:i/>
                <w:sz w:val="16"/>
                <w:szCs w:val="16"/>
              </w:rPr>
            </w:pPr>
            <w:r w:rsidRPr="00D8028F">
              <w:rPr>
                <w:rFonts w:eastAsia="Times New Roman"/>
                <w:i/>
                <w:iCs/>
                <w:sz w:val="16"/>
                <w:szCs w:val="16"/>
              </w:rPr>
              <w:t>Géométrie visée au paragraphe</w:t>
            </w:r>
          </w:p>
        </w:tc>
        <w:tc>
          <w:tcPr>
            <w:tcW w:w="1432"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3E699658" w14:textId="77777777" w:rsidR="00301C35" w:rsidRPr="00D8028F" w:rsidRDefault="00301C35" w:rsidP="003C552A">
            <w:pPr>
              <w:spacing w:before="80" w:after="80" w:line="200" w:lineRule="exact"/>
              <w:ind w:left="57" w:right="57"/>
              <w:jc w:val="right"/>
              <w:rPr>
                <w:rFonts w:eastAsia="Times New Roman"/>
                <w:i/>
                <w:sz w:val="16"/>
                <w:szCs w:val="16"/>
              </w:rPr>
            </w:pPr>
            <w:r w:rsidRPr="00D8028F">
              <w:rPr>
                <w:rFonts w:eastAsia="Times New Roman"/>
                <w:i/>
                <w:iCs/>
                <w:sz w:val="16"/>
                <w:szCs w:val="16"/>
              </w:rPr>
              <w:t xml:space="preserve">Force d’essai mentionnée </w:t>
            </w:r>
            <w:r w:rsidRPr="00D8028F">
              <w:rPr>
                <w:rFonts w:eastAsia="Times New Roman"/>
                <w:i/>
                <w:iCs/>
                <w:sz w:val="16"/>
                <w:szCs w:val="16"/>
              </w:rPr>
              <w:br/>
              <w:t>au paragraphe</w:t>
            </w:r>
          </w:p>
        </w:tc>
      </w:tr>
      <w:tr w:rsidR="00301C35" w:rsidRPr="00D8028F" w14:paraId="2C4DB171" w14:textId="77777777" w:rsidTr="000225B7">
        <w:trPr>
          <w:tblHeader/>
        </w:trPr>
        <w:tc>
          <w:tcPr>
            <w:tcW w:w="2061" w:type="dxa"/>
            <w:vMerge/>
            <w:tcBorders>
              <w:top w:val="single" w:sz="12" w:space="0" w:color="auto"/>
              <w:left w:val="single" w:sz="2" w:space="0" w:color="auto"/>
              <w:bottom w:val="single" w:sz="12" w:space="0" w:color="auto"/>
              <w:right w:val="single" w:sz="2" w:space="0" w:color="auto"/>
            </w:tcBorders>
            <w:shd w:val="clear" w:color="auto" w:fill="auto"/>
            <w:vAlign w:val="bottom"/>
          </w:tcPr>
          <w:p w14:paraId="2C60071E" w14:textId="77777777" w:rsidR="00301C35" w:rsidRPr="00D8028F" w:rsidRDefault="00301C35" w:rsidP="003C552A">
            <w:pPr>
              <w:spacing w:before="80" w:after="80" w:line="200" w:lineRule="exact"/>
              <w:ind w:left="57" w:right="57"/>
              <w:rPr>
                <w:rFonts w:eastAsia="Times New Roman"/>
                <w:i/>
                <w:sz w:val="16"/>
                <w:szCs w:val="16"/>
              </w:rPr>
            </w:pPr>
          </w:p>
        </w:tc>
        <w:tc>
          <w:tcPr>
            <w:tcW w:w="1061" w:type="dxa"/>
            <w:tcBorders>
              <w:top w:val="single" w:sz="2" w:space="0" w:color="auto"/>
              <w:left w:val="single" w:sz="2" w:space="0" w:color="auto"/>
              <w:bottom w:val="single" w:sz="12" w:space="0" w:color="auto"/>
              <w:right w:val="single" w:sz="2" w:space="0" w:color="auto"/>
            </w:tcBorders>
            <w:shd w:val="clear" w:color="auto" w:fill="auto"/>
            <w:vAlign w:val="bottom"/>
          </w:tcPr>
          <w:p w14:paraId="7AFDE109" w14:textId="77777777" w:rsidR="00301C35" w:rsidRPr="00D8028F" w:rsidRDefault="00301C35" w:rsidP="003C552A">
            <w:pPr>
              <w:spacing w:before="80" w:after="80" w:line="200" w:lineRule="exact"/>
              <w:ind w:left="57" w:right="57"/>
              <w:jc w:val="right"/>
              <w:rPr>
                <w:rFonts w:eastAsia="Times New Roman"/>
                <w:i/>
                <w:sz w:val="16"/>
                <w:szCs w:val="16"/>
              </w:rPr>
            </w:pPr>
            <w:r w:rsidRPr="00D8028F">
              <w:rPr>
                <w:rFonts w:eastAsia="Times New Roman"/>
                <w:i/>
                <w:iCs/>
                <w:sz w:val="16"/>
                <w:szCs w:val="16"/>
              </w:rPr>
              <w:t xml:space="preserve">Hauteur </w:t>
            </w:r>
            <w:r w:rsidRPr="00D8028F">
              <w:rPr>
                <w:rFonts w:eastAsia="Times New Roman"/>
                <w:i/>
                <w:iCs/>
                <w:sz w:val="16"/>
                <w:szCs w:val="16"/>
              </w:rPr>
              <w:br/>
              <w:t>de section</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bottom"/>
          </w:tcPr>
          <w:p w14:paraId="78AF1FFC" w14:textId="77777777" w:rsidR="00301C35" w:rsidRPr="00D8028F" w:rsidRDefault="00301C35" w:rsidP="003C552A">
            <w:pPr>
              <w:spacing w:before="80" w:after="80" w:line="200" w:lineRule="exact"/>
              <w:ind w:left="57" w:right="57"/>
              <w:jc w:val="right"/>
              <w:rPr>
                <w:rFonts w:eastAsia="Times New Roman"/>
                <w:i/>
                <w:sz w:val="16"/>
                <w:szCs w:val="16"/>
              </w:rPr>
            </w:pPr>
            <w:r w:rsidRPr="00D8028F">
              <w:rPr>
                <w:rFonts w:eastAsia="Times New Roman"/>
                <w:i/>
                <w:iCs/>
                <w:sz w:val="16"/>
                <w:szCs w:val="16"/>
              </w:rPr>
              <w:t>Garde au sol avant l’essai</w:t>
            </w:r>
          </w:p>
        </w:tc>
        <w:tc>
          <w:tcPr>
            <w:tcW w:w="1682" w:type="dxa"/>
            <w:tcBorders>
              <w:top w:val="single" w:sz="2" w:space="0" w:color="auto"/>
              <w:left w:val="single" w:sz="2" w:space="0" w:color="auto"/>
              <w:bottom w:val="single" w:sz="12" w:space="0" w:color="auto"/>
              <w:right w:val="single" w:sz="2" w:space="0" w:color="auto"/>
            </w:tcBorders>
            <w:shd w:val="clear" w:color="auto" w:fill="auto"/>
            <w:vAlign w:val="bottom"/>
          </w:tcPr>
          <w:p w14:paraId="716B015A" w14:textId="77777777" w:rsidR="00301C35" w:rsidRPr="00D8028F" w:rsidRDefault="00301C35" w:rsidP="003C552A">
            <w:pPr>
              <w:spacing w:before="80" w:after="80" w:line="200" w:lineRule="exact"/>
              <w:ind w:left="57" w:right="57"/>
              <w:jc w:val="right"/>
              <w:rPr>
                <w:rFonts w:eastAsia="Times New Roman"/>
                <w:i/>
                <w:sz w:val="16"/>
                <w:szCs w:val="16"/>
              </w:rPr>
            </w:pPr>
            <w:r w:rsidRPr="00D8028F">
              <w:rPr>
                <w:rFonts w:eastAsia="Times New Roman"/>
                <w:i/>
                <w:iCs/>
                <w:sz w:val="16"/>
                <w:szCs w:val="16"/>
              </w:rPr>
              <w:t xml:space="preserve">Distance horizontale entre l’arrière </w:t>
            </w:r>
            <w:r w:rsidRPr="00D8028F">
              <w:rPr>
                <w:rFonts w:eastAsia="Times New Roman"/>
                <w:i/>
                <w:iCs/>
                <w:sz w:val="16"/>
                <w:szCs w:val="16"/>
              </w:rPr>
              <w:br/>
              <w:t xml:space="preserve">du dispositif arrière </w:t>
            </w:r>
            <w:r w:rsidRPr="00D8028F">
              <w:rPr>
                <w:rFonts w:eastAsia="Times New Roman"/>
                <w:i/>
                <w:iCs/>
                <w:sz w:val="16"/>
                <w:szCs w:val="16"/>
              </w:rPr>
              <w:br/>
              <w:t>de protection antiencastrement et l’arrière du véhicule</w:t>
            </w:r>
          </w:p>
        </w:tc>
        <w:tc>
          <w:tcPr>
            <w:tcW w:w="1432" w:type="dxa"/>
            <w:vMerge/>
            <w:tcBorders>
              <w:top w:val="nil"/>
              <w:left w:val="single" w:sz="2" w:space="0" w:color="auto"/>
              <w:bottom w:val="single" w:sz="12" w:space="0" w:color="auto"/>
              <w:right w:val="single" w:sz="2" w:space="0" w:color="auto"/>
            </w:tcBorders>
            <w:shd w:val="clear" w:color="auto" w:fill="auto"/>
            <w:vAlign w:val="bottom"/>
          </w:tcPr>
          <w:p w14:paraId="311FCECF" w14:textId="77777777" w:rsidR="00301C35" w:rsidRPr="00D8028F" w:rsidRDefault="00301C35" w:rsidP="003C552A">
            <w:pPr>
              <w:spacing w:before="80" w:after="80" w:line="200" w:lineRule="exact"/>
              <w:ind w:left="57" w:right="57"/>
              <w:rPr>
                <w:rFonts w:eastAsia="Times New Roman"/>
                <w:i/>
                <w:sz w:val="16"/>
                <w:szCs w:val="16"/>
              </w:rPr>
            </w:pPr>
          </w:p>
        </w:tc>
      </w:tr>
      <w:tr w:rsidR="00301C35" w:rsidRPr="00D8028F" w14:paraId="14D2AEAF" w14:textId="77777777" w:rsidTr="000225B7">
        <w:tc>
          <w:tcPr>
            <w:tcW w:w="2061" w:type="dxa"/>
            <w:tcBorders>
              <w:top w:val="single" w:sz="12" w:space="0" w:color="auto"/>
              <w:left w:val="single" w:sz="2" w:space="0" w:color="auto"/>
              <w:bottom w:val="single" w:sz="2" w:space="0" w:color="auto"/>
              <w:right w:val="single" w:sz="2" w:space="0" w:color="auto"/>
            </w:tcBorders>
            <w:shd w:val="clear" w:color="auto" w:fill="auto"/>
          </w:tcPr>
          <w:p w14:paraId="3B9D1883" w14:textId="77777777" w:rsidR="00301C35" w:rsidRPr="00D8028F" w:rsidRDefault="00301C35" w:rsidP="003C552A">
            <w:pPr>
              <w:spacing w:before="40" w:after="40" w:line="220" w:lineRule="atLeast"/>
              <w:ind w:left="57" w:right="57"/>
              <w:rPr>
                <w:rFonts w:eastAsia="Times New Roman"/>
                <w:sz w:val="18"/>
                <w:szCs w:val="18"/>
              </w:rPr>
            </w:pPr>
            <w:r w:rsidRPr="00D8028F">
              <w:rPr>
                <w:rFonts w:eastAsia="Times New Roman"/>
                <w:sz w:val="18"/>
              </w:rPr>
              <w:t xml:space="preserve">M, </w:t>
            </w:r>
            <w:r w:rsidRPr="00D8028F">
              <w:rPr>
                <w:rFonts w:eastAsia="Times New Roman"/>
                <w:bCs/>
                <w:sz w:val="18"/>
              </w:rPr>
              <w:t>MG</w:t>
            </w:r>
            <w:r w:rsidRPr="00D8028F">
              <w:rPr>
                <w:rFonts w:eastAsia="Times New Roman"/>
                <w:sz w:val="18"/>
              </w:rPr>
              <w:t>, N</w:t>
            </w:r>
            <w:r w:rsidRPr="00D8028F">
              <w:rPr>
                <w:rFonts w:eastAsia="Times New Roman"/>
                <w:sz w:val="18"/>
                <w:vertAlign w:val="subscript"/>
              </w:rPr>
              <w:t>1</w:t>
            </w:r>
            <w:r w:rsidRPr="00D8028F">
              <w:rPr>
                <w:rFonts w:eastAsia="Times New Roman"/>
                <w:sz w:val="18"/>
              </w:rPr>
              <w:t xml:space="preserve">, </w:t>
            </w:r>
            <w:r w:rsidRPr="00D8028F">
              <w:rPr>
                <w:rFonts w:eastAsia="Times New Roman"/>
                <w:bCs/>
                <w:sz w:val="18"/>
              </w:rPr>
              <w:t>N</w:t>
            </w:r>
            <w:r w:rsidRPr="00D8028F">
              <w:rPr>
                <w:rFonts w:eastAsia="Times New Roman"/>
                <w:bCs/>
                <w:sz w:val="18"/>
                <w:vertAlign w:val="subscript"/>
              </w:rPr>
              <w:t>1</w:t>
            </w:r>
            <w:r w:rsidRPr="00D8028F">
              <w:rPr>
                <w:rFonts w:eastAsia="Times New Roman"/>
                <w:bCs/>
                <w:sz w:val="18"/>
              </w:rPr>
              <w:t>G</w:t>
            </w:r>
            <w:r w:rsidRPr="00D8028F">
              <w:rPr>
                <w:rFonts w:eastAsia="Times New Roman"/>
                <w:sz w:val="18"/>
              </w:rPr>
              <w:t>,</w:t>
            </w:r>
            <w:r w:rsidRPr="00D8028F">
              <w:rPr>
                <w:rFonts w:eastAsia="Times New Roman"/>
                <w:bCs/>
                <w:sz w:val="18"/>
              </w:rPr>
              <w:t xml:space="preserve"> N</w:t>
            </w:r>
            <w:r w:rsidRPr="00D8028F">
              <w:rPr>
                <w:rFonts w:eastAsia="Times New Roman"/>
                <w:bCs/>
                <w:sz w:val="18"/>
                <w:vertAlign w:val="subscript"/>
              </w:rPr>
              <w:t>2</w:t>
            </w:r>
            <w:r w:rsidRPr="00D8028F">
              <w:rPr>
                <w:rFonts w:eastAsia="Times New Roman"/>
                <w:bCs/>
                <w:sz w:val="18"/>
              </w:rPr>
              <w:t xml:space="preserve"> avec un PTC* </w:t>
            </w:r>
            <w:r w:rsidRPr="00D8028F">
              <w:rPr>
                <w:rFonts w:eastAsia="Times New Roman"/>
                <w:sz w:val="18"/>
              </w:rPr>
              <w:t xml:space="preserve">&lt;8 t, </w:t>
            </w:r>
            <w:r w:rsidRPr="00D8028F">
              <w:rPr>
                <w:rFonts w:eastAsia="Times New Roman"/>
                <w:bCs/>
                <w:sz w:val="18"/>
              </w:rPr>
              <w:t>N</w:t>
            </w:r>
            <w:r w:rsidRPr="00D8028F">
              <w:rPr>
                <w:rFonts w:eastAsia="Times New Roman"/>
                <w:bCs/>
                <w:sz w:val="18"/>
                <w:vertAlign w:val="subscript"/>
              </w:rPr>
              <w:t>2</w:t>
            </w:r>
            <w:r w:rsidRPr="00D8028F">
              <w:rPr>
                <w:rFonts w:eastAsia="Times New Roman"/>
                <w:bCs/>
                <w:sz w:val="18"/>
              </w:rPr>
              <w:t xml:space="preserve">G avec un PTC* &lt;8 t, </w:t>
            </w:r>
            <w:r w:rsidRPr="00D8028F">
              <w:rPr>
                <w:rFonts w:eastAsia="Times New Roman"/>
                <w:sz w:val="18"/>
              </w:rPr>
              <w:t>O</w:t>
            </w:r>
            <w:r w:rsidRPr="00D8028F">
              <w:rPr>
                <w:rFonts w:eastAsia="Times New Roman"/>
                <w:sz w:val="18"/>
                <w:vertAlign w:val="subscript"/>
              </w:rPr>
              <w:t>1</w:t>
            </w:r>
            <w:r w:rsidRPr="00D8028F">
              <w:rPr>
                <w:rFonts w:eastAsia="Times New Roman"/>
                <w:sz w:val="18"/>
              </w:rPr>
              <w:t>, O</w:t>
            </w:r>
            <w:r w:rsidRPr="00D8028F">
              <w:rPr>
                <w:rFonts w:eastAsia="Times New Roman"/>
                <w:sz w:val="18"/>
                <w:vertAlign w:val="subscript"/>
              </w:rPr>
              <w:t>2</w:t>
            </w:r>
            <w:r w:rsidRPr="00D8028F">
              <w:rPr>
                <w:rFonts w:eastAsia="Times New Roman"/>
                <w:strike/>
                <w:sz w:val="18"/>
              </w:rPr>
              <w:t xml:space="preserve"> </w:t>
            </w:r>
          </w:p>
        </w:tc>
        <w:tc>
          <w:tcPr>
            <w:tcW w:w="1061" w:type="dxa"/>
            <w:tcBorders>
              <w:top w:val="single" w:sz="12" w:space="0" w:color="auto"/>
              <w:left w:val="single" w:sz="2" w:space="0" w:color="auto"/>
              <w:bottom w:val="single" w:sz="2" w:space="0" w:color="auto"/>
              <w:right w:val="single" w:sz="2" w:space="0" w:color="auto"/>
            </w:tcBorders>
            <w:shd w:val="clear" w:color="auto" w:fill="auto"/>
            <w:vAlign w:val="bottom"/>
          </w:tcPr>
          <w:p w14:paraId="14C238FA"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2.3/</w:t>
            </w:r>
            <w:r w:rsidRPr="00D8028F">
              <w:rPr>
                <w:rFonts w:eastAsia="Times New Roman"/>
                <w:strike/>
                <w:sz w:val="18"/>
                <w:szCs w:val="18"/>
              </w:rPr>
              <w:br/>
            </w:r>
            <w:r w:rsidRPr="00D8028F">
              <w:rPr>
                <w:rFonts w:eastAsia="Times New Roman"/>
                <w:sz w:val="18"/>
                <w:szCs w:val="18"/>
              </w:rPr>
              <w:t>7.1/25.5</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bottom"/>
          </w:tcPr>
          <w:p w14:paraId="7A108B0F"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2.3/2.4/</w:t>
            </w:r>
            <w:r w:rsidRPr="00D8028F">
              <w:rPr>
                <w:rFonts w:eastAsia="Times New Roman"/>
                <w:sz w:val="18"/>
                <w:szCs w:val="18"/>
              </w:rPr>
              <w:br/>
              <w:t>16.2/25.2</w:t>
            </w:r>
          </w:p>
        </w:tc>
        <w:tc>
          <w:tcPr>
            <w:tcW w:w="1682" w:type="dxa"/>
            <w:tcBorders>
              <w:top w:val="single" w:sz="12" w:space="0" w:color="auto"/>
              <w:left w:val="single" w:sz="2" w:space="0" w:color="auto"/>
              <w:bottom w:val="single" w:sz="2" w:space="0" w:color="auto"/>
              <w:right w:val="single" w:sz="2" w:space="0" w:color="auto"/>
            </w:tcBorders>
            <w:shd w:val="clear" w:color="auto" w:fill="auto"/>
            <w:vAlign w:val="bottom"/>
          </w:tcPr>
          <w:p w14:paraId="67B3C026"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2.3/</w:t>
            </w:r>
            <w:r w:rsidRPr="00D8028F">
              <w:rPr>
                <w:rFonts w:eastAsia="Times New Roman"/>
                <w:strike/>
                <w:sz w:val="18"/>
                <w:szCs w:val="18"/>
              </w:rPr>
              <w:br/>
            </w:r>
            <w:r w:rsidRPr="00D8028F">
              <w:rPr>
                <w:rFonts w:eastAsia="Times New Roman"/>
                <w:sz w:val="18"/>
                <w:szCs w:val="18"/>
              </w:rPr>
              <w:t>16.4/25.3</w:t>
            </w:r>
          </w:p>
        </w:tc>
        <w:tc>
          <w:tcPr>
            <w:tcW w:w="1432" w:type="dxa"/>
            <w:tcBorders>
              <w:top w:val="single" w:sz="12" w:space="0" w:color="auto"/>
              <w:left w:val="single" w:sz="2" w:space="0" w:color="auto"/>
              <w:bottom w:val="single" w:sz="2" w:space="0" w:color="auto"/>
              <w:right w:val="single" w:sz="2" w:space="0" w:color="auto"/>
            </w:tcBorders>
            <w:shd w:val="clear" w:color="auto" w:fill="auto"/>
            <w:vAlign w:val="bottom"/>
          </w:tcPr>
          <w:p w14:paraId="75DF5BD3"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2.3/</w:t>
            </w:r>
            <w:r w:rsidRPr="00D8028F">
              <w:rPr>
                <w:rFonts w:eastAsia="Times New Roman"/>
                <w:sz w:val="18"/>
                <w:szCs w:val="18"/>
              </w:rPr>
              <w:br/>
              <w:t>A5/3.1.1 à 3.1.2</w:t>
            </w:r>
          </w:p>
        </w:tc>
      </w:tr>
      <w:tr w:rsidR="00301C35" w:rsidRPr="00D8028F" w14:paraId="07FEC472" w14:textId="77777777" w:rsidTr="000225B7">
        <w:tc>
          <w:tcPr>
            <w:tcW w:w="2061" w:type="dxa"/>
            <w:tcBorders>
              <w:top w:val="single" w:sz="2" w:space="0" w:color="auto"/>
              <w:left w:val="single" w:sz="2" w:space="0" w:color="auto"/>
              <w:bottom w:val="single" w:sz="2" w:space="0" w:color="auto"/>
              <w:right w:val="single" w:sz="2" w:space="0" w:color="auto"/>
            </w:tcBorders>
            <w:shd w:val="clear" w:color="auto" w:fill="auto"/>
          </w:tcPr>
          <w:p w14:paraId="71841AF4" w14:textId="77777777" w:rsidR="00301C35" w:rsidRPr="00D8028F" w:rsidRDefault="00301C35" w:rsidP="003C552A">
            <w:pPr>
              <w:spacing w:before="40" w:after="40" w:line="220" w:lineRule="atLeast"/>
              <w:ind w:left="57" w:right="57"/>
              <w:rPr>
                <w:rFonts w:eastAsia="Times New Roman"/>
                <w:sz w:val="18"/>
                <w:szCs w:val="18"/>
              </w:rPr>
            </w:pPr>
            <w:r w:rsidRPr="00D8028F">
              <w:rPr>
                <w:rFonts w:eastAsia="Times New Roman"/>
                <w:sz w:val="18"/>
              </w:rPr>
              <w:t>N</w:t>
            </w:r>
            <w:r w:rsidRPr="00D8028F">
              <w:rPr>
                <w:rFonts w:eastAsia="Times New Roman"/>
                <w:sz w:val="18"/>
                <w:vertAlign w:val="subscript"/>
              </w:rPr>
              <w:t>2</w:t>
            </w:r>
            <w:r w:rsidRPr="00D8028F">
              <w:rPr>
                <w:rFonts w:eastAsia="Times New Roman"/>
                <w:sz w:val="18"/>
              </w:rPr>
              <w:t xml:space="preserve"> avec un PTC* &gt;8 t</w:t>
            </w:r>
            <w:r w:rsidRPr="00D8028F">
              <w:rPr>
                <w:rFonts w:eastAsia="Times New Roman"/>
                <w:bCs/>
                <w:sz w:val="18"/>
              </w:rPr>
              <w:t>, N</w:t>
            </w:r>
            <w:r w:rsidRPr="00D8028F">
              <w:rPr>
                <w:rFonts w:eastAsia="Times New Roman"/>
                <w:bCs/>
                <w:sz w:val="18"/>
                <w:vertAlign w:val="subscript"/>
              </w:rPr>
              <w:t>2</w:t>
            </w:r>
            <w:r w:rsidRPr="00D8028F">
              <w:rPr>
                <w:rFonts w:eastAsia="Times New Roman"/>
                <w:bCs/>
                <w:sz w:val="18"/>
              </w:rPr>
              <w:t>G avec un PTC* &gt;8 t,</w:t>
            </w:r>
            <w:r w:rsidRPr="00D8028F">
              <w:rPr>
                <w:rFonts w:eastAsia="Times New Roman"/>
                <w:sz w:val="18"/>
              </w:rPr>
              <w:t xml:space="preserve"> N</w:t>
            </w:r>
            <w:r w:rsidRPr="00D8028F">
              <w:rPr>
                <w:rFonts w:eastAsia="Times New Roman"/>
                <w:sz w:val="18"/>
                <w:vertAlign w:val="subscript"/>
              </w:rPr>
              <w:t>3</w:t>
            </w:r>
            <w:r w:rsidRPr="00D8028F">
              <w:rPr>
                <w:rFonts w:eastAsia="Times New Roman"/>
                <w:bCs/>
                <w:sz w:val="18"/>
              </w:rPr>
              <w:t>, N</w:t>
            </w:r>
            <w:r w:rsidRPr="00D8028F">
              <w:rPr>
                <w:rFonts w:eastAsia="Times New Roman"/>
                <w:bCs/>
                <w:sz w:val="18"/>
                <w:vertAlign w:val="subscript"/>
              </w:rPr>
              <w:t>3</w:t>
            </w:r>
            <w:r w:rsidRPr="00D8028F">
              <w:rPr>
                <w:rFonts w:eastAsia="Times New Roman"/>
                <w:bCs/>
                <w:sz w:val="18"/>
              </w:rPr>
              <w:t>G</w:t>
            </w:r>
          </w:p>
        </w:tc>
        <w:tc>
          <w:tcPr>
            <w:tcW w:w="1061" w:type="dxa"/>
            <w:tcBorders>
              <w:top w:val="single" w:sz="2" w:space="0" w:color="auto"/>
              <w:left w:val="single" w:sz="2" w:space="0" w:color="auto"/>
              <w:bottom w:val="single" w:sz="2" w:space="0" w:color="auto"/>
              <w:right w:val="single" w:sz="2" w:space="0" w:color="auto"/>
            </w:tcBorders>
            <w:shd w:val="clear" w:color="auto" w:fill="auto"/>
            <w:vAlign w:val="bottom"/>
          </w:tcPr>
          <w:p w14:paraId="740B095C"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7.1 ou 25.5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14:paraId="6672FF09"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2.4/</w:t>
            </w:r>
            <w:r w:rsidRPr="00D8028F">
              <w:rPr>
                <w:rFonts w:eastAsia="Times New Roman"/>
                <w:sz w:val="18"/>
                <w:szCs w:val="18"/>
              </w:rPr>
              <w:br/>
              <w:t>16.1 ou 25.1</w:t>
            </w:r>
          </w:p>
        </w:tc>
        <w:tc>
          <w:tcPr>
            <w:tcW w:w="1682" w:type="dxa"/>
            <w:tcBorders>
              <w:top w:val="single" w:sz="2" w:space="0" w:color="auto"/>
              <w:left w:val="single" w:sz="2" w:space="0" w:color="auto"/>
              <w:bottom w:val="single" w:sz="2" w:space="0" w:color="auto"/>
              <w:right w:val="single" w:sz="2" w:space="0" w:color="auto"/>
            </w:tcBorders>
            <w:shd w:val="clear" w:color="auto" w:fill="auto"/>
            <w:vAlign w:val="bottom"/>
          </w:tcPr>
          <w:p w14:paraId="64AEFCC5"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16.4 ou 25.3</w:t>
            </w:r>
          </w:p>
        </w:tc>
        <w:tc>
          <w:tcPr>
            <w:tcW w:w="1432" w:type="dxa"/>
            <w:tcBorders>
              <w:top w:val="single" w:sz="2" w:space="0" w:color="auto"/>
              <w:left w:val="single" w:sz="2" w:space="0" w:color="auto"/>
              <w:bottom w:val="single" w:sz="2" w:space="0" w:color="auto"/>
              <w:right w:val="single" w:sz="2" w:space="0" w:color="auto"/>
            </w:tcBorders>
            <w:shd w:val="clear" w:color="auto" w:fill="auto"/>
            <w:vAlign w:val="bottom"/>
          </w:tcPr>
          <w:p w14:paraId="2823FF1D"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A5/3.1.1 à 3.1.2</w:t>
            </w:r>
          </w:p>
        </w:tc>
      </w:tr>
      <w:tr w:rsidR="00301C35" w:rsidRPr="00D8028F" w14:paraId="102F0F7F" w14:textId="77777777" w:rsidTr="000225B7">
        <w:tc>
          <w:tcPr>
            <w:tcW w:w="2061" w:type="dxa"/>
            <w:tcBorders>
              <w:top w:val="single" w:sz="2" w:space="0" w:color="auto"/>
              <w:left w:val="single" w:sz="2" w:space="0" w:color="auto"/>
              <w:bottom w:val="single" w:sz="2" w:space="0" w:color="auto"/>
              <w:right w:val="single" w:sz="2" w:space="0" w:color="auto"/>
            </w:tcBorders>
            <w:shd w:val="clear" w:color="auto" w:fill="auto"/>
          </w:tcPr>
          <w:p w14:paraId="53C2F2C6" w14:textId="77777777" w:rsidR="00301C35" w:rsidRPr="00D8028F" w:rsidRDefault="00301C35" w:rsidP="003C552A">
            <w:pPr>
              <w:spacing w:before="40" w:after="40" w:line="220" w:lineRule="atLeast"/>
              <w:ind w:left="57" w:right="57"/>
              <w:rPr>
                <w:rFonts w:eastAsia="Times New Roman"/>
                <w:sz w:val="18"/>
                <w:szCs w:val="18"/>
              </w:rPr>
            </w:pPr>
            <w:r w:rsidRPr="00D8028F">
              <w:rPr>
                <w:rFonts w:eastAsia="Times New Roman"/>
                <w:sz w:val="18"/>
                <w:szCs w:val="18"/>
              </w:rPr>
              <w:t>O</w:t>
            </w:r>
            <w:r w:rsidRPr="00D8028F">
              <w:rPr>
                <w:rFonts w:eastAsia="Times New Roman"/>
                <w:sz w:val="18"/>
                <w:szCs w:val="18"/>
                <w:vertAlign w:val="subscript"/>
              </w:rPr>
              <w:t>3</w:t>
            </w:r>
            <w:r w:rsidRPr="00D8028F">
              <w:rPr>
                <w:rFonts w:eastAsia="Times New Roman"/>
                <w:sz w:val="18"/>
                <w:szCs w:val="18"/>
              </w:rPr>
              <w:t>, O</w:t>
            </w:r>
            <w:r w:rsidRPr="00D8028F">
              <w:rPr>
                <w:rFonts w:eastAsia="Times New Roman"/>
                <w:sz w:val="18"/>
                <w:szCs w:val="18"/>
                <w:vertAlign w:val="subscript"/>
              </w:rPr>
              <w:t>4</w:t>
            </w:r>
          </w:p>
        </w:tc>
        <w:tc>
          <w:tcPr>
            <w:tcW w:w="1061" w:type="dxa"/>
            <w:tcBorders>
              <w:top w:val="single" w:sz="2" w:space="0" w:color="auto"/>
              <w:left w:val="single" w:sz="2" w:space="0" w:color="auto"/>
              <w:bottom w:val="single" w:sz="2" w:space="0" w:color="auto"/>
              <w:right w:val="single" w:sz="2" w:space="0" w:color="auto"/>
            </w:tcBorders>
            <w:shd w:val="clear" w:color="auto" w:fill="auto"/>
            <w:vAlign w:val="bottom"/>
          </w:tcPr>
          <w:p w14:paraId="78E879F5"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7.1 ou 25.5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14:paraId="099B98A7"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16.1/16.2 ou 25.1/25.2</w:t>
            </w:r>
          </w:p>
        </w:tc>
        <w:tc>
          <w:tcPr>
            <w:tcW w:w="1682" w:type="dxa"/>
            <w:tcBorders>
              <w:top w:val="single" w:sz="2" w:space="0" w:color="auto"/>
              <w:left w:val="single" w:sz="2" w:space="0" w:color="auto"/>
              <w:bottom w:val="single" w:sz="2" w:space="0" w:color="auto"/>
              <w:right w:val="single" w:sz="2" w:space="0" w:color="auto"/>
            </w:tcBorders>
            <w:shd w:val="clear" w:color="auto" w:fill="auto"/>
            <w:vAlign w:val="bottom"/>
          </w:tcPr>
          <w:p w14:paraId="313C00D5"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16.4 ou 25.3</w:t>
            </w:r>
          </w:p>
        </w:tc>
        <w:tc>
          <w:tcPr>
            <w:tcW w:w="1432" w:type="dxa"/>
            <w:tcBorders>
              <w:top w:val="single" w:sz="2" w:space="0" w:color="auto"/>
              <w:left w:val="single" w:sz="2" w:space="0" w:color="auto"/>
              <w:bottom w:val="single" w:sz="2" w:space="0" w:color="auto"/>
              <w:right w:val="single" w:sz="2" w:space="0" w:color="auto"/>
            </w:tcBorders>
            <w:shd w:val="clear" w:color="auto" w:fill="auto"/>
            <w:vAlign w:val="bottom"/>
          </w:tcPr>
          <w:p w14:paraId="65F8ADC3"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A5/3.1.1 à 3.1.2</w:t>
            </w:r>
          </w:p>
        </w:tc>
      </w:tr>
      <w:tr w:rsidR="00301C35" w:rsidRPr="00D8028F" w14:paraId="4D568645" w14:textId="77777777" w:rsidTr="000225B7">
        <w:tc>
          <w:tcPr>
            <w:tcW w:w="2061" w:type="dxa"/>
            <w:tcBorders>
              <w:top w:val="single" w:sz="2" w:space="0" w:color="auto"/>
              <w:left w:val="single" w:sz="2" w:space="0" w:color="auto"/>
              <w:bottom w:val="single" w:sz="12" w:space="0" w:color="auto"/>
              <w:right w:val="single" w:sz="2" w:space="0" w:color="auto"/>
            </w:tcBorders>
            <w:shd w:val="clear" w:color="auto" w:fill="auto"/>
          </w:tcPr>
          <w:p w14:paraId="78724610" w14:textId="77777777" w:rsidR="00301C35" w:rsidRPr="00D8028F" w:rsidRDefault="00301C35" w:rsidP="003C552A">
            <w:pPr>
              <w:spacing w:before="40" w:after="40" w:line="220" w:lineRule="atLeast"/>
              <w:ind w:left="57" w:right="57"/>
              <w:rPr>
                <w:rFonts w:eastAsia="Times New Roman"/>
                <w:sz w:val="18"/>
                <w:szCs w:val="18"/>
              </w:rPr>
            </w:pPr>
            <w:r w:rsidRPr="00D8028F">
              <w:rPr>
                <w:rFonts w:eastAsia="Times New Roman"/>
                <w:sz w:val="18"/>
                <w:szCs w:val="18"/>
              </w:rPr>
              <w:t>Véhicules spéciaux (voir</w:t>
            </w:r>
            <w:r w:rsidR="000225B7">
              <w:rPr>
                <w:rFonts w:eastAsia="Times New Roman"/>
                <w:sz w:val="18"/>
                <w:szCs w:val="18"/>
              </w:rPr>
              <w:t> </w:t>
            </w:r>
            <w:r w:rsidRPr="00D8028F">
              <w:rPr>
                <w:rFonts w:eastAsia="Times New Roman"/>
                <w:sz w:val="18"/>
                <w:szCs w:val="18"/>
              </w:rPr>
              <w:t>annexe 6)</w:t>
            </w:r>
          </w:p>
        </w:tc>
        <w:tc>
          <w:tcPr>
            <w:tcW w:w="1061" w:type="dxa"/>
            <w:tcBorders>
              <w:top w:val="single" w:sz="2" w:space="0" w:color="auto"/>
              <w:left w:val="single" w:sz="2" w:space="0" w:color="auto"/>
              <w:bottom w:val="single" w:sz="12" w:space="0" w:color="auto"/>
              <w:right w:val="single" w:sz="2" w:space="0" w:color="auto"/>
            </w:tcBorders>
            <w:shd w:val="clear" w:color="auto" w:fill="auto"/>
            <w:vAlign w:val="bottom"/>
          </w:tcPr>
          <w:p w14:paraId="52F6C63A"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7.1 ou 25.5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bottom"/>
          </w:tcPr>
          <w:p w14:paraId="601F86FF"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16.1/16.2 ou 25.1/25.2</w:t>
            </w:r>
          </w:p>
        </w:tc>
        <w:tc>
          <w:tcPr>
            <w:tcW w:w="1682" w:type="dxa"/>
            <w:tcBorders>
              <w:top w:val="single" w:sz="2" w:space="0" w:color="auto"/>
              <w:left w:val="single" w:sz="2" w:space="0" w:color="auto"/>
              <w:bottom w:val="single" w:sz="12" w:space="0" w:color="auto"/>
              <w:right w:val="single" w:sz="2" w:space="0" w:color="auto"/>
            </w:tcBorders>
            <w:shd w:val="clear" w:color="auto" w:fill="auto"/>
            <w:vAlign w:val="bottom"/>
          </w:tcPr>
          <w:p w14:paraId="348ABC01"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16.4 ou 25.3</w:t>
            </w:r>
          </w:p>
        </w:tc>
        <w:tc>
          <w:tcPr>
            <w:tcW w:w="1432" w:type="dxa"/>
            <w:tcBorders>
              <w:top w:val="single" w:sz="2" w:space="0" w:color="auto"/>
              <w:left w:val="single" w:sz="2" w:space="0" w:color="auto"/>
              <w:bottom w:val="single" w:sz="12" w:space="0" w:color="auto"/>
              <w:right w:val="single" w:sz="2" w:space="0" w:color="auto"/>
            </w:tcBorders>
            <w:shd w:val="clear" w:color="auto" w:fill="auto"/>
            <w:vAlign w:val="bottom"/>
          </w:tcPr>
          <w:p w14:paraId="495B4442" w14:textId="77777777" w:rsidR="00301C35" w:rsidRPr="00D8028F" w:rsidRDefault="00301C35" w:rsidP="003C552A">
            <w:pPr>
              <w:spacing w:before="40" w:after="40" w:line="220" w:lineRule="atLeast"/>
              <w:ind w:left="57" w:right="57"/>
              <w:jc w:val="right"/>
              <w:rPr>
                <w:rFonts w:eastAsia="Times New Roman"/>
                <w:sz w:val="18"/>
                <w:szCs w:val="18"/>
              </w:rPr>
            </w:pPr>
            <w:r w:rsidRPr="00D8028F">
              <w:rPr>
                <w:rFonts w:eastAsia="Times New Roman"/>
                <w:sz w:val="18"/>
                <w:szCs w:val="18"/>
              </w:rPr>
              <w:t>A5/3.1.3</w:t>
            </w:r>
          </w:p>
        </w:tc>
      </w:tr>
    </w:tbl>
    <w:p w14:paraId="0B69ED4C" w14:textId="77777777" w:rsidR="00301C35" w:rsidRPr="00D8028F" w:rsidRDefault="00301C35" w:rsidP="00301C35">
      <w:pPr>
        <w:spacing w:before="120" w:line="220" w:lineRule="atLeast"/>
        <w:ind w:left="1134" w:right="1134" w:firstLine="170"/>
        <w:rPr>
          <w:i/>
          <w:sz w:val="18"/>
          <w:szCs w:val="18"/>
        </w:rPr>
      </w:pPr>
      <w:r w:rsidRPr="00D8028F">
        <w:rPr>
          <w:sz w:val="18"/>
          <w:szCs w:val="18"/>
        </w:rPr>
        <w:t>* PTC = poids total en charge.</w:t>
      </w:r>
    </w:p>
    <w:p w14:paraId="79C1231F" w14:textId="77777777" w:rsidR="00301C35" w:rsidRPr="000225B7" w:rsidRDefault="00301C35" w:rsidP="000225B7">
      <w:pPr>
        <w:spacing w:after="120" w:line="220" w:lineRule="atLeast"/>
        <w:ind w:left="1134" w:right="1134" w:firstLine="170"/>
        <w:rPr>
          <w:rFonts w:eastAsia="Times New Roman"/>
        </w:rPr>
      </w:pPr>
      <w:r w:rsidRPr="00D8028F">
        <w:rPr>
          <w:rFonts w:eastAsia="Times New Roman"/>
          <w:i/>
          <w:sz w:val="18"/>
          <w:szCs w:val="18"/>
        </w:rPr>
        <w:t>Note</w:t>
      </w:r>
      <w:r>
        <w:rPr>
          <w:rFonts w:eastAsia="Times New Roman"/>
          <w:sz w:val="18"/>
          <w:szCs w:val="18"/>
        </w:rPr>
        <w:t> :</w:t>
      </w:r>
      <w:r w:rsidRPr="00D8028F">
        <w:rPr>
          <w:rFonts w:eastAsia="Times New Roman"/>
          <w:sz w:val="18"/>
          <w:szCs w:val="18"/>
        </w:rPr>
        <w:t xml:space="preserve"> Une référence comme par exemple A5/3.1.1 dans le tableau renvoie à l’annexe (annexe 5) et au paragraphe (3.1.1) de cette annexe, où le véhicule en question est décrit ou la prescription énoncée. Une référence comme par exemple 2.3 dans le tableau renvoie au paragraphe (2.3) du présent Règlement dans lequel la prescription pertinente est énoncée. </w:t>
      </w:r>
      <w:r w:rsidRPr="000225B7">
        <w:rPr>
          <w:rFonts w:eastAsia="Times New Roman"/>
        </w:rPr>
        <w:t>».</w:t>
      </w:r>
    </w:p>
    <w:p w14:paraId="016D440B" w14:textId="77777777" w:rsidR="00F9573C" w:rsidRPr="00301C35" w:rsidRDefault="00301C35" w:rsidP="000225B7">
      <w:pPr>
        <w:pStyle w:val="SingleTxtG"/>
        <w:spacing w:after="0" w:line="180" w:lineRule="atLeast"/>
        <w:jc w:val="center"/>
        <w:rPr>
          <w:u w:val="single"/>
        </w:rPr>
      </w:pPr>
      <w:r>
        <w:rPr>
          <w:u w:val="single"/>
        </w:rPr>
        <w:tab/>
      </w:r>
      <w:r>
        <w:rPr>
          <w:u w:val="single"/>
        </w:rPr>
        <w:tab/>
      </w:r>
      <w:r>
        <w:rPr>
          <w:u w:val="single"/>
        </w:rPr>
        <w:tab/>
      </w:r>
    </w:p>
    <w:sectPr w:rsidR="00F9573C" w:rsidRPr="00301C35" w:rsidSect="001C1D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FA5A" w14:textId="77777777" w:rsidR="003C4FE9" w:rsidRDefault="003C4FE9" w:rsidP="00F95C08">
      <w:pPr>
        <w:spacing w:line="240" w:lineRule="auto"/>
      </w:pPr>
    </w:p>
  </w:endnote>
  <w:endnote w:type="continuationSeparator" w:id="0">
    <w:p w14:paraId="27AEA66A" w14:textId="77777777" w:rsidR="003C4FE9" w:rsidRPr="00AC3823" w:rsidRDefault="003C4FE9" w:rsidP="00AC3823">
      <w:pPr>
        <w:pStyle w:val="Footer"/>
      </w:pPr>
    </w:p>
  </w:endnote>
  <w:endnote w:type="continuationNotice" w:id="1">
    <w:p w14:paraId="287788A8" w14:textId="77777777" w:rsidR="003C4FE9" w:rsidRDefault="003C4F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B83A" w14:textId="77777777" w:rsidR="001C1DE7" w:rsidRPr="001C1DE7" w:rsidRDefault="001C1DE7" w:rsidP="001C1DE7">
    <w:pPr>
      <w:pStyle w:val="Footer"/>
      <w:tabs>
        <w:tab w:val="right" w:pos="9638"/>
      </w:tabs>
    </w:pPr>
    <w:r w:rsidRPr="001C1DE7">
      <w:rPr>
        <w:b/>
        <w:sz w:val="18"/>
      </w:rPr>
      <w:fldChar w:fldCharType="begin"/>
    </w:r>
    <w:r w:rsidRPr="001C1DE7">
      <w:rPr>
        <w:b/>
        <w:sz w:val="18"/>
      </w:rPr>
      <w:instrText xml:space="preserve"> PAGE  \* MERGEFORMAT </w:instrText>
    </w:r>
    <w:r w:rsidRPr="001C1DE7">
      <w:rPr>
        <w:b/>
        <w:sz w:val="18"/>
      </w:rPr>
      <w:fldChar w:fldCharType="separate"/>
    </w:r>
    <w:r w:rsidRPr="001C1DE7">
      <w:rPr>
        <w:b/>
        <w:noProof/>
        <w:sz w:val="18"/>
      </w:rPr>
      <w:t>2</w:t>
    </w:r>
    <w:r w:rsidRPr="001C1DE7">
      <w:rPr>
        <w:b/>
        <w:sz w:val="18"/>
      </w:rPr>
      <w:fldChar w:fldCharType="end"/>
    </w:r>
    <w:r>
      <w:rPr>
        <w:b/>
        <w:sz w:val="18"/>
      </w:rPr>
      <w:tab/>
    </w:r>
    <w:r>
      <w:t>GE.19-14305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0565" w14:textId="77777777" w:rsidR="001C1DE7" w:rsidRPr="001C1DE7" w:rsidRDefault="001C1DE7" w:rsidP="001C1DE7">
    <w:pPr>
      <w:pStyle w:val="Footer"/>
      <w:tabs>
        <w:tab w:val="right" w:pos="9638"/>
      </w:tabs>
      <w:rPr>
        <w:b/>
        <w:sz w:val="18"/>
      </w:rPr>
    </w:pPr>
    <w:r>
      <w:t>GE.19-14305</w:t>
    </w:r>
    <w:r>
      <w:tab/>
    </w:r>
    <w:r w:rsidRPr="001C1DE7">
      <w:rPr>
        <w:b/>
        <w:sz w:val="18"/>
      </w:rPr>
      <w:fldChar w:fldCharType="begin"/>
    </w:r>
    <w:r w:rsidRPr="001C1DE7">
      <w:rPr>
        <w:b/>
        <w:sz w:val="18"/>
      </w:rPr>
      <w:instrText xml:space="preserve"> PAGE  \* MERGEFORMAT </w:instrText>
    </w:r>
    <w:r w:rsidRPr="001C1DE7">
      <w:rPr>
        <w:b/>
        <w:sz w:val="18"/>
      </w:rPr>
      <w:fldChar w:fldCharType="separate"/>
    </w:r>
    <w:r w:rsidRPr="001C1DE7">
      <w:rPr>
        <w:b/>
        <w:noProof/>
        <w:sz w:val="18"/>
      </w:rPr>
      <w:t>3</w:t>
    </w:r>
    <w:r w:rsidRPr="001C1D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2858" w14:textId="77777777" w:rsidR="007F20FA" w:rsidRPr="001C1DE7" w:rsidRDefault="001C1DE7" w:rsidP="001C1DE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AF1C8C7" wp14:editId="58B068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14305  (</w:t>
    </w:r>
    <w:proofErr w:type="gramEnd"/>
    <w:r>
      <w:rPr>
        <w:sz w:val="20"/>
      </w:rPr>
      <w:t>F)    130919    270919</w:t>
    </w:r>
    <w:r>
      <w:rPr>
        <w:sz w:val="20"/>
      </w:rPr>
      <w:br/>
    </w:r>
    <w:r w:rsidRPr="001C1DE7">
      <w:rPr>
        <w:rFonts w:ascii="C39T30Lfz" w:hAnsi="C39T30Lfz"/>
        <w:sz w:val="56"/>
      </w:rPr>
      <w:t></w:t>
    </w:r>
    <w:r w:rsidRPr="001C1DE7">
      <w:rPr>
        <w:rFonts w:ascii="C39T30Lfz" w:hAnsi="C39T30Lfz"/>
        <w:sz w:val="56"/>
      </w:rPr>
      <w:t></w:t>
    </w:r>
    <w:r w:rsidRPr="001C1DE7">
      <w:rPr>
        <w:rFonts w:ascii="C39T30Lfz" w:hAnsi="C39T30Lfz"/>
        <w:sz w:val="56"/>
      </w:rPr>
      <w:t></w:t>
    </w:r>
    <w:r w:rsidRPr="001C1DE7">
      <w:rPr>
        <w:rFonts w:ascii="C39T30Lfz" w:hAnsi="C39T30Lfz"/>
        <w:sz w:val="56"/>
      </w:rPr>
      <w:t></w:t>
    </w:r>
    <w:r w:rsidRPr="001C1DE7">
      <w:rPr>
        <w:rFonts w:ascii="C39T30Lfz" w:hAnsi="C39T30Lfz"/>
        <w:sz w:val="56"/>
      </w:rPr>
      <w:t></w:t>
    </w:r>
    <w:r w:rsidRPr="001C1DE7">
      <w:rPr>
        <w:rFonts w:ascii="C39T30Lfz" w:hAnsi="C39T30Lfz"/>
        <w:sz w:val="56"/>
      </w:rPr>
      <w:t></w:t>
    </w:r>
    <w:r w:rsidRPr="001C1DE7">
      <w:rPr>
        <w:rFonts w:ascii="C39T30Lfz" w:hAnsi="C39T30Lfz"/>
        <w:sz w:val="56"/>
      </w:rPr>
      <w:t></w:t>
    </w:r>
    <w:r w:rsidRPr="001C1DE7">
      <w:rPr>
        <w:rFonts w:ascii="C39T30Lfz" w:hAnsi="C39T30Lfz"/>
        <w:sz w:val="56"/>
      </w:rPr>
      <w:t></w:t>
    </w:r>
    <w:r w:rsidRPr="001C1DE7">
      <w:rPr>
        <w:rFonts w:ascii="C39T30Lfz" w:hAnsi="C39T30Lfz"/>
        <w:sz w:val="56"/>
      </w:rPr>
      <w:t></w:t>
    </w:r>
    <w:r>
      <w:rPr>
        <w:noProof/>
        <w:sz w:val="20"/>
      </w:rPr>
      <w:drawing>
        <wp:anchor distT="0" distB="0" distL="114300" distR="114300" simplePos="0" relativeHeight="251658240" behindDoc="0" locked="0" layoutInCell="1" allowOverlap="1" wp14:anchorId="02A64AED" wp14:editId="409517B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9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9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86F9" w14:textId="77777777" w:rsidR="003C4FE9" w:rsidRPr="00AC3823" w:rsidRDefault="003C4FE9" w:rsidP="00AC3823">
      <w:pPr>
        <w:pStyle w:val="Footer"/>
        <w:tabs>
          <w:tab w:val="right" w:pos="2155"/>
        </w:tabs>
        <w:spacing w:after="80" w:line="240" w:lineRule="atLeast"/>
        <w:ind w:left="680"/>
        <w:rPr>
          <w:u w:val="single"/>
        </w:rPr>
      </w:pPr>
      <w:r>
        <w:rPr>
          <w:u w:val="single"/>
        </w:rPr>
        <w:tab/>
      </w:r>
    </w:p>
  </w:footnote>
  <w:footnote w:type="continuationSeparator" w:id="0">
    <w:p w14:paraId="0D0A3F72" w14:textId="77777777" w:rsidR="003C4FE9" w:rsidRPr="00AC3823" w:rsidRDefault="003C4FE9" w:rsidP="00AC3823">
      <w:pPr>
        <w:pStyle w:val="Footer"/>
        <w:tabs>
          <w:tab w:val="right" w:pos="2155"/>
        </w:tabs>
        <w:spacing w:after="80" w:line="240" w:lineRule="atLeast"/>
        <w:ind w:left="680"/>
        <w:rPr>
          <w:u w:val="single"/>
        </w:rPr>
      </w:pPr>
      <w:r>
        <w:rPr>
          <w:u w:val="single"/>
        </w:rPr>
        <w:tab/>
      </w:r>
    </w:p>
  </w:footnote>
  <w:footnote w:type="continuationNotice" w:id="1">
    <w:p w14:paraId="32165AC8" w14:textId="77777777" w:rsidR="003C4FE9" w:rsidRPr="00AC3823" w:rsidRDefault="003C4FE9">
      <w:pPr>
        <w:spacing w:line="240" w:lineRule="auto"/>
        <w:rPr>
          <w:sz w:val="2"/>
          <w:szCs w:val="2"/>
        </w:rPr>
      </w:pPr>
    </w:p>
  </w:footnote>
  <w:footnote w:id="2">
    <w:p w14:paraId="32BB1150" w14:textId="77777777" w:rsidR="00301C35" w:rsidRPr="00301C35" w:rsidRDefault="00301C35" w:rsidP="00301C35">
      <w:pPr>
        <w:pStyle w:val="FootnoteText"/>
      </w:pPr>
      <w:r w:rsidRPr="00301C35">
        <w:rPr>
          <w:rStyle w:val="FootnoteReference"/>
          <w:vertAlign w:val="baseline"/>
        </w:rPr>
        <w:tab/>
      </w:r>
      <w:r w:rsidRPr="00301C35">
        <w:rPr>
          <w:rStyle w:val="FootnoteReference"/>
          <w:sz w:val="20"/>
          <w:vertAlign w:val="baseline"/>
        </w:rPr>
        <w:t>*</w:t>
      </w:r>
      <w:r w:rsidRPr="00301C35">
        <w:rPr>
          <w:rStyle w:val="FootnoteReference"/>
          <w:sz w:val="20"/>
          <w:vertAlign w:val="baseline"/>
        </w:rPr>
        <w:tab/>
      </w:r>
      <w:r w:rsidRPr="00301C35">
        <w:rPr>
          <w:spacing w:val="-1"/>
        </w:rPr>
        <w:t>Conformément au programme de travail du Comité des transports intérieurs pour la période 2018</w:t>
      </w:r>
      <w:r w:rsidRPr="00301C35">
        <w:rPr>
          <w:spacing w:val="-1"/>
        </w:rPr>
        <w:noBreakHyphen/>
        <w:t>2019</w:t>
      </w:r>
      <w:r w:rsidRPr="00301C35">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9728" w14:textId="1F0BC6CC" w:rsidR="001C1DE7" w:rsidRPr="001C1DE7" w:rsidRDefault="009D7A63">
    <w:pPr>
      <w:pStyle w:val="Header"/>
    </w:pPr>
    <w:fldSimple w:instr=" TITLE  \* MERGEFORMAT ">
      <w:r w:rsidR="00845BBA">
        <w:t>ECE/TRANS/WP.29/2019/97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44C7" w14:textId="315AB51B" w:rsidR="001C1DE7" w:rsidRPr="001C1DE7" w:rsidRDefault="009D7A63" w:rsidP="001C1DE7">
    <w:pPr>
      <w:pStyle w:val="Header"/>
      <w:jc w:val="right"/>
    </w:pPr>
    <w:fldSimple w:instr=" TITLE  \* MERGEFORMAT ">
      <w:r w:rsidR="00845BBA">
        <w:t>ECE/TRANS/WP.29/2019/97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9"/>
    <w:rsid w:val="00017F94"/>
    <w:rsid w:val="000225B7"/>
    <w:rsid w:val="00023842"/>
    <w:rsid w:val="000334F9"/>
    <w:rsid w:val="00045FEB"/>
    <w:rsid w:val="0007796D"/>
    <w:rsid w:val="000B7790"/>
    <w:rsid w:val="00111F2F"/>
    <w:rsid w:val="0014365E"/>
    <w:rsid w:val="00143C66"/>
    <w:rsid w:val="00176178"/>
    <w:rsid w:val="001C1DE7"/>
    <w:rsid w:val="001F525A"/>
    <w:rsid w:val="00223272"/>
    <w:rsid w:val="0024779E"/>
    <w:rsid w:val="00257168"/>
    <w:rsid w:val="002744B8"/>
    <w:rsid w:val="002832AC"/>
    <w:rsid w:val="002D7C93"/>
    <w:rsid w:val="00301C35"/>
    <w:rsid w:val="00305801"/>
    <w:rsid w:val="003916DE"/>
    <w:rsid w:val="003C4FE9"/>
    <w:rsid w:val="00421996"/>
    <w:rsid w:val="00441C3B"/>
    <w:rsid w:val="00446FE5"/>
    <w:rsid w:val="00452396"/>
    <w:rsid w:val="004837D8"/>
    <w:rsid w:val="004E2EED"/>
    <w:rsid w:val="004E468C"/>
    <w:rsid w:val="005505B7"/>
    <w:rsid w:val="00573BE5"/>
    <w:rsid w:val="00586ED3"/>
    <w:rsid w:val="00596AA9"/>
    <w:rsid w:val="0071601D"/>
    <w:rsid w:val="007A62E6"/>
    <w:rsid w:val="007D7369"/>
    <w:rsid w:val="007F20FA"/>
    <w:rsid w:val="0080684C"/>
    <w:rsid w:val="008275D1"/>
    <w:rsid w:val="00845BBA"/>
    <w:rsid w:val="00871C75"/>
    <w:rsid w:val="008776DC"/>
    <w:rsid w:val="009446C0"/>
    <w:rsid w:val="009705C8"/>
    <w:rsid w:val="009C1CF4"/>
    <w:rsid w:val="009D7A63"/>
    <w:rsid w:val="009F6B74"/>
    <w:rsid w:val="00A3029F"/>
    <w:rsid w:val="00A30353"/>
    <w:rsid w:val="00A43333"/>
    <w:rsid w:val="00AC3823"/>
    <w:rsid w:val="00AE323C"/>
    <w:rsid w:val="00AF0CB5"/>
    <w:rsid w:val="00B00181"/>
    <w:rsid w:val="00B00B0D"/>
    <w:rsid w:val="00B041A7"/>
    <w:rsid w:val="00B439CB"/>
    <w:rsid w:val="00B45F2E"/>
    <w:rsid w:val="00B765F7"/>
    <w:rsid w:val="00BA0CA9"/>
    <w:rsid w:val="00C02897"/>
    <w:rsid w:val="00C80335"/>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B03A3"/>
    <w:rsid w:val="00FE55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448EB"/>
  <w15:docId w15:val="{677BCB20-4353-4907-B29B-FF3B635D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ECE/TRANS/WP.29/2019/97</vt:lpstr>
      <vt:lpstr>ECE/TRANS/WP.29/2019/97</vt:lpstr>
    </vt:vector>
  </TitlesOfParts>
  <Company>DCM</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ECE/TRANS/WP.29/2019/97</dc:title>
  <dc:subject/>
  <dc:creator>Nicolas MORIN</dc:creator>
  <cp:keywords/>
  <cp:lastModifiedBy>Marie-Claude Collet</cp:lastModifiedBy>
  <cp:revision>3</cp:revision>
  <cp:lastPrinted>2019-10-01T12:31:00Z</cp:lastPrinted>
  <dcterms:created xsi:type="dcterms:W3CDTF">2019-10-01T12:31:00Z</dcterms:created>
  <dcterms:modified xsi:type="dcterms:W3CDTF">2019-10-01T12:31:00Z</dcterms:modified>
</cp:coreProperties>
</file>