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3595E"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33595E" w:rsidRDefault="00510FF8" w:rsidP="00510FF8">
            <w:pPr>
              <w:jc w:val="right"/>
            </w:pPr>
            <w:r w:rsidRPr="0033595E">
              <w:rPr>
                <w:sz w:val="40"/>
              </w:rPr>
              <w:t>ECE</w:t>
            </w:r>
            <w:r w:rsidRPr="0033595E">
              <w:t>/TRANS/WP.29/2019/</w:t>
            </w:r>
            <w:r w:rsidR="0033595E" w:rsidRPr="0033595E">
              <w:t>7</w:t>
            </w:r>
            <w:r w:rsidR="0031100B">
              <w:t>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10FF8" w:rsidP="00510FF8">
            <w:pPr>
              <w:spacing w:before="240" w:line="240" w:lineRule="exact"/>
            </w:pPr>
            <w:r>
              <w:t>Distr.: General</w:t>
            </w:r>
          </w:p>
          <w:p w:rsidR="00510FF8" w:rsidRDefault="00A7067A" w:rsidP="00510FF8">
            <w:pPr>
              <w:spacing w:line="240" w:lineRule="exact"/>
            </w:pPr>
            <w:r>
              <w:t>3</w:t>
            </w:r>
            <w:r w:rsidR="00E63D94">
              <w:t xml:space="preserve"> September</w:t>
            </w:r>
            <w:r w:rsidR="00510FF8">
              <w:t xml:space="preserve"> 2019</w:t>
            </w:r>
          </w:p>
          <w:p w:rsidR="00510FF8" w:rsidRDefault="00510FF8" w:rsidP="00510FF8">
            <w:pPr>
              <w:spacing w:line="240" w:lineRule="exact"/>
            </w:pPr>
          </w:p>
          <w:p w:rsidR="00510FF8" w:rsidRDefault="00510FF8" w:rsidP="00510FF8">
            <w:pPr>
              <w:spacing w:line="240" w:lineRule="exact"/>
            </w:pPr>
            <w:r>
              <w:t>Original: English</w:t>
            </w:r>
          </w:p>
        </w:tc>
      </w:tr>
    </w:tbl>
    <w:p w:rsidR="00510FF8" w:rsidRPr="007C7AC6" w:rsidRDefault="00510FF8" w:rsidP="00510FF8">
      <w:pPr>
        <w:spacing w:before="120"/>
        <w:rPr>
          <w:b/>
          <w:sz w:val="28"/>
          <w:szCs w:val="28"/>
        </w:rPr>
      </w:pPr>
      <w:r w:rsidRPr="007C7AC6">
        <w:rPr>
          <w:b/>
          <w:sz w:val="28"/>
          <w:szCs w:val="28"/>
        </w:rPr>
        <w:t>Economic Commission for Europe</w:t>
      </w:r>
    </w:p>
    <w:p w:rsidR="00510FF8" w:rsidRPr="007C7AC6" w:rsidRDefault="00510FF8" w:rsidP="00510FF8">
      <w:pPr>
        <w:spacing w:before="120"/>
        <w:rPr>
          <w:sz w:val="28"/>
          <w:szCs w:val="28"/>
        </w:rPr>
      </w:pPr>
      <w:r w:rsidRPr="007C7AC6">
        <w:rPr>
          <w:sz w:val="28"/>
          <w:szCs w:val="28"/>
        </w:rPr>
        <w:t>Inland Transport Committee</w:t>
      </w:r>
    </w:p>
    <w:p w:rsidR="00510FF8" w:rsidRPr="007C7AC6" w:rsidRDefault="00510FF8" w:rsidP="00510FF8">
      <w:pPr>
        <w:spacing w:before="120"/>
        <w:rPr>
          <w:b/>
          <w:sz w:val="24"/>
          <w:szCs w:val="24"/>
        </w:rPr>
      </w:pPr>
      <w:r w:rsidRPr="007C7AC6">
        <w:rPr>
          <w:b/>
          <w:sz w:val="24"/>
          <w:szCs w:val="24"/>
        </w:rPr>
        <w:t>World Forum for Harmonization of Vehicle Regulations</w:t>
      </w:r>
    </w:p>
    <w:p w:rsidR="00510FF8" w:rsidRDefault="00510FF8" w:rsidP="00510FF8">
      <w:pPr>
        <w:tabs>
          <w:tab w:val="center" w:pos="4819"/>
        </w:tabs>
        <w:spacing w:before="120"/>
        <w:rPr>
          <w:b/>
          <w:lang w:val="en-US"/>
        </w:rPr>
      </w:pPr>
      <w:r>
        <w:rPr>
          <w:b/>
          <w:lang w:val="en-US"/>
        </w:rPr>
        <w:t>179th session</w:t>
      </w:r>
    </w:p>
    <w:p w:rsidR="00510FF8" w:rsidRDefault="00510FF8" w:rsidP="00510FF8">
      <w:pPr>
        <w:rPr>
          <w:lang w:val="en-US"/>
        </w:rPr>
      </w:pPr>
      <w:r>
        <w:rPr>
          <w:lang w:val="en-US"/>
        </w:rPr>
        <w:t>Geneva, 12-1</w:t>
      </w:r>
      <w:r w:rsidR="00EE35EB">
        <w:rPr>
          <w:lang w:val="en-US"/>
        </w:rPr>
        <w:t>4</w:t>
      </w:r>
      <w:r>
        <w:rPr>
          <w:lang w:val="en-US"/>
        </w:rPr>
        <w:t xml:space="preserve"> November 2019</w:t>
      </w:r>
    </w:p>
    <w:p w:rsidR="00510FF8" w:rsidRPr="0033595E" w:rsidRDefault="00510FF8" w:rsidP="00510FF8">
      <w:r w:rsidRPr="0033595E">
        <w:t>Item 4.</w:t>
      </w:r>
      <w:r w:rsidR="00023E43">
        <w:t>5</w:t>
      </w:r>
      <w:r w:rsidRPr="0033595E">
        <w:t xml:space="preserve"> of the provisional agenda</w:t>
      </w:r>
    </w:p>
    <w:p w:rsidR="00510FF8" w:rsidRPr="0033595E" w:rsidRDefault="00510FF8" w:rsidP="00AB7CB1">
      <w:pPr>
        <w:rPr>
          <w:b/>
        </w:rPr>
      </w:pPr>
      <w:r w:rsidRPr="0033595E">
        <w:rPr>
          <w:b/>
        </w:rPr>
        <w:t>1958 Agreement:</w:t>
      </w:r>
      <w:r w:rsidRPr="0033595E">
        <w:rPr>
          <w:b/>
        </w:rPr>
        <w:br/>
      </w:r>
      <w:r w:rsidR="00831446">
        <w:rPr>
          <w:b/>
          <w:bCs/>
        </w:rPr>
        <w:t>d</w:t>
      </w:r>
      <w:r w:rsidR="00023E43" w:rsidRPr="00023E43">
        <w:rPr>
          <w:b/>
          <w:bCs/>
        </w:rPr>
        <w:t xml:space="preserve">evelopment of an electronic database for the exchange </w:t>
      </w:r>
      <w:r w:rsidR="00023E43" w:rsidRPr="00023E43">
        <w:rPr>
          <w:b/>
          <w:bCs/>
        </w:rPr>
        <w:br/>
        <w:t>of type approval documentation (DETA)</w:t>
      </w:r>
    </w:p>
    <w:p w:rsidR="00510FF8" w:rsidRPr="0033595E" w:rsidRDefault="00510FF8" w:rsidP="00DB192C">
      <w:pPr>
        <w:pStyle w:val="HChG"/>
        <w:jc w:val="both"/>
        <w:rPr>
          <w:bCs/>
          <w:szCs w:val="28"/>
        </w:rPr>
      </w:pPr>
      <w:r w:rsidRPr="0033595E">
        <w:tab/>
      </w:r>
      <w:r w:rsidRPr="0033595E">
        <w:tab/>
      </w:r>
      <w:r w:rsidR="00F11943" w:rsidRPr="0033595E">
        <w:t xml:space="preserve">Proposal for </w:t>
      </w:r>
      <w:r w:rsidR="00A94FA5">
        <w:t>specifications and application guidelines for the Declaration of Conformity (</w:t>
      </w:r>
      <w:proofErr w:type="spellStart"/>
      <w:r w:rsidR="00A94FA5">
        <w:t>DoC</w:t>
      </w:r>
      <w:proofErr w:type="spellEnd"/>
      <w:r w:rsidR="00A94FA5">
        <w:t>) module</w:t>
      </w:r>
    </w:p>
    <w:p w:rsidR="00510FF8" w:rsidRPr="0033595E" w:rsidRDefault="00510FF8" w:rsidP="00510FF8">
      <w:pPr>
        <w:pStyle w:val="H1G"/>
      </w:pPr>
      <w:r w:rsidRPr="0033595E">
        <w:tab/>
      </w:r>
      <w:r w:rsidRPr="0033595E">
        <w:tab/>
        <w:t xml:space="preserve">Submitted by the experts from the </w:t>
      </w:r>
      <w:r w:rsidR="00AB7CB1" w:rsidRPr="0033595E">
        <w:t xml:space="preserve">Informal Working Group on </w:t>
      </w:r>
      <w:r w:rsidR="00F11943" w:rsidRPr="0033595E">
        <w:t>Database of the Exchange of Type Approval documentation</w:t>
      </w:r>
      <w:r w:rsidRPr="0033595E">
        <w:rPr>
          <w:rStyle w:val="FootnoteReference"/>
          <w:b w:val="0"/>
          <w:sz w:val="20"/>
          <w:vertAlign w:val="baseline"/>
          <w:lang w:val="en-US"/>
        </w:rPr>
        <w:footnoteReference w:customMarkFollows="1" w:id="2"/>
        <w:t>*</w:t>
      </w:r>
    </w:p>
    <w:p w:rsidR="00510FF8" w:rsidRPr="007C7AC6" w:rsidRDefault="00510FF8" w:rsidP="00510FF8">
      <w:pPr>
        <w:spacing w:line="250" w:lineRule="auto"/>
        <w:ind w:left="1246" w:right="1192" w:firstLine="569"/>
        <w:jc w:val="both"/>
      </w:pPr>
      <w:r w:rsidRPr="0033595E">
        <w:rPr>
          <w:lang w:val="en-US"/>
        </w:rPr>
        <w:t xml:space="preserve">The text reproduced below was </w:t>
      </w:r>
      <w:r w:rsidR="00DB192C" w:rsidRPr="0033595E">
        <w:rPr>
          <w:lang w:val="en-US"/>
        </w:rPr>
        <w:t xml:space="preserve">presented </w:t>
      </w:r>
      <w:r w:rsidRPr="0033595E">
        <w:rPr>
          <w:lang w:val="en-US"/>
        </w:rPr>
        <w:t xml:space="preserve">by the </w:t>
      </w:r>
      <w:r w:rsidR="00DB192C" w:rsidRPr="0033595E">
        <w:t xml:space="preserve">Informal Working Group on </w:t>
      </w:r>
      <w:r w:rsidR="00F11943" w:rsidRPr="0033595E">
        <w:t xml:space="preserve">Database of the Exchange of Type Approval documentation </w:t>
      </w:r>
      <w:r w:rsidR="00DB192C" w:rsidRPr="0033595E">
        <w:t>(</w:t>
      </w:r>
      <w:r w:rsidR="00F11943" w:rsidRPr="0033595E">
        <w:t>DETA</w:t>
      </w:r>
      <w:r w:rsidR="00DB192C" w:rsidRPr="0033595E">
        <w:t>)</w:t>
      </w:r>
      <w:r w:rsidRPr="0033595E">
        <w:rPr>
          <w:lang w:val="en-US"/>
        </w:rPr>
        <w:t xml:space="preserve"> </w:t>
      </w:r>
      <w:r w:rsidR="00DB192C" w:rsidRPr="0033595E">
        <w:rPr>
          <w:lang w:val="en-US"/>
        </w:rPr>
        <w:t xml:space="preserve">to WP.29 at its 178th session </w:t>
      </w:r>
      <w:r w:rsidRPr="0033595E">
        <w:rPr>
          <w:lang w:val="en-US"/>
        </w:rPr>
        <w:t>(ECE/TRANS/WP.29/</w:t>
      </w:r>
      <w:r w:rsidR="00B40DC3" w:rsidRPr="0033595E">
        <w:rPr>
          <w:lang w:val="en-US"/>
        </w:rPr>
        <w:t>1147</w:t>
      </w:r>
      <w:r w:rsidRPr="0033595E">
        <w:rPr>
          <w:lang w:val="en-US"/>
        </w:rPr>
        <w:t>, para</w:t>
      </w:r>
      <w:r w:rsidRPr="00EE7C07">
        <w:rPr>
          <w:lang w:val="en-US"/>
        </w:rPr>
        <w:t xml:space="preserve">. </w:t>
      </w:r>
      <w:r w:rsidR="0033595E">
        <w:rPr>
          <w:lang w:val="en-US"/>
        </w:rPr>
        <w:t>85</w:t>
      </w:r>
      <w:r>
        <w:rPr>
          <w:lang w:val="en-US"/>
        </w:rPr>
        <w:t xml:space="preserve">). It is </w:t>
      </w:r>
      <w:r w:rsidRPr="00EE7C07">
        <w:rPr>
          <w:lang w:val="en-US"/>
        </w:rPr>
        <w:t>based on</w:t>
      </w:r>
      <w:r>
        <w:rPr>
          <w:lang w:val="en-US"/>
        </w:rPr>
        <w:t xml:space="preserve"> </w:t>
      </w:r>
      <w:r w:rsidR="00DB192C">
        <w:rPr>
          <w:lang w:val="en-US"/>
        </w:rPr>
        <w:t>WP29-178-</w:t>
      </w:r>
      <w:r w:rsidR="00F11943">
        <w:rPr>
          <w:lang w:val="en-US"/>
        </w:rPr>
        <w:t>2</w:t>
      </w:r>
      <w:r w:rsidR="00023E43">
        <w:rPr>
          <w:lang w:val="en-US"/>
        </w:rPr>
        <w:t xml:space="preserve">5 and </w:t>
      </w:r>
      <w:r w:rsidR="00023E43">
        <w:rPr>
          <w:lang w:val="en-US"/>
        </w:rPr>
        <w:br/>
        <w:t>WP.29-178-26/Rev.1</w:t>
      </w:r>
      <w:r>
        <w:rPr>
          <w:lang w:val="en-US"/>
        </w:rPr>
        <w:t xml:space="preserve">. </w:t>
      </w:r>
      <w:r w:rsidRPr="008405E4">
        <w:rPr>
          <w:lang w:val="en-US"/>
        </w:rPr>
        <w:t xml:space="preserve">It is submitted to the World Forum for Harmonization of Vehicle Regulations (WP.29) for consideration at </w:t>
      </w:r>
      <w:r w:rsidR="00EE35EB">
        <w:rPr>
          <w:lang w:val="en-US"/>
        </w:rPr>
        <w:t>its</w:t>
      </w:r>
      <w:r w:rsidRPr="008405E4">
        <w:rPr>
          <w:lang w:val="en-US"/>
        </w:rPr>
        <w:t xml:space="preserve"> </w:t>
      </w:r>
      <w:r>
        <w:rPr>
          <w:lang w:val="en-US"/>
        </w:rPr>
        <w:t xml:space="preserve">November </w:t>
      </w:r>
      <w:r w:rsidRPr="008405E4">
        <w:rPr>
          <w:lang w:val="en-US"/>
        </w:rPr>
        <w:t>201</w:t>
      </w:r>
      <w:r>
        <w:rPr>
          <w:lang w:val="en-US"/>
        </w:rPr>
        <w:t>9</w:t>
      </w:r>
      <w:r w:rsidRPr="008405E4">
        <w:rPr>
          <w:lang w:val="en-US"/>
        </w:rPr>
        <w:t xml:space="preserve"> session.</w:t>
      </w:r>
    </w:p>
    <w:p w:rsidR="00510FF8" w:rsidRDefault="00510FF8" w:rsidP="00510FF8">
      <w:pPr>
        <w:pStyle w:val="HChG"/>
      </w:pPr>
      <w:r w:rsidRPr="007C7AC6">
        <w:br w:type="page"/>
      </w:r>
    </w:p>
    <w:p w:rsidR="00845907" w:rsidRDefault="00845907" w:rsidP="008A74DC">
      <w:pPr>
        <w:pStyle w:val="HChG"/>
      </w:pPr>
      <w:r>
        <w:lastRenderedPageBreak/>
        <w:tab/>
        <w:t>I.</w:t>
      </w:r>
      <w:r>
        <w:tab/>
        <w:t>Document of Conformance</w:t>
      </w:r>
      <w:r w:rsidR="00A94FA5">
        <w:t xml:space="preserve"> module</w:t>
      </w:r>
    </w:p>
    <w:p w:rsidR="00845907" w:rsidRDefault="00845907" w:rsidP="00E63D94">
      <w:pPr>
        <w:pStyle w:val="H1G"/>
      </w:pPr>
      <w:r>
        <w:tab/>
        <w:t>A.</w:t>
      </w:r>
      <w:r>
        <w:tab/>
        <w:t>Specification of the Document of Conformance functions in DETA</w:t>
      </w:r>
    </w:p>
    <w:p w:rsidR="00845907" w:rsidRDefault="00845907" w:rsidP="00845907">
      <w:pPr>
        <w:pStyle w:val="SingleTxtG"/>
        <w:rPr>
          <w:lang w:val="en-US"/>
        </w:rPr>
      </w:pPr>
      <w:r>
        <w:rPr>
          <w:lang w:val="en-US"/>
        </w:rPr>
        <w:t>1.</w:t>
      </w:r>
      <w:r>
        <w:rPr>
          <w:lang w:val="en-US"/>
        </w:rPr>
        <w:tab/>
        <w:t>The Declaration of Conformity will be provided in XML and RTF format.</w:t>
      </w:r>
    </w:p>
    <w:p w:rsidR="00845907" w:rsidRDefault="00845907" w:rsidP="00845907">
      <w:pPr>
        <w:pStyle w:val="SingleTxtG"/>
        <w:rPr>
          <w:lang w:val="en-US"/>
        </w:rPr>
      </w:pPr>
      <w:r>
        <w:rPr>
          <w:lang w:val="en-US"/>
        </w:rPr>
        <w:t>2.</w:t>
      </w:r>
      <w:r>
        <w:rPr>
          <w:lang w:val="en-US"/>
        </w:rPr>
        <w:tab/>
        <w:t>For the XML format, an XML Schema Definition file (XSD) as part of the delivery package</w:t>
      </w:r>
      <w:r w:rsidR="005F76A9">
        <w:rPr>
          <w:lang w:val="en-US"/>
        </w:rPr>
        <w:t xml:space="preserve"> will be provided</w:t>
      </w:r>
      <w:r>
        <w:rPr>
          <w:lang w:val="en-US"/>
        </w:rPr>
        <w:t>.</w:t>
      </w:r>
    </w:p>
    <w:p w:rsidR="00845907" w:rsidRDefault="00845907" w:rsidP="00845907">
      <w:pPr>
        <w:pStyle w:val="SingleTxtG"/>
        <w:rPr>
          <w:lang w:val="en-US"/>
        </w:rPr>
      </w:pPr>
      <w:r>
        <w:rPr>
          <w:lang w:val="en-US"/>
        </w:rPr>
        <w:t>3.</w:t>
      </w:r>
      <w:r>
        <w:rPr>
          <w:lang w:val="en-US"/>
        </w:rPr>
        <w:tab/>
        <w:t xml:space="preserve">The </w:t>
      </w:r>
      <w:proofErr w:type="spellStart"/>
      <w:r>
        <w:rPr>
          <w:lang w:val="en-US"/>
        </w:rPr>
        <w:t>DoC</w:t>
      </w:r>
      <w:proofErr w:type="spellEnd"/>
      <w:r>
        <w:rPr>
          <w:lang w:val="en-US"/>
        </w:rPr>
        <w:t xml:space="preserve"> in RTF format will conform to the example from …</w:t>
      </w:r>
    </w:p>
    <w:p w:rsidR="00845907" w:rsidRDefault="00845907" w:rsidP="00845907">
      <w:pPr>
        <w:pStyle w:val="SingleTxtG"/>
        <w:rPr>
          <w:lang w:val="en-US"/>
        </w:rPr>
      </w:pPr>
      <w:r>
        <w:rPr>
          <w:lang w:val="en-US"/>
        </w:rPr>
        <w:t>4.</w:t>
      </w:r>
      <w:r>
        <w:rPr>
          <w:lang w:val="en-US"/>
        </w:rPr>
        <w:tab/>
        <w:t>In both the XML and RTF format, the version number and the last change date of the data for the requested VIN will be included (as XML data or document footer, respectively).</w:t>
      </w:r>
    </w:p>
    <w:p w:rsidR="00845907" w:rsidRDefault="00845907" w:rsidP="00845907">
      <w:pPr>
        <w:pStyle w:val="SingleTxtG"/>
      </w:pPr>
      <w:r>
        <w:t>5.</w:t>
      </w:r>
      <w:r>
        <w:tab/>
        <w:t>Content</w:t>
      </w:r>
    </w:p>
    <w:p w:rsidR="00845907" w:rsidRDefault="00845907" w:rsidP="00845907">
      <w:pPr>
        <w:pStyle w:val="SingleTxtG"/>
        <w:rPr>
          <w:lang w:val="en-US"/>
        </w:rPr>
      </w:pPr>
      <w:r>
        <w:tab/>
        <w:t>5.1.</w:t>
      </w:r>
      <w:r>
        <w:tab/>
      </w:r>
      <w:r>
        <w:rPr>
          <w:lang w:val="en-US"/>
        </w:rPr>
        <w:t xml:space="preserve">The </w:t>
      </w:r>
      <w:proofErr w:type="spellStart"/>
      <w:r>
        <w:rPr>
          <w:lang w:val="en-US"/>
        </w:rPr>
        <w:t>DoC</w:t>
      </w:r>
      <w:proofErr w:type="spellEnd"/>
      <w:r>
        <w:rPr>
          <w:lang w:val="en-US"/>
        </w:rPr>
        <w:t xml:space="preserve"> will contain the following data fields: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2453"/>
        <w:gridCol w:w="2398"/>
      </w:tblGrid>
      <w:tr w:rsidR="00845907" w:rsidRPr="00845907" w:rsidTr="00845907">
        <w:trPr>
          <w:tblHeader/>
        </w:trPr>
        <w:tc>
          <w:tcPr>
            <w:tcW w:w="2519" w:type="dxa"/>
            <w:tcBorders>
              <w:top w:val="single" w:sz="4" w:space="0" w:color="auto"/>
              <w:bottom w:val="single" w:sz="12" w:space="0" w:color="auto"/>
            </w:tcBorders>
            <w:shd w:val="clear" w:color="auto" w:fill="auto"/>
            <w:vAlign w:val="bottom"/>
          </w:tcPr>
          <w:p w:rsidR="00845907" w:rsidRPr="00845907" w:rsidRDefault="00845907" w:rsidP="00845907">
            <w:pPr>
              <w:suppressAutoHyphens w:val="0"/>
              <w:spacing w:before="80" w:after="80" w:line="200" w:lineRule="exact"/>
              <w:rPr>
                <w:i/>
                <w:sz w:val="16"/>
                <w:lang w:val="en-US"/>
              </w:rPr>
            </w:pPr>
            <w:r w:rsidRPr="00845907">
              <w:rPr>
                <w:i/>
                <w:sz w:val="16"/>
                <w:lang w:val="en-US"/>
              </w:rPr>
              <w:t>Data field</w:t>
            </w:r>
          </w:p>
        </w:tc>
        <w:tc>
          <w:tcPr>
            <w:tcW w:w="2453" w:type="dxa"/>
            <w:tcBorders>
              <w:top w:val="single" w:sz="4" w:space="0" w:color="auto"/>
              <w:bottom w:val="single" w:sz="12" w:space="0" w:color="auto"/>
            </w:tcBorders>
            <w:shd w:val="clear" w:color="auto" w:fill="auto"/>
            <w:vAlign w:val="bottom"/>
          </w:tcPr>
          <w:p w:rsidR="00845907" w:rsidRPr="00845907" w:rsidRDefault="00845907" w:rsidP="00845907">
            <w:pPr>
              <w:suppressAutoHyphens w:val="0"/>
              <w:spacing w:before="80" w:after="80" w:line="200" w:lineRule="exact"/>
              <w:jc w:val="right"/>
              <w:rPr>
                <w:i/>
                <w:sz w:val="16"/>
                <w:lang w:val="en-US"/>
              </w:rPr>
            </w:pPr>
            <w:r w:rsidRPr="00845907">
              <w:rPr>
                <w:i/>
                <w:sz w:val="16"/>
                <w:lang w:val="en-US"/>
              </w:rPr>
              <w:t>Data origin</w:t>
            </w:r>
          </w:p>
        </w:tc>
        <w:tc>
          <w:tcPr>
            <w:tcW w:w="2398" w:type="dxa"/>
            <w:tcBorders>
              <w:top w:val="single" w:sz="4" w:space="0" w:color="auto"/>
              <w:bottom w:val="single" w:sz="12" w:space="0" w:color="auto"/>
            </w:tcBorders>
            <w:shd w:val="clear" w:color="auto" w:fill="auto"/>
            <w:vAlign w:val="bottom"/>
          </w:tcPr>
          <w:p w:rsidR="00845907" w:rsidRPr="00845907" w:rsidRDefault="00845907" w:rsidP="00845907">
            <w:pPr>
              <w:suppressAutoHyphens w:val="0"/>
              <w:spacing w:before="80" w:after="80" w:line="200" w:lineRule="exact"/>
              <w:jc w:val="right"/>
              <w:rPr>
                <w:i/>
                <w:sz w:val="16"/>
                <w:lang w:val="en-US"/>
              </w:rPr>
            </w:pPr>
          </w:p>
        </w:tc>
      </w:tr>
      <w:tr w:rsidR="00845907" w:rsidRPr="00845907" w:rsidTr="00845907">
        <w:tc>
          <w:tcPr>
            <w:tcW w:w="2519" w:type="dxa"/>
            <w:tcBorders>
              <w:top w:val="single" w:sz="12" w:space="0" w:color="auto"/>
            </w:tcBorders>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Approval number</w:t>
            </w:r>
          </w:p>
        </w:tc>
        <w:tc>
          <w:tcPr>
            <w:tcW w:w="2453" w:type="dxa"/>
            <w:tcBorders>
              <w:top w:val="single" w:sz="12" w:space="0" w:color="auto"/>
            </w:tcBorders>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DETA approval document</w:t>
            </w:r>
          </w:p>
        </w:tc>
        <w:tc>
          <w:tcPr>
            <w:tcW w:w="2398" w:type="dxa"/>
            <w:tcBorders>
              <w:top w:val="single" w:sz="12" w:space="0" w:color="auto"/>
            </w:tcBorders>
            <w:shd w:val="clear" w:color="auto" w:fill="auto"/>
            <w:vAlign w:val="bottom"/>
          </w:tcPr>
          <w:p w:rsidR="00845907" w:rsidRPr="00845907" w:rsidRDefault="00845907" w:rsidP="00845907">
            <w:pPr>
              <w:suppressAutoHyphens w:val="0"/>
              <w:spacing w:before="40" w:after="40" w:line="220" w:lineRule="exact"/>
              <w:jc w:val="right"/>
              <w:rPr>
                <w:sz w:val="18"/>
                <w:lang w:val="en-US"/>
              </w:rPr>
            </w:pPr>
          </w:p>
        </w:tc>
      </w:tr>
      <w:tr w:rsidR="00845907" w:rsidRPr="00845907" w:rsidTr="00845907">
        <w:tc>
          <w:tcPr>
            <w:tcW w:w="2519" w:type="dxa"/>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Issue date</w:t>
            </w:r>
          </w:p>
        </w:tc>
        <w:tc>
          <w:tcPr>
            <w:tcW w:w="2453"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DETA approval document</w:t>
            </w:r>
          </w:p>
        </w:tc>
        <w:tc>
          <w:tcPr>
            <w:tcW w:w="2398"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p>
        </w:tc>
      </w:tr>
      <w:tr w:rsidR="00845907" w:rsidRPr="00845907" w:rsidTr="00845907">
        <w:tc>
          <w:tcPr>
            <w:tcW w:w="2519" w:type="dxa"/>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VIN</w:t>
            </w:r>
          </w:p>
        </w:tc>
        <w:tc>
          <w:tcPr>
            <w:tcW w:w="2453"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VIN entity</w:t>
            </w:r>
          </w:p>
        </w:tc>
        <w:tc>
          <w:tcPr>
            <w:tcW w:w="2398"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From upload</w:t>
            </w:r>
          </w:p>
        </w:tc>
      </w:tr>
      <w:tr w:rsidR="00845907" w:rsidRPr="00845907" w:rsidTr="00845907">
        <w:tc>
          <w:tcPr>
            <w:tcW w:w="2519" w:type="dxa"/>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IWVTA class</w:t>
            </w:r>
          </w:p>
        </w:tc>
        <w:tc>
          <w:tcPr>
            <w:tcW w:w="2453"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IWVTA entity</w:t>
            </w:r>
          </w:p>
        </w:tc>
        <w:tc>
          <w:tcPr>
            <w:tcW w:w="2398"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From upload</w:t>
            </w:r>
          </w:p>
        </w:tc>
      </w:tr>
      <w:tr w:rsidR="00845907" w:rsidRPr="00845907" w:rsidTr="00845907">
        <w:tc>
          <w:tcPr>
            <w:tcW w:w="2519" w:type="dxa"/>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IWVTA type</w:t>
            </w:r>
          </w:p>
        </w:tc>
        <w:tc>
          <w:tcPr>
            <w:tcW w:w="2453"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IWVTA entity</w:t>
            </w:r>
          </w:p>
        </w:tc>
        <w:tc>
          <w:tcPr>
            <w:tcW w:w="2398"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From upload</w:t>
            </w:r>
          </w:p>
        </w:tc>
      </w:tr>
      <w:tr w:rsidR="00845907" w:rsidRPr="00845907" w:rsidTr="00845907">
        <w:tc>
          <w:tcPr>
            <w:tcW w:w="2519" w:type="dxa"/>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Vehicle category</w:t>
            </w:r>
          </w:p>
        </w:tc>
        <w:tc>
          <w:tcPr>
            <w:tcW w:w="2453"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VIN entity</w:t>
            </w:r>
          </w:p>
        </w:tc>
        <w:tc>
          <w:tcPr>
            <w:tcW w:w="2398"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From upload</w:t>
            </w:r>
          </w:p>
        </w:tc>
      </w:tr>
      <w:tr w:rsidR="00845907" w:rsidRPr="00845907" w:rsidTr="00845907">
        <w:tc>
          <w:tcPr>
            <w:tcW w:w="2519" w:type="dxa"/>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Name of manufacturer</w:t>
            </w:r>
          </w:p>
        </w:tc>
        <w:tc>
          <w:tcPr>
            <w:tcW w:w="2453"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IWVTA entity</w:t>
            </w:r>
          </w:p>
        </w:tc>
        <w:tc>
          <w:tcPr>
            <w:tcW w:w="2398" w:type="dxa"/>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From upload</w:t>
            </w:r>
          </w:p>
        </w:tc>
      </w:tr>
      <w:tr w:rsidR="00845907" w:rsidRPr="00845907" w:rsidTr="00845907">
        <w:tc>
          <w:tcPr>
            <w:tcW w:w="2519" w:type="dxa"/>
            <w:tcBorders>
              <w:bottom w:val="single" w:sz="12" w:space="0" w:color="auto"/>
            </w:tcBorders>
            <w:shd w:val="clear" w:color="auto" w:fill="auto"/>
          </w:tcPr>
          <w:p w:rsidR="00845907" w:rsidRPr="00845907" w:rsidRDefault="00845907" w:rsidP="00845907">
            <w:pPr>
              <w:suppressAutoHyphens w:val="0"/>
              <w:spacing w:before="40" w:after="40" w:line="220" w:lineRule="exact"/>
              <w:rPr>
                <w:sz w:val="18"/>
                <w:lang w:val="en-US"/>
              </w:rPr>
            </w:pPr>
            <w:r w:rsidRPr="00845907">
              <w:rPr>
                <w:sz w:val="18"/>
                <w:lang w:val="en-US"/>
              </w:rPr>
              <w:t>Conformance list</w:t>
            </w:r>
          </w:p>
        </w:tc>
        <w:tc>
          <w:tcPr>
            <w:tcW w:w="2453" w:type="dxa"/>
            <w:tcBorders>
              <w:bottom w:val="single" w:sz="12" w:space="0" w:color="auto"/>
            </w:tcBorders>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IWVTA entity</w:t>
            </w:r>
          </w:p>
        </w:tc>
        <w:tc>
          <w:tcPr>
            <w:tcW w:w="2398" w:type="dxa"/>
            <w:tcBorders>
              <w:bottom w:val="single" w:sz="12" w:space="0" w:color="auto"/>
            </w:tcBorders>
            <w:shd w:val="clear" w:color="auto" w:fill="auto"/>
            <w:vAlign w:val="bottom"/>
          </w:tcPr>
          <w:p w:rsidR="00845907" w:rsidRPr="00845907" w:rsidRDefault="00845907" w:rsidP="00845907">
            <w:pPr>
              <w:suppressAutoHyphens w:val="0"/>
              <w:spacing w:before="40" w:after="40" w:line="220" w:lineRule="exact"/>
              <w:jc w:val="right"/>
              <w:rPr>
                <w:sz w:val="18"/>
                <w:lang w:val="en-US"/>
              </w:rPr>
            </w:pPr>
            <w:r w:rsidRPr="00845907">
              <w:rPr>
                <w:sz w:val="18"/>
                <w:lang w:val="en-US"/>
              </w:rPr>
              <w:t>From upload</w:t>
            </w:r>
          </w:p>
        </w:tc>
      </w:tr>
    </w:tbl>
    <w:p w:rsidR="00845907" w:rsidRDefault="00845907" w:rsidP="005F76A9">
      <w:pPr>
        <w:pStyle w:val="SingleTxtG"/>
        <w:spacing w:before="120"/>
        <w:rPr>
          <w:lang w:val="en-US"/>
        </w:rPr>
      </w:pPr>
      <w:r>
        <w:rPr>
          <w:lang w:val="en-US"/>
        </w:rPr>
        <w:t>5.2.</w:t>
      </w:r>
      <w:r>
        <w:rPr>
          <w:lang w:val="en-US"/>
        </w:rPr>
        <w:tab/>
        <w:t xml:space="preserve">The conformance list contains several items, each consisting of a UN Regulation Number and a </w:t>
      </w:r>
      <w:r w:rsidR="00797575">
        <w:rPr>
          <w:lang w:val="en-US"/>
        </w:rPr>
        <w:t>s</w:t>
      </w:r>
      <w:r>
        <w:rPr>
          <w:lang w:val="en-US"/>
        </w:rPr>
        <w:t xml:space="preserve">eries of </w:t>
      </w:r>
      <w:r w:rsidR="00797575">
        <w:rPr>
          <w:lang w:val="en-US"/>
        </w:rPr>
        <w:t>a</w:t>
      </w:r>
      <w:r>
        <w:rPr>
          <w:lang w:val="en-US"/>
        </w:rPr>
        <w:t xml:space="preserve">mendment </w:t>
      </w:r>
      <w:r w:rsidR="00797575">
        <w:rPr>
          <w:lang w:val="en-US"/>
        </w:rPr>
        <w:t>number</w:t>
      </w:r>
      <w:r>
        <w:rPr>
          <w:lang w:val="en-US"/>
        </w:rPr>
        <w:t>, which are part of the IWVTA upload.</w:t>
      </w:r>
    </w:p>
    <w:p w:rsidR="00797575" w:rsidRDefault="00797575" w:rsidP="00E63D94">
      <w:pPr>
        <w:pStyle w:val="H1G"/>
        <w:rPr>
          <w:lang w:val="en-US"/>
        </w:rPr>
      </w:pPr>
      <w:r>
        <w:rPr>
          <w:lang w:val="en-US"/>
        </w:rPr>
        <w:tab/>
        <w:t>B.</w:t>
      </w:r>
      <w:r>
        <w:rPr>
          <w:lang w:val="en-US"/>
        </w:rPr>
        <w:tab/>
        <w:t>Access</w:t>
      </w:r>
    </w:p>
    <w:p w:rsidR="00797575" w:rsidRDefault="00797575" w:rsidP="00797575">
      <w:pPr>
        <w:pStyle w:val="SingleTxtG"/>
        <w:rPr>
          <w:lang w:val="en-US"/>
        </w:rPr>
      </w:pPr>
      <w:r>
        <w:rPr>
          <w:lang w:val="en-US"/>
        </w:rPr>
        <w:t>6.</w:t>
      </w:r>
      <w:r>
        <w:rPr>
          <w:lang w:val="en-US"/>
        </w:rPr>
        <w:tab/>
        <w:t xml:space="preserve">A </w:t>
      </w:r>
      <w:proofErr w:type="spellStart"/>
      <w:r>
        <w:rPr>
          <w:lang w:val="en-US"/>
        </w:rPr>
        <w:t>DoC</w:t>
      </w:r>
      <w:proofErr w:type="spellEnd"/>
      <w:r>
        <w:rPr>
          <w:lang w:val="en-US"/>
        </w:rPr>
        <w:t xml:space="preserve"> can be accessed in two ways:</w:t>
      </w:r>
    </w:p>
    <w:p w:rsidR="00797575" w:rsidRDefault="00797575" w:rsidP="00797575">
      <w:pPr>
        <w:pStyle w:val="SingleTxtG"/>
        <w:rPr>
          <w:lang w:val="en-US"/>
        </w:rPr>
      </w:pPr>
      <w:r>
        <w:rPr>
          <w:lang w:val="en-US"/>
        </w:rPr>
        <w:t>(a)</w:t>
      </w:r>
      <w:r>
        <w:rPr>
          <w:lang w:val="en-US"/>
        </w:rPr>
        <w:tab/>
        <w:t>The DETA user interface will contain a section ‘</w:t>
      </w:r>
      <w:proofErr w:type="spellStart"/>
      <w:r>
        <w:rPr>
          <w:lang w:val="en-US"/>
        </w:rPr>
        <w:t>DoC</w:t>
      </w:r>
      <w:proofErr w:type="spellEnd"/>
      <w:r>
        <w:rPr>
          <w:lang w:val="en-US"/>
        </w:rPr>
        <w:t xml:space="preserve">’ where a user can request a </w:t>
      </w:r>
      <w:proofErr w:type="spellStart"/>
      <w:r>
        <w:rPr>
          <w:lang w:val="en-US"/>
        </w:rPr>
        <w:t>DoC</w:t>
      </w:r>
      <w:proofErr w:type="spellEnd"/>
      <w:r>
        <w:rPr>
          <w:lang w:val="en-US"/>
        </w:rPr>
        <w:t xml:space="preserve"> (in either XML or RTF format) for a VIN.</w:t>
      </w:r>
    </w:p>
    <w:p w:rsidR="00797575" w:rsidRDefault="00797575" w:rsidP="00797575">
      <w:pPr>
        <w:pStyle w:val="SingleTxtG"/>
        <w:rPr>
          <w:lang w:val="en-US"/>
        </w:rPr>
      </w:pPr>
      <w:r>
        <w:rPr>
          <w:lang w:val="en-US"/>
        </w:rPr>
        <w:t>(b)</w:t>
      </w:r>
      <w:r>
        <w:rPr>
          <w:lang w:val="en-US"/>
        </w:rPr>
        <w:tab/>
        <w:t xml:space="preserve">A Web Service will be provided to allow </w:t>
      </w:r>
      <w:proofErr w:type="spellStart"/>
      <w:r>
        <w:rPr>
          <w:lang w:val="en-US"/>
        </w:rPr>
        <w:t>DoC</w:t>
      </w:r>
      <w:proofErr w:type="spellEnd"/>
      <w:r>
        <w:rPr>
          <w:lang w:val="en-US"/>
        </w:rPr>
        <w:t xml:space="preserve"> download from outside DETA. The Web Service will provide the functionality of downloading </w:t>
      </w:r>
      <w:proofErr w:type="spellStart"/>
      <w:r>
        <w:rPr>
          <w:lang w:val="en-US"/>
        </w:rPr>
        <w:t>DoCs</w:t>
      </w:r>
      <w:proofErr w:type="spellEnd"/>
      <w:r>
        <w:rPr>
          <w:lang w:val="en-US"/>
        </w:rPr>
        <w:t xml:space="preserve"> (in either XML or RTF format) for a limited number of VIN’s provided in the Web Service request. The limitation of the number of VIN’s can be configured and depends on the technical restrictions of the installation (Network bandwidth; limitation of number of datasets ….). </w:t>
      </w:r>
      <w:r w:rsidR="005F76A9">
        <w:rPr>
          <w:lang w:val="en-US"/>
        </w:rPr>
        <w:t>T</w:t>
      </w:r>
      <w:r>
        <w:rPr>
          <w:lang w:val="en-US"/>
        </w:rPr>
        <w:t>he format of the Web Service request</w:t>
      </w:r>
      <w:r w:rsidRPr="00466694">
        <w:rPr>
          <w:lang w:val="en-US"/>
        </w:rPr>
        <w:t xml:space="preserve"> </w:t>
      </w:r>
      <w:r w:rsidR="005F76A9">
        <w:rPr>
          <w:lang w:val="en-US"/>
        </w:rPr>
        <w:t xml:space="preserve">will be provided </w:t>
      </w:r>
      <w:r w:rsidRPr="00466694">
        <w:rPr>
          <w:lang w:val="en-US"/>
        </w:rPr>
        <w:t>as part of the delivery package.</w:t>
      </w:r>
      <w:r>
        <w:rPr>
          <w:lang w:val="en-US"/>
        </w:rPr>
        <w:t xml:space="preserve"> For the access to the Download Web Service special user</w:t>
      </w:r>
      <w:r w:rsidRPr="009F3331">
        <w:rPr>
          <w:lang w:val="en-US"/>
        </w:rPr>
        <w:t xml:space="preserve"> </w:t>
      </w:r>
      <w:r>
        <w:rPr>
          <w:lang w:val="en-US"/>
        </w:rPr>
        <w:t>accounts must be used that are not permitted to access</w:t>
      </w:r>
      <w:r w:rsidRPr="009F3331">
        <w:rPr>
          <w:lang w:val="en-US"/>
        </w:rPr>
        <w:t xml:space="preserve"> </w:t>
      </w:r>
      <w:r>
        <w:rPr>
          <w:lang w:val="en-US"/>
        </w:rPr>
        <w:t>the DETA user interface</w:t>
      </w:r>
    </w:p>
    <w:p w:rsidR="00797575" w:rsidRDefault="00797575" w:rsidP="00797575">
      <w:pPr>
        <w:pStyle w:val="SingleTxtG"/>
        <w:rPr>
          <w:lang w:val="en-US"/>
        </w:rPr>
      </w:pPr>
      <w:r>
        <w:rPr>
          <w:lang w:val="en-US"/>
        </w:rPr>
        <w:t>7.</w:t>
      </w:r>
      <w:r>
        <w:rPr>
          <w:lang w:val="en-US"/>
        </w:rPr>
        <w:tab/>
        <w:t>Access rights will be defined by WP.29</w:t>
      </w:r>
    </w:p>
    <w:p w:rsidR="00797575" w:rsidRDefault="00797575" w:rsidP="00E63D94">
      <w:pPr>
        <w:pStyle w:val="H1G"/>
        <w:rPr>
          <w:lang w:val="en-US"/>
        </w:rPr>
      </w:pPr>
      <w:r>
        <w:rPr>
          <w:lang w:val="en-US"/>
        </w:rPr>
        <w:tab/>
        <w:t>C.</w:t>
      </w:r>
      <w:r>
        <w:rPr>
          <w:lang w:val="en-US"/>
        </w:rPr>
        <w:tab/>
        <w:t>Request history</w:t>
      </w:r>
    </w:p>
    <w:p w:rsidR="00797575" w:rsidRDefault="00797575" w:rsidP="00797575">
      <w:pPr>
        <w:pStyle w:val="SingleTxtG"/>
        <w:rPr>
          <w:lang w:val="en-US"/>
        </w:rPr>
      </w:pPr>
      <w:r>
        <w:rPr>
          <w:lang w:val="en-US"/>
        </w:rPr>
        <w:t>8.</w:t>
      </w:r>
      <w:r>
        <w:rPr>
          <w:lang w:val="en-US"/>
        </w:rPr>
        <w:tab/>
        <w:t xml:space="preserve">The DETA system will keep track of all downloads of </w:t>
      </w:r>
      <w:proofErr w:type="spellStart"/>
      <w:r>
        <w:rPr>
          <w:lang w:val="en-US"/>
        </w:rPr>
        <w:t>DoCs</w:t>
      </w:r>
      <w:proofErr w:type="spellEnd"/>
      <w:r>
        <w:rPr>
          <w:lang w:val="en-US"/>
        </w:rPr>
        <w:t xml:space="preserve"> using the DETA user interface or the Web Service for revision reasons. The system administrator can for example use this information in order to verify the contents of downloaded </w:t>
      </w:r>
      <w:proofErr w:type="spellStart"/>
      <w:r>
        <w:rPr>
          <w:lang w:val="en-US"/>
        </w:rPr>
        <w:t>DoCs</w:t>
      </w:r>
      <w:proofErr w:type="spellEnd"/>
      <w:r>
        <w:rPr>
          <w:lang w:val="en-US"/>
        </w:rPr>
        <w:t>.</w:t>
      </w:r>
    </w:p>
    <w:p w:rsidR="00797575" w:rsidRPr="004A535F" w:rsidRDefault="00797575" w:rsidP="00797575">
      <w:pPr>
        <w:pStyle w:val="SingleTxtG"/>
        <w:rPr>
          <w:lang w:val="en-US"/>
        </w:rPr>
      </w:pPr>
      <w:r>
        <w:rPr>
          <w:lang w:val="en-US"/>
        </w:rPr>
        <w:t>9.</w:t>
      </w:r>
      <w:r>
        <w:rPr>
          <w:lang w:val="en-US"/>
        </w:rPr>
        <w:tab/>
        <w:t xml:space="preserve">To avoid the database growing too large, the DETA system can be configured to remove request history data after some time. (Two options: </w:t>
      </w:r>
      <w:proofErr w:type="spellStart"/>
      <w:r>
        <w:rPr>
          <w:lang w:val="en-US"/>
        </w:rPr>
        <w:t>DoC</w:t>
      </w:r>
      <w:proofErr w:type="spellEnd"/>
      <w:r>
        <w:rPr>
          <w:lang w:val="en-US"/>
        </w:rPr>
        <w:t>-Document only; both)</w:t>
      </w:r>
    </w:p>
    <w:p w:rsidR="00797575" w:rsidRDefault="00797575" w:rsidP="00E63D94">
      <w:pPr>
        <w:pStyle w:val="H1G"/>
        <w:rPr>
          <w:lang w:val="en-US"/>
        </w:rPr>
      </w:pPr>
      <w:r>
        <w:rPr>
          <w:lang w:val="en-US"/>
        </w:rPr>
        <w:lastRenderedPageBreak/>
        <w:tab/>
        <w:t>D.</w:t>
      </w:r>
      <w:r>
        <w:rPr>
          <w:lang w:val="en-US"/>
        </w:rPr>
        <w:tab/>
        <w:t>Upload VIN and IWVTA</w:t>
      </w:r>
    </w:p>
    <w:p w:rsidR="00797575" w:rsidRDefault="00797575" w:rsidP="00E63D94">
      <w:pPr>
        <w:pStyle w:val="H23G"/>
        <w:rPr>
          <w:lang w:val="en-US"/>
        </w:rPr>
      </w:pPr>
      <w:r>
        <w:rPr>
          <w:lang w:val="en-US"/>
        </w:rPr>
        <w:tab/>
        <w:t>(a)</w:t>
      </w:r>
      <w:r>
        <w:rPr>
          <w:lang w:val="en-US"/>
        </w:rPr>
        <w:tab/>
        <w:t>Format</w:t>
      </w:r>
    </w:p>
    <w:p w:rsidR="00797575" w:rsidRDefault="00797575" w:rsidP="00797575">
      <w:pPr>
        <w:pStyle w:val="SingleTxtG"/>
        <w:rPr>
          <w:lang w:val="en-US"/>
        </w:rPr>
      </w:pPr>
      <w:r>
        <w:rPr>
          <w:lang w:val="en-US"/>
        </w:rPr>
        <w:t>10.</w:t>
      </w:r>
      <w:r>
        <w:rPr>
          <w:lang w:val="en-US"/>
        </w:rPr>
        <w:tab/>
        <w:t>The upload of VIN and IWVTA data to the Upload Web Service will be in XML format.</w:t>
      </w:r>
    </w:p>
    <w:p w:rsidR="00797575" w:rsidRPr="00797575" w:rsidRDefault="00797575" w:rsidP="00797575">
      <w:pPr>
        <w:pStyle w:val="SingleTxtG"/>
        <w:rPr>
          <w:lang w:val="en-US"/>
        </w:rPr>
      </w:pPr>
      <w:r>
        <w:rPr>
          <w:lang w:val="en-US"/>
        </w:rPr>
        <w:t>11.</w:t>
      </w:r>
      <w:r>
        <w:rPr>
          <w:lang w:val="en-US"/>
        </w:rPr>
        <w:tab/>
        <w:t xml:space="preserve">For this XML format, an XML Schema Definition file (XSD) </w:t>
      </w:r>
      <w:r w:rsidR="005F76A9">
        <w:rPr>
          <w:lang w:val="en-US"/>
        </w:rPr>
        <w:t xml:space="preserve">will be provided </w:t>
      </w:r>
      <w:r>
        <w:rPr>
          <w:lang w:val="en-US"/>
        </w:rPr>
        <w:t>as part of the delivery package.</w:t>
      </w:r>
    </w:p>
    <w:p w:rsidR="00797575" w:rsidRDefault="00797575" w:rsidP="00E63D94">
      <w:pPr>
        <w:pStyle w:val="H23G"/>
        <w:rPr>
          <w:lang w:val="en-US"/>
        </w:rPr>
      </w:pPr>
      <w:r>
        <w:rPr>
          <w:lang w:val="en-US"/>
        </w:rPr>
        <w:tab/>
        <w:t>(b)</w:t>
      </w:r>
      <w:r>
        <w:rPr>
          <w:lang w:val="en-US"/>
        </w:rPr>
        <w:tab/>
        <w:t>Content</w:t>
      </w:r>
    </w:p>
    <w:p w:rsidR="00797575" w:rsidRPr="00797575" w:rsidRDefault="00797575" w:rsidP="00797575">
      <w:pPr>
        <w:pStyle w:val="SingleTxtG"/>
        <w:rPr>
          <w:lang w:val="en-US"/>
        </w:rPr>
      </w:pPr>
      <w:r>
        <w:rPr>
          <w:lang w:val="en-US"/>
        </w:rPr>
        <w:t>12.</w:t>
      </w:r>
      <w:r>
        <w:rPr>
          <w:lang w:val="en-US"/>
        </w:rPr>
        <w:tab/>
      </w:r>
      <w:r w:rsidRPr="00797575">
        <w:rPr>
          <w:lang w:val="en-US"/>
        </w:rPr>
        <w:t>An upload to the Web Service may contain both IWVTA and VIN data.</w:t>
      </w:r>
    </w:p>
    <w:p w:rsidR="00797575" w:rsidRDefault="00797575" w:rsidP="00797575">
      <w:pPr>
        <w:pStyle w:val="SingleTxtG"/>
        <w:rPr>
          <w:lang w:val="en-US"/>
        </w:rPr>
      </w:pPr>
      <w:r>
        <w:rPr>
          <w:lang w:val="en-US"/>
        </w:rPr>
        <w:t>13.</w:t>
      </w:r>
      <w:r>
        <w:rPr>
          <w:lang w:val="en-US"/>
        </w:rPr>
        <w:tab/>
      </w:r>
      <w:r w:rsidRPr="00797575">
        <w:rPr>
          <w:lang w:val="en-US"/>
        </w:rPr>
        <w:t>For IWVTA, the required data fields are:</w:t>
      </w:r>
    </w:p>
    <w:p w:rsidR="00797575" w:rsidRPr="005F76A9" w:rsidRDefault="00797575" w:rsidP="005F76A9">
      <w:pPr>
        <w:pStyle w:val="ListBullet"/>
        <w:numPr>
          <w:ilvl w:val="0"/>
          <w:numId w:val="26"/>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Approval number (key field)</w:t>
      </w:r>
    </w:p>
    <w:p w:rsidR="00797575" w:rsidRPr="005F76A9" w:rsidRDefault="00797575" w:rsidP="005F76A9">
      <w:pPr>
        <w:pStyle w:val="ListBullet"/>
        <w:numPr>
          <w:ilvl w:val="0"/>
          <w:numId w:val="26"/>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IWVTA class</w:t>
      </w:r>
    </w:p>
    <w:p w:rsidR="00797575" w:rsidRPr="005F76A9" w:rsidRDefault="00797575" w:rsidP="005F76A9">
      <w:pPr>
        <w:pStyle w:val="ListBullet"/>
        <w:numPr>
          <w:ilvl w:val="0"/>
          <w:numId w:val="26"/>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IWVTA type</w:t>
      </w:r>
    </w:p>
    <w:p w:rsidR="00797575" w:rsidRPr="005F76A9" w:rsidRDefault="00797575" w:rsidP="005F76A9">
      <w:pPr>
        <w:pStyle w:val="ListBullet"/>
        <w:numPr>
          <w:ilvl w:val="0"/>
          <w:numId w:val="26"/>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Name of Manufacturer</w:t>
      </w:r>
    </w:p>
    <w:p w:rsidR="00797575" w:rsidRPr="005F76A9" w:rsidRDefault="00797575" w:rsidP="005F76A9">
      <w:pPr>
        <w:pStyle w:val="ListBullet"/>
        <w:numPr>
          <w:ilvl w:val="0"/>
          <w:numId w:val="26"/>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Conformance list (items consisting of a UN Regulation No and a series of amendment number)</w:t>
      </w:r>
    </w:p>
    <w:p w:rsidR="00797575" w:rsidRPr="005F76A9" w:rsidRDefault="00797575" w:rsidP="005F76A9">
      <w:pPr>
        <w:pStyle w:val="SingleTxtG"/>
        <w:spacing w:line="240" w:lineRule="auto"/>
        <w:rPr>
          <w:rFonts w:asciiTheme="majorBidi" w:hAnsiTheme="majorBidi" w:cstheme="majorBidi"/>
          <w:lang w:val="en-US"/>
        </w:rPr>
      </w:pPr>
      <w:r w:rsidRPr="005F76A9">
        <w:rPr>
          <w:rFonts w:asciiTheme="majorBidi" w:hAnsiTheme="majorBidi" w:cstheme="majorBidi"/>
        </w:rPr>
        <w:t>14.</w:t>
      </w:r>
      <w:r w:rsidRPr="005F76A9">
        <w:rPr>
          <w:rFonts w:asciiTheme="majorBidi" w:hAnsiTheme="majorBidi" w:cstheme="majorBidi"/>
        </w:rPr>
        <w:tab/>
      </w:r>
      <w:r w:rsidRPr="005F76A9">
        <w:rPr>
          <w:rFonts w:asciiTheme="majorBidi" w:hAnsiTheme="majorBidi" w:cstheme="majorBidi"/>
          <w:lang w:val="en-US"/>
        </w:rPr>
        <w:t>For VIN, the required data fields are:</w:t>
      </w:r>
    </w:p>
    <w:p w:rsidR="00797575" w:rsidRPr="005F76A9" w:rsidRDefault="00797575" w:rsidP="005F76A9">
      <w:pPr>
        <w:pStyle w:val="ListBullet"/>
        <w:numPr>
          <w:ilvl w:val="0"/>
          <w:numId w:val="28"/>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VIN (key field)</w:t>
      </w:r>
    </w:p>
    <w:p w:rsidR="00797575" w:rsidRPr="005F76A9" w:rsidRDefault="00797575" w:rsidP="005F76A9">
      <w:pPr>
        <w:pStyle w:val="ListBullet"/>
        <w:numPr>
          <w:ilvl w:val="0"/>
          <w:numId w:val="28"/>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Approval number (of IWVTA – foreign key field)</w:t>
      </w:r>
    </w:p>
    <w:p w:rsidR="00797575" w:rsidRPr="005F76A9" w:rsidRDefault="00797575" w:rsidP="005F76A9">
      <w:pPr>
        <w:pStyle w:val="ListBullet"/>
        <w:numPr>
          <w:ilvl w:val="0"/>
          <w:numId w:val="28"/>
        </w:numPr>
        <w:spacing w:after="120" w:line="240" w:lineRule="auto"/>
        <w:rPr>
          <w:rFonts w:asciiTheme="majorBidi" w:hAnsiTheme="majorBidi" w:cstheme="majorBidi"/>
          <w:sz w:val="20"/>
          <w:szCs w:val="20"/>
          <w:lang w:val="en-US"/>
        </w:rPr>
      </w:pPr>
      <w:r w:rsidRPr="005F76A9">
        <w:rPr>
          <w:rFonts w:asciiTheme="majorBidi" w:hAnsiTheme="majorBidi" w:cstheme="majorBidi"/>
          <w:sz w:val="20"/>
          <w:szCs w:val="20"/>
          <w:lang w:val="en-US"/>
        </w:rPr>
        <w:t>Vehicle category</w:t>
      </w:r>
    </w:p>
    <w:p w:rsidR="00797575" w:rsidRDefault="00797575" w:rsidP="00E63D94">
      <w:pPr>
        <w:pStyle w:val="H23G"/>
        <w:rPr>
          <w:lang w:val="en-US"/>
        </w:rPr>
      </w:pPr>
      <w:r>
        <w:rPr>
          <w:lang w:val="en-US"/>
        </w:rPr>
        <w:tab/>
        <w:t>(c)</w:t>
      </w:r>
      <w:r>
        <w:rPr>
          <w:lang w:val="en-US"/>
        </w:rPr>
        <w:tab/>
        <w:t>Upload action</w:t>
      </w:r>
    </w:p>
    <w:p w:rsidR="00797575" w:rsidRDefault="00797575" w:rsidP="00797575">
      <w:pPr>
        <w:pStyle w:val="SingleTxtG"/>
        <w:rPr>
          <w:lang w:val="en-US"/>
        </w:rPr>
      </w:pPr>
      <w:r>
        <w:rPr>
          <w:lang w:val="en-US"/>
        </w:rPr>
        <w:t>15.</w:t>
      </w:r>
      <w:r>
        <w:rPr>
          <w:lang w:val="en-US"/>
        </w:rPr>
        <w:tab/>
      </w:r>
      <w:r w:rsidRPr="00797575">
        <w:rPr>
          <w:lang w:val="en-US"/>
        </w:rPr>
        <w:t>The Web Service provides functionality to upload IWVTA and VIN data for the first time (insert), change the data (update) or remove it from the system (delete; only for VIN data).</w:t>
      </w:r>
    </w:p>
    <w:p w:rsidR="00797575" w:rsidRDefault="00797575" w:rsidP="00797575">
      <w:pPr>
        <w:pStyle w:val="SingleTxtG"/>
        <w:rPr>
          <w:lang w:val="en-US"/>
        </w:rPr>
      </w:pPr>
      <w:r>
        <w:rPr>
          <w:lang w:val="en-US"/>
        </w:rPr>
        <w:t>16.</w:t>
      </w:r>
      <w:r>
        <w:rPr>
          <w:lang w:val="en-US"/>
        </w:rPr>
        <w:tab/>
        <w:t>The following checks are made on uploaded data depending on the defined action:</w:t>
      </w:r>
    </w:p>
    <w:p w:rsidR="00797575" w:rsidRDefault="00797575" w:rsidP="00797575">
      <w:pPr>
        <w:pStyle w:val="ListBullet"/>
        <w:numPr>
          <w:ilvl w:val="0"/>
          <w:numId w:val="29"/>
        </w:numPr>
        <w:rPr>
          <w:lang w:val="en-US"/>
        </w:rPr>
      </w:pPr>
      <w:r>
        <w:rPr>
          <w:lang w:val="en-US"/>
        </w:rPr>
        <w:t>Insert:</w:t>
      </w:r>
      <w:r>
        <w:rPr>
          <w:lang w:val="en-US"/>
        </w:rPr>
        <w:br/>
        <w:t>The key of the uploaded data item must not exist in the system yet.</w:t>
      </w:r>
    </w:p>
    <w:p w:rsidR="00797575" w:rsidRDefault="00797575" w:rsidP="00797575">
      <w:pPr>
        <w:pStyle w:val="ListBullet"/>
        <w:numPr>
          <w:ilvl w:val="0"/>
          <w:numId w:val="29"/>
        </w:numPr>
        <w:rPr>
          <w:lang w:val="en-US"/>
        </w:rPr>
      </w:pPr>
      <w:r>
        <w:rPr>
          <w:lang w:val="en-US"/>
        </w:rPr>
        <w:t>Update:</w:t>
      </w:r>
      <w:r>
        <w:rPr>
          <w:lang w:val="en-US"/>
        </w:rPr>
        <w:br/>
        <w:t>The key of the uploaded data item must already be in the system.</w:t>
      </w:r>
    </w:p>
    <w:p w:rsidR="00797575" w:rsidRDefault="00797575" w:rsidP="00797575">
      <w:pPr>
        <w:pStyle w:val="SingleTxtG"/>
        <w:numPr>
          <w:ilvl w:val="0"/>
          <w:numId w:val="29"/>
        </w:numPr>
        <w:rPr>
          <w:lang w:val="en-US"/>
        </w:rPr>
      </w:pPr>
      <w:r>
        <w:rPr>
          <w:lang w:val="en-US"/>
        </w:rPr>
        <w:t>Delete:</w:t>
      </w:r>
      <w:r>
        <w:rPr>
          <w:lang w:val="en-US"/>
        </w:rPr>
        <w:br/>
        <w:t>The key of the uploaded data item (VIN only; IWVTA can’t be deleted) must already be in the system.</w:t>
      </w:r>
    </w:p>
    <w:p w:rsidR="00797575" w:rsidRDefault="00797575" w:rsidP="00797575">
      <w:pPr>
        <w:pStyle w:val="SingleTxtG"/>
        <w:jc w:val="left"/>
        <w:rPr>
          <w:lang w:val="en-US"/>
        </w:rPr>
      </w:pPr>
      <w:r>
        <w:rPr>
          <w:lang w:val="en-US"/>
        </w:rPr>
        <w:t>17.</w:t>
      </w:r>
      <w:r>
        <w:rPr>
          <w:lang w:val="en-US"/>
        </w:rPr>
        <w:tab/>
        <w:t>Special handling of deleted VIN data</w:t>
      </w:r>
    </w:p>
    <w:p w:rsidR="00797575" w:rsidRDefault="00797575" w:rsidP="00797575">
      <w:pPr>
        <w:pStyle w:val="SingleTxtG"/>
        <w:numPr>
          <w:ilvl w:val="0"/>
          <w:numId w:val="30"/>
        </w:numPr>
        <w:rPr>
          <w:lang w:val="en-US"/>
        </w:rPr>
      </w:pPr>
      <w:r w:rsidRPr="00797575">
        <w:rPr>
          <w:lang w:val="en-US"/>
        </w:rPr>
        <w:t xml:space="preserve">Deleting a VIN will not completely remove the data from the system, instead it will only be marked as deleted and will be inaccessible by </w:t>
      </w:r>
      <w:proofErr w:type="spellStart"/>
      <w:r w:rsidRPr="00797575">
        <w:rPr>
          <w:lang w:val="en-US"/>
        </w:rPr>
        <w:t>DoC</w:t>
      </w:r>
      <w:proofErr w:type="spellEnd"/>
      <w:r w:rsidRPr="00797575">
        <w:rPr>
          <w:lang w:val="en-US"/>
        </w:rPr>
        <w:t xml:space="preserve"> requests. A subsequent update action on a deleted VIN will be considered as an error; </w:t>
      </w:r>
      <w:proofErr w:type="gramStart"/>
      <w:r w:rsidRPr="00797575">
        <w:rPr>
          <w:lang w:val="en-US"/>
        </w:rPr>
        <w:t>however</w:t>
      </w:r>
      <w:proofErr w:type="gramEnd"/>
      <w:r w:rsidRPr="00797575">
        <w:rPr>
          <w:lang w:val="en-US"/>
        </w:rPr>
        <w:t xml:space="preserve"> an insert action on a deleted VIN will be allowed.</w:t>
      </w:r>
    </w:p>
    <w:p w:rsidR="00797575" w:rsidRDefault="00797575" w:rsidP="00797575">
      <w:pPr>
        <w:pStyle w:val="SingleTxtG"/>
        <w:rPr>
          <w:lang w:val="en-US"/>
        </w:rPr>
      </w:pPr>
      <w:r>
        <w:rPr>
          <w:lang w:val="en-US"/>
        </w:rPr>
        <w:t>18.</w:t>
      </w:r>
      <w:r>
        <w:rPr>
          <w:lang w:val="en-US"/>
        </w:rPr>
        <w:tab/>
      </w:r>
      <w:r w:rsidRPr="00797575">
        <w:rPr>
          <w:lang w:val="en-US"/>
        </w:rPr>
        <w:t>Each time a data item is uploaded (inserted, updated or deleted), the date and time of the change will be stored with this data item and its version counter will be incremented.</w:t>
      </w:r>
    </w:p>
    <w:p w:rsidR="00797575" w:rsidRDefault="00797575" w:rsidP="00797575">
      <w:pPr>
        <w:pStyle w:val="SingleTxtG"/>
        <w:rPr>
          <w:lang w:val="en-US"/>
        </w:rPr>
      </w:pPr>
      <w:r>
        <w:rPr>
          <w:lang w:val="en-US"/>
        </w:rPr>
        <w:t>19.</w:t>
      </w:r>
      <w:r>
        <w:rPr>
          <w:lang w:val="en-US"/>
        </w:rPr>
        <w:tab/>
      </w:r>
      <w:r w:rsidRPr="00797575">
        <w:rPr>
          <w:lang w:val="en-US"/>
        </w:rPr>
        <w:t>The following checks are made on uploaded data independent of the defined action:</w:t>
      </w:r>
    </w:p>
    <w:p w:rsidR="00797575" w:rsidRPr="00797575" w:rsidRDefault="00797575" w:rsidP="00797575">
      <w:pPr>
        <w:pStyle w:val="SingleTxtG"/>
        <w:numPr>
          <w:ilvl w:val="0"/>
          <w:numId w:val="30"/>
        </w:numPr>
        <w:rPr>
          <w:lang w:val="en-US"/>
        </w:rPr>
      </w:pPr>
      <w:r w:rsidRPr="00797575">
        <w:rPr>
          <w:lang w:val="en-US"/>
        </w:rPr>
        <w:t>Uploads by Manufacturers are allowed only for IWVTA and VIN data for the Manufacturer’s own approvals and vehicles.</w:t>
      </w:r>
    </w:p>
    <w:p w:rsidR="00797575" w:rsidRDefault="00797575" w:rsidP="00797575">
      <w:pPr>
        <w:pStyle w:val="SingleTxtG"/>
        <w:numPr>
          <w:ilvl w:val="0"/>
          <w:numId w:val="30"/>
        </w:numPr>
        <w:rPr>
          <w:lang w:val="en-US"/>
        </w:rPr>
      </w:pPr>
      <w:r w:rsidRPr="00797575">
        <w:rPr>
          <w:lang w:val="en-US"/>
        </w:rPr>
        <w:t>Uploads by TAAs are allowed only for IWVTA and VIN data for the approvals the TAA has granted and for the vehicles that are covered by those approvals.</w:t>
      </w:r>
    </w:p>
    <w:p w:rsidR="00797575" w:rsidRPr="00797575" w:rsidRDefault="00797575" w:rsidP="00797575">
      <w:pPr>
        <w:pStyle w:val="SingleTxtG"/>
        <w:rPr>
          <w:lang w:val="en-US"/>
        </w:rPr>
      </w:pPr>
      <w:r>
        <w:rPr>
          <w:lang w:val="en-US"/>
        </w:rPr>
        <w:lastRenderedPageBreak/>
        <w:t>20.</w:t>
      </w:r>
      <w:r>
        <w:rPr>
          <w:lang w:val="en-US"/>
        </w:rPr>
        <w:tab/>
        <w:t>For the access to the Upload Web Service special user accounts must be used that are not permitted to access the DETA user interface.</w:t>
      </w:r>
    </w:p>
    <w:p w:rsidR="00797575" w:rsidRDefault="00797575" w:rsidP="00E63D94">
      <w:pPr>
        <w:pStyle w:val="H23G"/>
        <w:rPr>
          <w:lang w:val="en-US"/>
        </w:rPr>
      </w:pPr>
      <w:r>
        <w:rPr>
          <w:lang w:val="en-US"/>
        </w:rPr>
        <w:tab/>
        <w:t>(d)</w:t>
      </w:r>
      <w:r>
        <w:rPr>
          <w:lang w:val="en-US"/>
        </w:rPr>
        <w:tab/>
        <w:t>Report (OK/Error)</w:t>
      </w:r>
    </w:p>
    <w:p w:rsidR="00797575" w:rsidRDefault="00797575" w:rsidP="00797575">
      <w:pPr>
        <w:pStyle w:val="SingleTxtG"/>
        <w:rPr>
          <w:lang w:val="en-US"/>
        </w:rPr>
      </w:pPr>
      <w:r>
        <w:rPr>
          <w:lang w:val="en-US"/>
        </w:rPr>
        <w:t>21.</w:t>
      </w:r>
      <w:r>
        <w:rPr>
          <w:lang w:val="en-US"/>
        </w:rPr>
        <w:tab/>
        <w:t>Every upload to the Web Service is checked for structural correctness (compliance with the XSD) and for consistency within itself and with the DETA database.</w:t>
      </w:r>
    </w:p>
    <w:p w:rsidR="00797575" w:rsidRPr="006C56F5" w:rsidRDefault="00797575" w:rsidP="00797575">
      <w:pPr>
        <w:pStyle w:val="SingleTxtG"/>
        <w:rPr>
          <w:lang w:val="en-US"/>
        </w:rPr>
      </w:pPr>
      <w:r>
        <w:rPr>
          <w:lang w:val="en-US"/>
        </w:rPr>
        <w:t>22.</w:t>
      </w:r>
      <w:r>
        <w:rPr>
          <w:lang w:val="en-US"/>
        </w:rPr>
        <w:tab/>
        <w:t xml:space="preserve">If the upload doesn’t comply with the XSD, the complete upload will be rejected. </w:t>
      </w:r>
    </w:p>
    <w:p w:rsidR="00797575" w:rsidRDefault="00797575" w:rsidP="00797575">
      <w:pPr>
        <w:pStyle w:val="SingleTxtG"/>
        <w:rPr>
          <w:lang w:val="en-US"/>
        </w:rPr>
      </w:pPr>
      <w:r>
        <w:rPr>
          <w:lang w:val="en-US"/>
        </w:rPr>
        <w:t>23.</w:t>
      </w:r>
      <w:r>
        <w:rPr>
          <w:lang w:val="en-US"/>
        </w:rPr>
        <w:tab/>
        <w:t>Uploaded data that is incorrect (e.g. duplicate entries, VIN data referring to non-existent IWVTA) will not be imported into the DETA database.</w:t>
      </w:r>
    </w:p>
    <w:p w:rsidR="00797575" w:rsidRDefault="00797575" w:rsidP="00797575">
      <w:pPr>
        <w:pStyle w:val="SingleTxtG"/>
        <w:rPr>
          <w:lang w:val="en-US"/>
        </w:rPr>
      </w:pPr>
      <w:r>
        <w:rPr>
          <w:lang w:val="en-US"/>
        </w:rPr>
        <w:t>24.</w:t>
      </w:r>
      <w:r>
        <w:rPr>
          <w:lang w:val="en-US"/>
        </w:rPr>
        <w:tab/>
        <w:t>Each Web Service request will return an Upload Report detailing which parts of the upload were imported and which parts had errors and could therefore not be imported. Any error listed in the Update Report will always contain the reason why data was rejected.</w:t>
      </w:r>
    </w:p>
    <w:p w:rsidR="00797575" w:rsidRDefault="00797575" w:rsidP="00797575">
      <w:pPr>
        <w:pStyle w:val="SingleTxtG"/>
        <w:rPr>
          <w:lang w:val="en-US"/>
        </w:rPr>
      </w:pPr>
      <w:r>
        <w:rPr>
          <w:lang w:val="en-US"/>
        </w:rPr>
        <w:t>25.</w:t>
      </w:r>
      <w:r>
        <w:rPr>
          <w:lang w:val="en-US"/>
        </w:rPr>
        <w:tab/>
        <w:t xml:space="preserve">The Upload Report will be in XML format and the XML Schema Definition file (XSD) </w:t>
      </w:r>
      <w:r w:rsidR="001516E4">
        <w:rPr>
          <w:lang w:val="en-US"/>
        </w:rPr>
        <w:t xml:space="preserve">will be delivered </w:t>
      </w:r>
      <w:r>
        <w:rPr>
          <w:lang w:val="en-US"/>
        </w:rPr>
        <w:t>as part of the delivery package.</w:t>
      </w:r>
    </w:p>
    <w:p w:rsidR="00797575" w:rsidRDefault="00797575" w:rsidP="00E63D94">
      <w:pPr>
        <w:pStyle w:val="H23G"/>
        <w:rPr>
          <w:lang w:val="en-US"/>
        </w:rPr>
      </w:pPr>
      <w:r>
        <w:rPr>
          <w:lang w:val="en-US"/>
        </w:rPr>
        <w:tab/>
        <w:t>(e)</w:t>
      </w:r>
      <w:r>
        <w:rPr>
          <w:lang w:val="en-US"/>
        </w:rPr>
        <w:tab/>
        <w:t>Upload protocol</w:t>
      </w:r>
    </w:p>
    <w:p w:rsidR="00797575" w:rsidRDefault="00797575" w:rsidP="00797575">
      <w:pPr>
        <w:pStyle w:val="SingleTxtG"/>
        <w:rPr>
          <w:lang w:val="en-US"/>
        </w:rPr>
      </w:pPr>
      <w:r>
        <w:rPr>
          <w:lang w:val="en-US"/>
        </w:rPr>
        <w:t>26.</w:t>
      </w:r>
      <w:r>
        <w:rPr>
          <w:lang w:val="en-US"/>
        </w:rPr>
        <w:tab/>
      </w:r>
      <w:r w:rsidRPr="00797575">
        <w:rPr>
          <w:lang w:val="en-US"/>
        </w:rPr>
        <w:t>The DETA system will keep track of all uploads of VIN / IWVTA data using the Web Service.</w:t>
      </w:r>
    </w:p>
    <w:p w:rsidR="00797575" w:rsidRPr="00797575" w:rsidRDefault="00797575" w:rsidP="00797575">
      <w:pPr>
        <w:pStyle w:val="SingleTxtG"/>
        <w:rPr>
          <w:lang w:val="en-US"/>
        </w:rPr>
      </w:pPr>
      <w:r>
        <w:rPr>
          <w:lang w:val="en-US"/>
        </w:rPr>
        <w:t>27.</w:t>
      </w:r>
      <w:r>
        <w:rPr>
          <w:lang w:val="en-US"/>
        </w:rPr>
        <w:tab/>
      </w:r>
      <w:r w:rsidRPr="00797575">
        <w:rPr>
          <w:lang w:val="en-US"/>
        </w:rPr>
        <w:t>Manufacturers and TAAs that have uploaded VIN / IWVTA data can view the list of uploads they have performed and can download their uploaded files using the DETA user interface.</w:t>
      </w:r>
    </w:p>
    <w:p w:rsidR="00797575" w:rsidRDefault="00797575" w:rsidP="00797575">
      <w:pPr>
        <w:pStyle w:val="SingleTxtG"/>
        <w:rPr>
          <w:lang w:val="en-US"/>
        </w:rPr>
      </w:pPr>
      <w:r>
        <w:rPr>
          <w:lang w:val="en-US"/>
        </w:rPr>
        <w:t>28.</w:t>
      </w:r>
      <w:r>
        <w:rPr>
          <w:lang w:val="en-US"/>
        </w:rPr>
        <w:tab/>
      </w:r>
      <w:r w:rsidRPr="00797575">
        <w:rPr>
          <w:lang w:val="en-US"/>
        </w:rPr>
        <w:t>To avoid the database growing too large, the DETA system can be configured to remove upload protocol data after some time.</w:t>
      </w:r>
    </w:p>
    <w:p w:rsidR="00797575" w:rsidRDefault="00797575" w:rsidP="00E63D94">
      <w:pPr>
        <w:pStyle w:val="H23G"/>
        <w:rPr>
          <w:lang w:val="en-US"/>
        </w:rPr>
      </w:pPr>
      <w:r>
        <w:rPr>
          <w:lang w:val="en-US"/>
        </w:rPr>
        <w:tab/>
        <w:t>(f)</w:t>
      </w:r>
      <w:r>
        <w:rPr>
          <w:lang w:val="en-US"/>
        </w:rPr>
        <w:tab/>
        <w:t>Extension of DETA</w:t>
      </w:r>
      <w:r w:rsidR="00FD1053">
        <w:rPr>
          <w:lang w:val="en-US"/>
        </w:rPr>
        <w:t xml:space="preserve">- </w:t>
      </w:r>
      <w:r w:rsidR="00FD1053" w:rsidRPr="00FD1053">
        <w:rPr>
          <w:lang w:val="en-US"/>
        </w:rPr>
        <w:t>Document part type “OTHER”</w:t>
      </w:r>
    </w:p>
    <w:p w:rsidR="00797575" w:rsidRDefault="00FD1053" w:rsidP="00FD1053">
      <w:pPr>
        <w:pStyle w:val="SingleTxtG"/>
        <w:rPr>
          <w:lang w:val="en-US"/>
        </w:rPr>
      </w:pPr>
      <w:r>
        <w:rPr>
          <w:lang w:val="en-US"/>
        </w:rPr>
        <w:t>29.</w:t>
      </w:r>
      <w:r>
        <w:rPr>
          <w:lang w:val="en-US"/>
        </w:rPr>
        <w:tab/>
        <w:t>In addition</w:t>
      </w:r>
      <w:r w:rsidRPr="00796AE6">
        <w:rPr>
          <w:lang w:val="en-US"/>
        </w:rPr>
        <w:t xml:space="preserve"> to the existing document parts </w:t>
      </w:r>
      <w:r>
        <w:rPr>
          <w:lang w:val="en-US"/>
        </w:rPr>
        <w:t xml:space="preserve">types </w:t>
      </w:r>
      <w:r w:rsidRPr="00796AE6">
        <w:rPr>
          <w:lang w:val="en-US"/>
        </w:rPr>
        <w:t xml:space="preserve">“CERT” (approval document), “IF” (information folder) and “TR” (test report), a document part </w:t>
      </w:r>
      <w:r>
        <w:rPr>
          <w:lang w:val="en-US"/>
        </w:rPr>
        <w:t xml:space="preserve">type </w:t>
      </w:r>
      <w:r w:rsidRPr="00796AE6">
        <w:rPr>
          <w:lang w:val="en-US"/>
        </w:rPr>
        <w:t>“OTHER” (for all other kind of documents) will be introduced.</w:t>
      </w:r>
    </w:p>
    <w:p w:rsidR="00A94FA5" w:rsidRDefault="00A94FA5" w:rsidP="008A74DC">
      <w:pPr>
        <w:pStyle w:val="HChG"/>
      </w:pPr>
      <w:bookmarkStart w:id="0" w:name="_GoBack"/>
      <w:r>
        <w:tab/>
        <w:t>II.</w:t>
      </w:r>
      <w:r>
        <w:tab/>
        <w:t>Application guidelines</w:t>
      </w:r>
    </w:p>
    <w:bookmarkEnd w:id="0"/>
    <w:p w:rsidR="00A94FA5" w:rsidRDefault="00A94FA5" w:rsidP="00FD1053">
      <w:pPr>
        <w:pStyle w:val="SingleTxtG"/>
        <w:rPr>
          <w:lang w:val="en-US"/>
        </w:rPr>
      </w:pPr>
      <w:r>
        <w:rPr>
          <w:lang w:val="en-US"/>
        </w:rPr>
        <w:t>30.</w:t>
      </w:r>
      <w:r>
        <w:rPr>
          <w:lang w:val="en-US"/>
        </w:rPr>
        <w:tab/>
        <w:t>The application is defined in UN Regulation No.0</w:t>
      </w:r>
      <w:r w:rsidR="008A74DC">
        <w:rPr>
          <w:lang w:val="en-US"/>
        </w:rPr>
        <w:t>.</w:t>
      </w:r>
    </w:p>
    <w:p w:rsidR="00FD1053" w:rsidRPr="00FD1053" w:rsidRDefault="00FD1053" w:rsidP="00FD1053">
      <w:pPr>
        <w:spacing w:before="240"/>
        <w:jc w:val="center"/>
        <w:rPr>
          <w:u w:val="single"/>
          <w:lang w:val="en-US"/>
        </w:rPr>
      </w:pPr>
      <w:r>
        <w:rPr>
          <w:u w:val="single"/>
          <w:lang w:val="en-US"/>
        </w:rPr>
        <w:tab/>
      </w:r>
      <w:r>
        <w:rPr>
          <w:u w:val="single"/>
          <w:lang w:val="en-US"/>
        </w:rPr>
        <w:tab/>
      </w:r>
      <w:r>
        <w:rPr>
          <w:u w:val="single"/>
          <w:lang w:val="en-US"/>
        </w:rPr>
        <w:tab/>
      </w:r>
    </w:p>
    <w:sectPr w:rsidR="00FD1053" w:rsidRPr="00FD1053" w:rsidSect="00510FF8">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58" w:rsidRDefault="004D3058"/>
  </w:endnote>
  <w:endnote w:type="continuationSeparator" w:id="0">
    <w:p w:rsidR="004D3058" w:rsidRDefault="004D3058"/>
  </w:endnote>
  <w:endnote w:type="continuationNotice" w:id="1">
    <w:p w:rsidR="004D3058" w:rsidRDefault="004D3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ele-GroteskNor">
    <w:altName w:val="Times New Roman"/>
    <w:charset w:val="00"/>
    <w:family w:val="auto"/>
    <w:pitch w:val="variable"/>
    <w:sig w:usb0="00000001" w:usb1="1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58" w:rsidRPr="000B175B" w:rsidRDefault="004D3058" w:rsidP="000B175B">
      <w:pPr>
        <w:tabs>
          <w:tab w:val="right" w:pos="2155"/>
        </w:tabs>
        <w:spacing w:after="80"/>
        <w:ind w:left="680"/>
        <w:rPr>
          <w:u w:val="single"/>
        </w:rPr>
      </w:pPr>
      <w:r>
        <w:rPr>
          <w:u w:val="single"/>
        </w:rPr>
        <w:tab/>
      </w:r>
    </w:p>
  </w:footnote>
  <w:footnote w:type="continuationSeparator" w:id="0">
    <w:p w:rsidR="004D3058" w:rsidRPr="00FC68B7" w:rsidRDefault="004D3058" w:rsidP="00FC68B7">
      <w:pPr>
        <w:tabs>
          <w:tab w:val="left" w:pos="2155"/>
        </w:tabs>
        <w:spacing w:after="80"/>
        <w:ind w:left="680"/>
        <w:rPr>
          <w:u w:val="single"/>
        </w:rPr>
      </w:pPr>
      <w:r>
        <w:rPr>
          <w:u w:val="single"/>
        </w:rPr>
        <w:tab/>
      </w:r>
    </w:p>
  </w:footnote>
  <w:footnote w:type="continuationNotice" w:id="1">
    <w:p w:rsidR="004D3058" w:rsidRDefault="004D3058"/>
  </w:footnote>
  <w:footnote w:id="2">
    <w:p w:rsidR="00510FF8" w:rsidRPr="00EC4B12" w:rsidRDefault="00510FF8" w:rsidP="00510FF8">
      <w:pPr>
        <w:pStyle w:val="FootnoteText"/>
        <w:jc w:val="both"/>
        <w:rPr>
          <w:lang w:val="en-US"/>
        </w:rPr>
      </w:pPr>
      <w:r>
        <w:tab/>
      </w:r>
      <w:r w:rsidRPr="00A7067A">
        <w:rPr>
          <w:rStyle w:val="FootnoteReference"/>
          <w:sz w:val="20"/>
          <w:vertAlign w:val="baseline"/>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E94546">
    <w:pPr>
      <w:pStyle w:val="Header"/>
    </w:pPr>
    <w:r>
      <w:t>ECE/TRANS/WP</w:t>
    </w:r>
    <w:r w:rsidR="00B70DF5">
      <w:t>.</w:t>
    </w:r>
    <w:r>
      <w:t>29/2019/</w:t>
    </w:r>
    <w:r w:rsidR="00780076">
      <w:t>7</w:t>
    </w:r>
    <w:r w:rsidR="0031100B">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F8" w:rsidRPr="00510FF8" w:rsidRDefault="00E94546" w:rsidP="00510FF8">
    <w:pPr>
      <w:pStyle w:val="Header"/>
      <w:jc w:val="right"/>
    </w:pPr>
    <w:r w:rsidRPr="00E94546">
      <w:t>ECE/TRANS/WP.29/2019/</w:t>
    </w:r>
    <w:r w:rsidR="00780076">
      <w:t>7</w:t>
    </w:r>
    <w:r w:rsidR="0031100B">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162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83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CEE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45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94C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AF4D05"/>
    <w:multiLevelType w:val="hybridMultilevel"/>
    <w:tmpl w:val="F59C2D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7C69DE"/>
    <w:multiLevelType w:val="hybridMultilevel"/>
    <w:tmpl w:val="94C6E4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716E4"/>
    <w:multiLevelType w:val="hybridMultilevel"/>
    <w:tmpl w:val="B98A6B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AD4B4E"/>
    <w:multiLevelType w:val="hybridMultilevel"/>
    <w:tmpl w:val="6A9C7732"/>
    <w:lvl w:ilvl="0" w:tplc="538822E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5351185D"/>
    <w:multiLevelType w:val="hybridMultilevel"/>
    <w:tmpl w:val="A68A85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441041A"/>
    <w:multiLevelType w:val="hybridMultilevel"/>
    <w:tmpl w:val="F5E28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45A4D8D"/>
    <w:multiLevelType w:val="hybridMultilevel"/>
    <w:tmpl w:val="DAEAF7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C6723C7"/>
    <w:multiLevelType w:val="multilevel"/>
    <w:tmpl w:val="BE207D46"/>
    <w:name w:val="BulletListTemplate"/>
    <w:lvl w:ilvl="0">
      <w:start w:val="1"/>
      <w:numFmt w:val="bullet"/>
      <w:lvlRestart w:val="0"/>
      <w:pStyle w:val="ListBullet"/>
      <w:lvlText w:val=""/>
      <w:lvlJc w:val="left"/>
      <w:pPr>
        <w:ind w:left="567" w:hanging="340"/>
      </w:pPr>
      <w:rPr>
        <w:rFonts w:ascii="Symbol" w:hAnsi="Symbol" w:hint="default"/>
      </w:rPr>
    </w:lvl>
    <w:lvl w:ilvl="1">
      <w:start w:val="1"/>
      <w:numFmt w:val="bullet"/>
      <w:pStyle w:val="ListBullet2"/>
      <w:lvlText w:val=""/>
      <w:lvlJc w:val="left"/>
      <w:pPr>
        <w:ind w:left="1077" w:hanging="340"/>
      </w:pPr>
      <w:rPr>
        <w:rFonts w:ascii="Symbol" w:hAnsi="Symbol" w:hint="default"/>
      </w:rPr>
    </w:lvl>
    <w:lvl w:ilvl="2">
      <w:start w:val="1"/>
      <w:numFmt w:val="bullet"/>
      <w:pStyle w:val="ListBullet3"/>
      <w:lvlText w:val=""/>
      <w:lvlJc w:val="left"/>
      <w:pPr>
        <w:ind w:left="1587" w:hanging="340"/>
      </w:pPr>
      <w:rPr>
        <w:rFonts w:ascii="Symbol" w:hAnsi="Symbol" w:hint="default"/>
      </w:rPr>
    </w:lvl>
    <w:lvl w:ilvl="3">
      <w:start w:val="1"/>
      <w:numFmt w:val="bullet"/>
      <w:pStyle w:val="ListBullet4"/>
      <w:lvlText w:val="o"/>
      <w:lvlJc w:val="left"/>
      <w:pPr>
        <w:ind w:left="2098" w:hanging="341"/>
      </w:pPr>
      <w:rPr>
        <w:rFonts w:ascii="Courier New" w:hAnsi="Courier New" w:cs="Courier New"/>
      </w:rPr>
    </w:lvl>
    <w:lvl w:ilvl="4">
      <w:start w:val="1"/>
      <w:numFmt w:val="bullet"/>
      <w:pStyle w:val="ListBullet5"/>
      <w:lvlText w:val=""/>
      <w:lvlJc w:val="left"/>
      <w:pPr>
        <w:ind w:left="2608" w:hanging="34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A9196A"/>
    <w:multiLevelType w:val="hybridMultilevel"/>
    <w:tmpl w:val="525E71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9036648"/>
    <w:multiLevelType w:val="hybridMultilevel"/>
    <w:tmpl w:val="4C2247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97F0F"/>
    <w:multiLevelType w:val="hybridMultilevel"/>
    <w:tmpl w:val="570E0E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5"/>
  </w:num>
  <w:num w:numId="18">
    <w:abstractNumId w:val="28"/>
  </w:num>
  <w:num w:numId="19">
    <w:abstractNumId w:val="12"/>
  </w:num>
  <w:num w:numId="20">
    <w:abstractNumId w:val="20"/>
  </w:num>
  <w:num w:numId="21">
    <w:abstractNumId w:val="27"/>
  </w:num>
  <w:num w:numId="22">
    <w:abstractNumId w:val="11"/>
  </w:num>
  <w:num w:numId="23">
    <w:abstractNumId w:val="21"/>
  </w:num>
  <w:num w:numId="24">
    <w:abstractNumId w:val="22"/>
  </w:num>
  <w:num w:numId="25">
    <w:abstractNumId w:val="23"/>
  </w:num>
  <w:num w:numId="26">
    <w:abstractNumId w:val="13"/>
  </w:num>
  <w:num w:numId="27">
    <w:abstractNumId w:val="24"/>
  </w:num>
  <w:num w:numId="28">
    <w:abstractNumId w:val="29"/>
  </w:num>
  <w:num w:numId="29">
    <w:abstractNumId w:val="17"/>
  </w:num>
  <w:num w:numId="3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3E43"/>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16E4"/>
    <w:rsid w:val="00156B99"/>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100B"/>
    <w:rsid w:val="00313ED5"/>
    <w:rsid w:val="003229D8"/>
    <w:rsid w:val="0033595E"/>
    <w:rsid w:val="00336C97"/>
    <w:rsid w:val="00337F88"/>
    <w:rsid w:val="00342432"/>
    <w:rsid w:val="0035223F"/>
    <w:rsid w:val="00352D4B"/>
    <w:rsid w:val="0035638C"/>
    <w:rsid w:val="00392051"/>
    <w:rsid w:val="003A46BB"/>
    <w:rsid w:val="003A4EC7"/>
    <w:rsid w:val="003A7295"/>
    <w:rsid w:val="003B1F60"/>
    <w:rsid w:val="003B6B58"/>
    <w:rsid w:val="003C2CC4"/>
    <w:rsid w:val="003D4B23"/>
    <w:rsid w:val="003E278A"/>
    <w:rsid w:val="00410854"/>
    <w:rsid w:val="00413520"/>
    <w:rsid w:val="00417336"/>
    <w:rsid w:val="004325CB"/>
    <w:rsid w:val="00440A07"/>
    <w:rsid w:val="00462880"/>
    <w:rsid w:val="00476F24"/>
    <w:rsid w:val="004A5D33"/>
    <w:rsid w:val="004C55B0"/>
    <w:rsid w:val="004D3058"/>
    <w:rsid w:val="004F6BA0"/>
    <w:rsid w:val="00503BEA"/>
    <w:rsid w:val="00510FF8"/>
    <w:rsid w:val="00533616"/>
    <w:rsid w:val="00535ABA"/>
    <w:rsid w:val="0053768B"/>
    <w:rsid w:val="005420F2"/>
    <w:rsid w:val="0054285C"/>
    <w:rsid w:val="00544FA3"/>
    <w:rsid w:val="00584173"/>
    <w:rsid w:val="00595520"/>
    <w:rsid w:val="005A44B9"/>
    <w:rsid w:val="005B1BA0"/>
    <w:rsid w:val="005B3DB3"/>
    <w:rsid w:val="005C0268"/>
    <w:rsid w:val="005D15CA"/>
    <w:rsid w:val="005F08DF"/>
    <w:rsid w:val="005F3066"/>
    <w:rsid w:val="005F3E61"/>
    <w:rsid w:val="005F76A9"/>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076"/>
    <w:rsid w:val="00780C68"/>
    <w:rsid w:val="007959FE"/>
    <w:rsid w:val="00797575"/>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1446"/>
    <w:rsid w:val="00845907"/>
    <w:rsid w:val="00866893"/>
    <w:rsid w:val="00866F02"/>
    <w:rsid w:val="00867D18"/>
    <w:rsid w:val="00871F9A"/>
    <w:rsid w:val="00871FD5"/>
    <w:rsid w:val="0088172E"/>
    <w:rsid w:val="00881EFA"/>
    <w:rsid w:val="008879CB"/>
    <w:rsid w:val="008979B1"/>
    <w:rsid w:val="008A6B25"/>
    <w:rsid w:val="008A6C4F"/>
    <w:rsid w:val="008A74DC"/>
    <w:rsid w:val="008B389E"/>
    <w:rsid w:val="008D045E"/>
    <w:rsid w:val="008D3F25"/>
    <w:rsid w:val="008D4D82"/>
    <w:rsid w:val="008E0E46"/>
    <w:rsid w:val="008E7116"/>
    <w:rsid w:val="008F143B"/>
    <w:rsid w:val="008F3882"/>
    <w:rsid w:val="008F4B7C"/>
    <w:rsid w:val="0090503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067A"/>
    <w:rsid w:val="00A72F22"/>
    <w:rsid w:val="00A733BC"/>
    <w:rsid w:val="00A748A6"/>
    <w:rsid w:val="00A76A69"/>
    <w:rsid w:val="00A879A4"/>
    <w:rsid w:val="00A94FA5"/>
    <w:rsid w:val="00AA0FF8"/>
    <w:rsid w:val="00AB7CB1"/>
    <w:rsid w:val="00AC0F2C"/>
    <w:rsid w:val="00AC38F8"/>
    <w:rsid w:val="00AC502A"/>
    <w:rsid w:val="00AE1E26"/>
    <w:rsid w:val="00AF58C1"/>
    <w:rsid w:val="00B04A3F"/>
    <w:rsid w:val="00B06643"/>
    <w:rsid w:val="00B15055"/>
    <w:rsid w:val="00B20551"/>
    <w:rsid w:val="00B30179"/>
    <w:rsid w:val="00B31E0B"/>
    <w:rsid w:val="00B33FC7"/>
    <w:rsid w:val="00B37B15"/>
    <w:rsid w:val="00B40DC3"/>
    <w:rsid w:val="00B4162A"/>
    <w:rsid w:val="00B4461C"/>
    <w:rsid w:val="00B45C02"/>
    <w:rsid w:val="00B70B63"/>
    <w:rsid w:val="00B70DF5"/>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1742"/>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F7CAE"/>
    <w:rsid w:val="00E423C0"/>
    <w:rsid w:val="00E63D94"/>
    <w:rsid w:val="00E6414C"/>
    <w:rsid w:val="00E7260F"/>
    <w:rsid w:val="00E8702D"/>
    <w:rsid w:val="00E905F4"/>
    <w:rsid w:val="00E916A9"/>
    <w:rsid w:val="00E916DE"/>
    <w:rsid w:val="00E925AD"/>
    <w:rsid w:val="00E94546"/>
    <w:rsid w:val="00E9597B"/>
    <w:rsid w:val="00E96630"/>
    <w:rsid w:val="00ED18DC"/>
    <w:rsid w:val="00ED6201"/>
    <w:rsid w:val="00ED7A2A"/>
    <w:rsid w:val="00EE35EB"/>
    <w:rsid w:val="00EF1D7F"/>
    <w:rsid w:val="00F0137E"/>
    <w:rsid w:val="00F04E44"/>
    <w:rsid w:val="00F11943"/>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10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AD387"/>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 w:type="paragraph" w:customStyle="1" w:styleId="para">
    <w:name w:val="para"/>
    <w:basedOn w:val="Normal"/>
    <w:qFormat/>
    <w:rsid w:val="00F1194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F11943"/>
    <w:pPr>
      <w:ind w:left="2835" w:hanging="567"/>
    </w:pPr>
    <w:rPr>
      <w:lang w:eastAsia="en-US"/>
    </w:rPr>
  </w:style>
  <w:style w:type="paragraph" w:styleId="NoSpacing">
    <w:name w:val="No Spacing"/>
    <w:uiPriority w:val="1"/>
    <w:qFormat/>
    <w:rsid w:val="00845907"/>
    <w:rPr>
      <w:rFonts w:ascii="Arial Narrow" w:eastAsiaTheme="minorHAnsi" w:hAnsi="Arial Narrow" w:cstheme="minorBidi"/>
      <w:sz w:val="22"/>
      <w:szCs w:val="22"/>
      <w:lang w:val="de-DE" w:eastAsia="en-US"/>
    </w:rPr>
  </w:style>
  <w:style w:type="paragraph" w:styleId="BodyText">
    <w:name w:val="Body Text"/>
    <w:aliases w:val="Textkörper Char1,Textkörper Char Char,Textkörper Char,Fließtext"/>
    <w:basedOn w:val="Normal"/>
    <w:link w:val="BodyTextChar"/>
    <w:rsid w:val="00845907"/>
    <w:pPr>
      <w:suppressAutoHyphens w:val="0"/>
      <w:spacing w:after="140" w:line="300" w:lineRule="atLeast"/>
      <w:jc w:val="both"/>
    </w:pPr>
    <w:rPr>
      <w:rFonts w:ascii="Tele-GroteskNor" w:hAnsi="Tele-GroteskNor"/>
      <w:sz w:val="22"/>
      <w:szCs w:val="24"/>
      <w:lang w:val="de-DE" w:eastAsia="de-DE"/>
    </w:rPr>
  </w:style>
  <w:style w:type="character" w:customStyle="1" w:styleId="BodyTextChar">
    <w:name w:val="Body Text Char"/>
    <w:aliases w:val="Textkörper Char1 Char,Textkörper Char Char Char,Textkörper Char Char1,Fließtext Char"/>
    <w:basedOn w:val="DefaultParagraphFont"/>
    <w:link w:val="BodyText"/>
    <w:rsid w:val="00845907"/>
    <w:rPr>
      <w:rFonts w:ascii="Tele-GroteskNor" w:hAnsi="Tele-GroteskNor"/>
      <w:sz w:val="22"/>
      <w:szCs w:val="24"/>
      <w:lang w:val="de-DE" w:eastAsia="de-DE"/>
    </w:rPr>
  </w:style>
  <w:style w:type="paragraph" w:styleId="ListBullet">
    <w:name w:val="List Bullet"/>
    <w:basedOn w:val="BodyText"/>
    <w:rsid w:val="00797575"/>
    <w:pPr>
      <w:numPr>
        <w:numId w:val="27"/>
      </w:numPr>
      <w:tabs>
        <w:tab w:val="left" w:pos="567"/>
      </w:tabs>
    </w:pPr>
  </w:style>
  <w:style w:type="paragraph" w:styleId="ListBullet2">
    <w:name w:val="List Bullet 2"/>
    <w:basedOn w:val="BodyText"/>
    <w:rsid w:val="00797575"/>
    <w:pPr>
      <w:numPr>
        <w:ilvl w:val="1"/>
        <w:numId w:val="27"/>
      </w:numPr>
      <w:tabs>
        <w:tab w:val="left" w:pos="1077"/>
      </w:tabs>
    </w:pPr>
  </w:style>
  <w:style w:type="paragraph" w:styleId="ListBullet3">
    <w:name w:val="List Bullet 3"/>
    <w:basedOn w:val="BodyText"/>
    <w:rsid w:val="00797575"/>
    <w:pPr>
      <w:numPr>
        <w:ilvl w:val="2"/>
        <w:numId w:val="27"/>
      </w:numPr>
      <w:tabs>
        <w:tab w:val="left" w:pos="1587"/>
      </w:tabs>
    </w:pPr>
  </w:style>
  <w:style w:type="paragraph" w:styleId="ListBullet4">
    <w:name w:val="List Bullet 4"/>
    <w:basedOn w:val="BodyText"/>
    <w:rsid w:val="00797575"/>
    <w:pPr>
      <w:numPr>
        <w:ilvl w:val="3"/>
        <w:numId w:val="27"/>
      </w:numPr>
      <w:tabs>
        <w:tab w:val="left" w:pos="2098"/>
      </w:tabs>
    </w:pPr>
  </w:style>
  <w:style w:type="paragraph" w:styleId="ListBullet5">
    <w:name w:val="List Bullet 5"/>
    <w:basedOn w:val="BodyText"/>
    <w:rsid w:val="00797575"/>
    <w:pPr>
      <w:numPr>
        <w:ilvl w:val="4"/>
        <w:numId w:val="27"/>
      </w:numPr>
      <w:tabs>
        <w:tab w:val="left" w:pos="260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AA23-3C2D-453A-A2EF-4F1D7683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63</TotalTime>
  <Pages>4</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ECE/TRANS/WP.29/2019/xxx</dc:title>
  <dc:creator>Francois E Guichard</dc:creator>
  <cp:lastModifiedBy>Marie-Claude Collet</cp:lastModifiedBy>
  <cp:revision>15</cp:revision>
  <cp:lastPrinted>2019-08-22T15:06:00Z</cp:lastPrinted>
  <dcterms:created xsi:type="dcterms:W3CDTF">2019-08-22T14:15:00Z</dcterms:created>
  <dcterms:modified xsi:type="dcterms:W3CDTF">2019-09-03T12:18:00Z</dcterms:modified>
</cp:coreProperties>
</file>