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6C9E74" w14:textId="77777777" w:rsidTr="00C97039">
        <w:trPr>
          <w:trHeight w:hRule="exact" w:val="851"/>
        </w:trPr>
        <w:tc>
          <w:tcPr>
            <w:tcW w:w="1276" w:type="dxa"/>
            <w:tcBorders>
              <w:bottom w:val="single" w:sz="4" w:space="0" w:color="auto"/>
            </w:tcBorders>
          </w:tcPr>
          <w:p w14:paraId="7FF5CB25" w14:textId="77777777" w:rsidR="00F35BAF" w:rsidRPr="00DB58B5" w:rsidRDefault="00F35BAF" w:rsidP="00C1017C">
            <w:bookmarkStart w:id="0" w:name="_GoBack"/>
            <w:bookmarkEnd w:id="0"/>
          </w:p>
        </w:tc>
        <w:tc>
          <w:tcPr>
            <w:tcW w:w="2268" w:type="dxa"/>
            <w:tcBorders>
              <w:bottom w:val="single" w:sz="4" w:space="0" w:color="auto"/>
            </w:tcBorders>
            <w:vAlign w:val="bottom"/>
          </w:tcPr>
          <w:p w14:paraId="137F3AB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FB2950" w14:textId="77777777" w:rsidR="00F35BAF" w:rsidRPr="00DB58B5" w:rsidRDefault="00C1017C" w:rsidP="00C1017C">
            <w:pPr>
              <w:jc w:val="right"/>
            </w:pPr>
            <w:r w:rsidRPr="00C1017C">
              <w:rPr>
                <w:sz w:val="40"/>
              </w:rPr>
              <w:t>ECE</w:t>
            </w:r>
            <w:r>
              <w:t>/TRANS/WP.11/2019/5</w:t>
            </w:r>
          </w:p>
        </w:tc>
      </w:tr>
      <w:tr w:rsidR="00F35BAF" w:rsidRPr="00DB58B5" w14:paraId="104A4986" w14:textId="77777777" w:rsidTr="00C97039">
        <w:trPr>
          <w:trHeight w:hRule="exact" w:val="2835"/>
        </w:trPr>
        <w:tc>
          <w:tcPr>
            <w:tcW w:w="1276" w:type="dxa"/>
            <w:tcBorders>
              <w:top w:val="single" w:sz="4" w:space="0" w:color="auto"/>
              <w:bottom w:val="single" w:sz="12" w:space="0" w:color="auto"/>
            </w:tcBorders>
          </w:tcPr>
          <w:p w14:paraId="0A07B16B" w14:textId="77777777" w:rsidR="00F35BAF" w:rsidRPr="00DB58B5" w:rsidRDefault="00F35BAF" w:rsidP="00C97039">
            <w:pPr>
              <w:spacing w:before="120"/>
              <w:jc w:val="center"/>
            </w:pPr>
            <w:r>
              <w:rPr>
                <w:noProof/>
                <w:lang w:eastAsia="fr-CH"/>
              </w:rPr>
              <w:drawing>
                <wp:inline distT="0" distB="0" distL="0" distR="0" wp14:anchorId="7F39AFFF" wp14:editId="6321CBA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2E113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573F6C" w14:textId="77777777" w:rsidR="00F35BAF" w:rsidRDefault="00C1017C" w:rsidP="00C97039">
            <w:pPr>
              <w:spacing w:before="240"/>
            </w:pPr>
            <w:r>
              <w:t xml:space="preserve">Distr. </w:t>
            </w:r>
            <w:proofErr w:type="gramStart"/>
            <w:r>
              <w:t>générale</w:t>
            </w:r>
            <w:proofErr w:type="gramEnd"/>
          </w:p>
          <w:p w14:paraId="6C290745" w14:textId="77777777" w:rsidR="00C1017C" w:rsidRDefault="00C1017C" w:rsidP="00C1017C">
            <w:pPr>
              <w:spacing w:line="240" w:lineRule="exact"/>
            </w:pPr>
            <w:r>
              <w:t>24 juillet 2019</w:t>
            </w:r>
          </w:p>
          <w:p w14:paraId="7D08D7A0" w14:textId="77777777" w:rsidR="00C1017C" w:rsidRDefault="00C1017C" w:rsidP="00C1017C">
            <w:pPr>
              <w:spacing w:line="240" w:lineRule="exact"/>
            </w:pPr>
            <w:r>
              <w:t>Français</w:t>
            </w:r>
          </w:p>
          <w:p w14:paraId="5745152D" w14:textId="77777777" w:rsidR="00C1017C" w:rsidRPr="00DB58B5" w:rsidRDefault="00C1017C" w:rsidP="00C1017C">
            <w:pPr>
              <w:spacing w:line="240" w:lineRule="exact"/>
            </w:pPr>
            <w:r>
              <w:t>Original : anglais</w:t>
            </w:r>
          </w:p>
        </w:tc>
      </w:tr>
    </w:tbl>
    <w:p w14:paraId="0CF35BEB" w14:textId="77777777" w:rsidR="007F20FA" w:rsidRPr="000312C0" w:rsidRDefault="007F20FA" w:rsidP="007F20FA">
      <w:pPr>
        <w:spacing w:before="120"/>
        <w:rPr>
          <w:b/>
          <w:sz w:val="28"/>
          <w:szCs w:val="28"/>
        </w:rPr>
      </w:pPr>
      <w:r w:rsidRPr="000312C0">
        <w:rPr>
          <w:b/>
          <w:sz w:val="28"/>
          <w:szCs w:val="28"/>
        </w:rPr>
        <w:t>Commission économique pour l’Europe</w:t>
      </w:r>
    </w:p>
    <w:p w14:paraId="6F1A0FB9" w14:textId="77777777" w:rsidR="007F20FA" w:rsidRDefault="007F20FA" w:rsidP="007F20FA">
      <w:pPr>
        <w:spacing w:before="120"/>
        <w:rPr>
          <w:sz w:val="28"/>
          <w:szCs w:val="28"/>
        </w:rPr>
      </w:pPr>
      <w:r w:rsidRPr="00685843">
        <w:rPr>
          <w:sz w:val="28"/>
          <w:szCs w:val="28"/>
        </w:rPr>
        <w:t>Comité des transports intérieurs</w:t>
      </w:r>
    </w:p>
    <w:p w14:paraId="55DA25BD" w14:textId="77777777" w:rsidR="00C1017C" w:rsidRPr="00D37BEB" w:rsidRDefault="00C1017C" w:rsidP="00F852BD">
      <w:pPr>
        <w:kinsoku/>
        <w:overflowPunct/>
        <w:autoSpaceDE/>
        <w:autoSpaceDN/>
        <w:adjustRightInd/>
        <w:snapToGrid/>
        <w:spacing w:before="120"/>
        <w:rPr>
          <w:rFonts w:eastAsia="Times New Roman"/>
          <w:b/>
          <w:sz w:val="24"/>
          <w:szCs w:val="24"/>
        </w:rPr>
      </w:pPr>
      <w:r w:rsidRPr="00D37BEB">
        <w:rPr>
          <w:rFonts w:eastAsia="Times New Roman"/>
          <w:b/>
          <w:sz w:val="24"/>
          <w:szCs w:val="24"/>
        </w:rPr>
        <w:t>Groupe de travail du transport des denrées périssables</w:t>
      </w:r>
    </w:p>
    <w:p w14:paraId="2CE6B57A" w14:textId="77777777" w:rsidR="00C1017C" w:rsidRPr="00D37BEB" w:rsidRDefault="00C1017C" w:rsidP="00F852BD">
      <w:pPr>
        <w:kinsoku/>
        <w:overflowPunct/>
        <w:autoSpaceDE/>
        <w:autoSpaceDN/>
        <w:adjustRightInd/>
        <w:snapToGrid/>
        <w:spacing w:before="120"/>
        <w:rPr>
          <w:rFonts w:eastAsia="Times New Roman"/>
          <w:b/>
        </w:rPr>
      </w:pPr>
      <w:r w:rsidRPr="00D37BEB">
        <w:rPr>
          <w:rFonts w:eastAsia="Times New Roman"/>
          <w:b/>
        </w:rPr>
        <w:t>Soixante-quinzième session</w:t>
      </w:r>
    </w:p>
    <w:p w14:paraId="29CCDFCA" w14:textId="77777777" w:rsidR="00C1017C" w:rsidRPr="00D37BEB" w:rsidRDefault="00C1017C" w:rsidP="00F852BD">
      <w:pPr>
        <w:kinsoku/>
        <w:overflowPunct/>
        <w:autoSpaceDE/>
        <w:autoSpaceDN/>
        <w:adjustRightInd/>
        <w:snapToGrid/>
        <w:rPr>
          <w:rFonts w:eastAsia="Times New Roman"/>
        </w:rPr>
      </w:pPr>
      <w:r w:rsidRPr="00D37BEB">
        <w:rPr>
          <w:rFonts w:eastAsia="Times New Roman"/>
        </w:rPr>
        <w:t>Genève, 8-11 octobre 2019</w:t>
      </w:r>
    </w:p>
    <w:p w14:paraId="33B21363" w14:textId="77777777" w:rsidR="00C1017C" w:rsidRPr="00D37BEB" w:rsidRDefault="00C1017C" w:rsidP="00F852BD">
      <w:pPr>
        <w:kinsoku/>
        <w:overflowPunct/>
        <w:autoSpaceDE/>
        <w:autoSpaceDN/>
        <w:adjustRightInd/>
        <w:snapToGrid/>
        <w:rPr>
          <w:rFonts w:eastAsia="Times New Roman"/>
        </w:rPr>
      </w:pPr>
      <w:r w:rsidRPr="00D37BEB">
        <w:rPr>
          <w:rFonts w:eastAsia="Times New Roman"/>
        </w:rPr>
        <w:t>Point 5 b) de l’ordre du jour provisoire</w:t>
      </w:r>
    </w:p>
    <w:p w14:paraId="519E8FFC" w14:textId="77777777" w:rsidR="00C1017C" w:rsidRPr="00D37BEB" w:rsidRDefault="00C1017C" w:rsidP="00F852BD">
      <w:pPr>
        <w:kinsoku/>
        <w:overflowPunct/>
        <w:autoSpaceDE/>
        <w:autoSpaceDN/>
        <w:adjustRightInd/>
        <w:snapToGrid/>
        <w:spacing w:line="276" w:lineRule="auto"/>
        <w:rPr>
          <w:rFonts w:eastAsia="Times New Roman"/>
          <w:b/>
        </w:rPr>
      </w:pPr>
      <w:r w:rsidRPr="00D37BEB">
        <w:rPr>
          <w:rFonts w:eastAsia="Times New Roman"/>
          <w:b/>
        </w:rPr>
        <w:t xml:space="preserve">Propositions d’amendements à l’ATP : </w:t>
      </w:r>
      <w:r w:rsidR="002622FB" w:rsidRPr="00D37BEB">
        <w:rPr>
          <w:rFonts w:eastAsia="Times New Roman"/>
          <w:b/>
        </w:rPr>
        <w:br/>
      </w:r>
      <w:r w:rsidRPr="00D37BEB">
        <w:rPr>
          <w:rFonts w:eastAsia="Times New Roman"/>
          <w:b/>
        </w:rPr>
        <w:t>Nouvelles propositions</w:t>
      </w:r>
    </w:p>
    <w:p w14:paraId="4B069A47" w14:textId="77777777" w:rsidR="00C1017C" w:rsidRPr="00C1017C" w:rsidRDefault="00C1017C" w:rsidP="00F852BD">
      <w:pPr>
        <w:pStyle w:val="HChG"/>
      </w:pPr>
      <w:r w:rsidRPr="00C1017C">
        <w:rPr>
          <w:lang w:val="fr-FR"/>
        </w:rPr>
        <w:tab/>
      </w:r>
      <w:r w:rsidRPr="00C1017C">
        <w:rPr>
          <w:lang w:val="fr-FR"/>
        </w:rPr>
        <w:tab/>
        <w:t>Proposition d’amendement à la section 3 de l’appendice 1 de l’annexe 1 : obtention d’une attestation de conformité pour les engins qui ne seront équipés de dispositifs thermiques qu’après leur transfert dans un autre pays</w:t>
      </w:r>
    </w:p>
    <w:p w14:paraId="57596691" w14:textId="77777777" w:rsidR="00C1017C" w:rsidRDefault="00C1017C" w:rsidP="00F852BD">
      <w:pPr>
        <w:pStyle w:val="H1G"/>
        <w:rPr>
          <w:lang w:val="fr-FR"/>
        </w:rPr>
      </w:pPr>
      <w:r w:rsidRPr="00C1017C">
        <w:rPr>
          <w:lang w:val="fr-FR"/>
        </w:rPr>
        <w:tab/>
      </w:r>
      <w:r w:rsidRPr="00C1017C">
        <w:rPr>
          <w:lang w:val="fr-FR"/>
        </w:rPr>
        <w:tab/>
        <w:t>Communication du Gouvernement allemand</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3407"/>
        <w:gridCol w:w="6241"/>
      </w:tblGrid>
      <w:tr w:rsidR="00E27779" w14:paraId="470DC04C" w14:textId="77777777" w:rsidTr="00E27779">
        <w:trPr>
          <w:jc w:val="center"/>
        </w:trPr>
        <w:tc>
          <w:tcPr>
            <w:tcW w:w="9648" w:type="dxa"/>
            <w:gridSpan w:val="2"/>
            <w:shd w:val="clear" w:color="auto" w:fill="auto"/>
          </w:tcPr>
          <w:p w14:paraId="1BC09B2D" w14:textId="77777777" w:rsidR="00E27779" w:rsidRDefault="00E27779">
            <w:pPr>
              <w:spacing w:before="240" w:after="120"/>
              <w:ind w:left="255"/>
              <w:rPr>
                <w:i/>
                <w:sz w:val="24"/>
              </w:rPr>
            </w:pPr>
            <w:r>
              <w:rPr>
                <w:i/>
                <w:sz w:val="24"/>
              </w:rPr>
              <w:t>Résumé</w:t>
            </w:r>
          </w:p>
        </w:tc>
      </w:tr>
      <w:tr w:rsidR="00E27779" w14:paraId="32E9A674" w14:textId="77777777" w:rsidTr="00E27779">
        <w:trPr>
          <w:jc w:val="center"/>
        </w:trPr>
        <w:tc>
          <w:tcPr>
            <w:tcW w:w="3407" w:type="dxa"/>
            <w:tcBorders>
              <w:top w:val="nil"/>
              <w:bottom w:val="nil"/>
              <w:right w:val="nil"/>
            </w:tcBorders>
            <w:shd w:val="clear" w:color="auto" w:fill="auto"/>
          </w:tcPr>
          <w:p w14:paraId="7597113A" w14:textId="77777777" w:rsidR="00E27779" w:rsidRDefault="00C1017C" w:rsidP="00E27779">
            <w:pPr>
              <w:pStyle w:val="SingleTxtG"/>
              <w:ind w:right="27"/>
            </w:pPr>
            <w:r w:rsidRPr="00C1017C">
              <w:rPr>
                <w:b/>
                <w:bCs/>
                <w:lang w:val="fr-FR"/>
              </w:rPr>
              <w:t>Résumé analytique</w:t>
            </w:r>
            <w:r w:rsidR="00E27779">
              <w:rPr>
                <w:b/>
                <w:bCs/>
                <w:lang w:val="fr-FR"/>
              </w:rPr>
              <w:t> </w:t>
            </w:r>
            <w:r w:rsidRPr="00C1017C">
              <w:rPr>
                <w:b/>
                <w:bCs/>
                <w:lang w:val="fr-FR"/>
              </w:rPr>
              <w:t>:</w:t>
            </w:r>
          </w:p>
        </w:tc>
        <w:tc>
          <w:tcPr>
            <w:tcW w:w="6241" w:type="dxa"/>
            <w:tcBorders>
              <w:left w:val="nil"/>
            </w:tcBorders>
            <w:shd w:val="clear" w:color="auto" w:fill="auto"/>
          </w:tcPr>
          <w:p w14:paraId="3F7CD44F" w14:textId="77777777" w:rsidR="00E27779" w:rsidRDefault="00C1017C" w:rsidP="005316D8">
            <w:pPr>
              <w:pStyle w:val="SingleTxtG"/>
              <w:ind w:left="113"/>
            </w:pPr>
            <w:r w:rsidRPr="00C1017C">
              <w:rPr>
                <w:lang w:val="fr-FR"/>
              </w:rPr>
              <w:t>Les propriétaires et les exploitants doivent être en mesure de décider librement du lieu d’achat et du type d’équipement qu’ils souhaitent acheter. Il faut donc ajouter une disposition claire dans l’ATP sur la manière d’obtenir une attestation de conformité pour les engins qui ne seront équipés de dispositifs thermiques qu’après leur transfert dans un autre pays.</w:t>
            </w:r>
          </w:p>
        </w:tc>
      </w:tr>
      <w:tr w:rsidR="00E27779" w14:paraId="437CAC2D" w14:textId="77777777" w:rsidTr="00E27779">
        <w:trPr>
          <w:jc w:val="center"/>
        </w:trPr>
        <w:tc>
          <w:tcPr>
            <w:tcW w:w="3407" w:type="dxa"/>
            <w:tcBorders>
              <w:top w:val="nil"/>
              <w:bottom w:val="nil"/>
              <w:right w:val="nil"/>
            </w:tcBorders>
            <w:shd w:val="clear" w:color="auto" w:fill="auto"/>
          </w:tcPr>
          <w:p w14:paraId="48A37C1E" w14:textId="77777777" w:rsidR="00E27779" w:rsidRPr="00C1017C" w:rsidRDefault="00C1017C" w:rsidP="00E27779">
            <w:pPr>
              <w:pStyle w:val="SingleTxtG"/>
              <w:ind w:right="27"/>
              <w:rPr>
                <w:b/>
                <w:bCs/>
                <w:lang w:val="fr-FR"/>
              </w:rPr>
            </w:pPr>
            <w:r w:rsidRPr="00C1017C">
              <w:rPr>
                <w:b/>
                <w:bCs/>
                <w:lang w:val="fr-FR"/>
              </w:rPr>
              <w:t>Mesure à prendre</w:t>
            </w:r>
            <w:r w:rsidR="00E27779">
              <w:rPr>
                <w:b/>
                <w:bCs/>
                <w:lang w:val="fr-FR"/>
              </w:rPr>
              <w:t> </w:t>
            </w:r>
            <w:r w:rsidRPr="00C1017C">
              <w:rPr>
                <w:b/>
                <w:bCs/>
                <w:lang w:val="fr-FR"/>
              </w:rPr>
              <w:t>:</w:t>
            </w:r>
          </w:p>
        </w:tc>
        <w:tc>
          <w:tcPr>
            <w:tcW w:w="6241" w:type="dxa"/>
            <w:tcBorders>
              <w:left w:val="nil"/>
            </w:tcBorders>
            <w:shd w:val="clear" w:color="auto" w:fill="auto"/>
          </w:tcPr>
          <w:p w14:paraId="42DD6BC8" w14:textId="77777777" w:rsidR="00E27779" w:rsidRPr="00C1017C" w:rsidRDefault="00C1017C" w:rsidP="005316D8">
            <w:pPr>
              <w:pStyle w:val="SingleTxtG"/>
              <w:ind w:left="113"/>
              <w:rPr>
                <w:lang w:val="fr-FR"/>
              </w:rPr>
            </w:pPr>
            <w:r w:rsidRPr="00C1017C">
              <w:rPr>
                <w:lang w:val="fr-FR"/>
              </w:rPr>
              <w:t>Modifier la section 3 de l’appendice 1 de l’annexe 1</w:t>
            </w:r>
          </w:p>
        </w:tc>
      </w:tr>
      <w:tr w:rsidR="00E27779" w14:paraId="67CAACAF" w14:textId="77777777" w:rsidTr="00E27779">
        <w:trPr>
          <w:jc w:val="center"/>
        </w:trPr>
        <w:tc>
          <w:tcPr>
            <w:tcW w:w="3407" w:type="dxa"/>
            <w:tcBorders>
              <w:top w:val="nil"/>
              <w:bottom w:val="nil"/>
              <w:right w:val="nil"/>
            </w:tcBorders>
            <w:shd w:val="clear" w:color="auto" w:fill="auto"/>
          </w:tcPr>
          <w:p w14:paraId="20E60FFE" w14:textId="77777777" w:rsidR="00E27779" w:rsidRPr="00C1017C" w:rsidRDefault="00C1017C" w:rsidP="00E27779">
            <w:pPr>
              <w:pStyle w:val="SingleTxtG"/>
              <w:ind w:right="27"/>
              <w:jc w:val="left"/>
              <w:rPr>
                <w:b/>
                <w:bCs/>
                <w:lang w:val="fr-FR"/>
              </w:rPr>
            </w:pPr>
            <w:r w:rsidRPr="00C1017C">
              <w:rPr>
                <w:b/>
                <w:bCs/>
                <w:lang w:val="fr-FR"/>
              </w:rPr>
              <w:t>Documents de référence</w:t>
            </w:r>
            <w:r w:rsidR="00E27779">
              <w:rPr>
                <w:b/>
                <w:bCs/>
                <w:lang w:val="fr-FR"/>
              </w:rPr>
              <w:t> </w:t>
            </w:r>
            <w:r w:rsidRPr="00C1017C">
              <w:rPr>
                <w:b/>
                <w:bCs/>
                <w:lang w:val="fr-FR"/>
              </w:rPr>
              <w:t>:</w:t>
            </w:r>
          </w:p>
        </w:tc>
        <w:tc>
          <w:tcPr>
            <w:tcW w:w="6241" w:type="dxa"/>
            <w:tcBorders>
              <w:left w:val="nil"/>
            </w:tcBorders>
            <w:shd w:val="clear" w:color="auto" w:fill="auto"/>
          </w:tcPr>
          <w:p w14:paraId="35004E5A" w14:textId="77777777" w:rsidR="00E27779" w:rsidRPr="00C1017C" w:rsidRDefault="00C1017C" w:rsidP="005316D8">
            <w:pPr>
              <w:pStyle w:val="SingleTxtG"/>
              <w:ind w:left="113"/>
              <w:rPr>
                <w:lang w:val="fr-FR"/>
              </w:rPr>
            </w:pPr>
            <w:r w:rsidRPr="00C1017C">
              <w:rPr>
                <w:lang w:val="fr-FR"/>
              </w:rPr>
              <w:t>-</w:t>
            </w:r>
          </w:p>
        </w:tc>
      </w:tr>
      <w:tr w:rsidR="00E27779" w14:paraId="391AFD39" w14:textId="77777777" w:rsidTr="00E27779">
        <w:trPr>
          <w:jc w:val="center"/>
        </w:trPr>
        <w:tc>
          <w:tcPr>
            <w:tcW w:w="9648" w:type="dxa"/>
            <w:gridSpan w:val="2"/>
            <w:shd w:val="clear" w:color="auto" w:fill="auto"/>
          </w:tcPr>
          <w:p w14:paraId="654F952E" w14:textId="77777777" w:rsidR="00E27779" w:rsidRDefault="00E27779"/>
        </w:tc>
      </w:tr>
    </w:tbl>
    <w:p w14:paraId="5B7142AE" w14:textId="77777777" w:rsidR="00C1017C" w:rsidRPr="00C1017C" w:rsidRDefault="00C1017C" w:rsidP="00E27779">
      <w:pPr>
        <w:pStyle w:val="HChG"/>
      </w:pPr>
      <w:r w:rsidRPr="00C1017C">
        <w:rPr>
          <w:lang w:val="fr-FR"/>
        </w:rPr>
        <w:tab/>
      </w:r>
      <w:r w:rsidRPr="00C1017C">
        <w:rPr>
          <w:lang w:val="fr-FR"/>
        </w:rPr>
        <w:tab/>
        <w:t>Introduction</w:t>
      </w:r>
    </w:p>
    <w:p w14:paraId="2317F849" w14:textId="77777777" w:rsidR="00C1017C" w:rsidRPr="00C1017C" w:rsidRDefault="00C1017C" w:rsidP="00C1017C">
      <w:pPr>
        <w:pStyle w:val="SingleTxtG"/>
      </w:pPr>
      <w:r w:rsidRPr="00C1017C">
        <w:rPr>
          <w:lang w:val="fr-FR"/>
        </w:rPr>
        <w:t>1.</w:t>
      </w:r>
      <w:r w:rsidRPr="00C1017C">
        <w:rPr>
          <w:lang w:val="fr-FR"/>
        </w:rPr>
        <w:tab/>
        <w:t>Les propriétaires et les exploitants doivent être en mesure de décider librement du lieu d’achat et du type d’équipement qu’ils souhaitent acheter.</w:t>
      </w:r>
    </w:p>
    <w:p w14:paraId="699CD1A6" w14:textId="77777777" w:rsidR="00C1017C" w:rsidRPr="00C1017C" w:rsidRDefault="00C1017C" w:rsidP="00C1017C">
      <w:pPr>
        <w:pStyle w:val="SingleTxtG"/>
      </w:pPr>
      <w:r w:rsidRPr="00C1017C">
        <w:rPr>
          <w:lang w:val="fr-FR"/>
        </w:rPr>
        <w:t>2.</w:t>
      </w:r>
      <w:r w:rsidRPr="00C1017C">
        <w:rPr>
          <w:lang w:val="fr-FR"/>
        </w:rPr>
        <w:tab/>
        <w:t xml:space="preserve">Par exemple, les entreprises ont pour pratique d’acheter les caisses ou les citernes dans un pays et les dispositifs thermiques correspondants dans un autre pays. </w:t>
      </w:r>
    </w:p>
    <w:p w14:paraId="4023B1EF" w14:textId="77777777" w:rsidR="00C1017C" w:rsidRPr="00C1017C" w:rsidRDefault="00C1017C" w:rsidP="00C1017C">
      <w:pPr>
        <w:pStyle w:val="SingleTxtG"/>
      </w:pPr>
      <w:r w:rsidRPr="00C1017C">
        <w:rPr>
          <w:lang w:val="fr-FR"/>
        </w:rPr>
        <w:t>3.</w:t>
      </w:r>
      <w:r w:rsidRPr="00C1017C">
        <w:rPr>
          <w:lang w:val="fr-FR"/>
        </w:rPr>
        <w:tab/>
        <w:t xml:space="preserve">Toutefois, l’ATP ne contient pas de disposition claire sur la manière de parvenir à une pleine conformité dans de tels cas. </w:t>
      </w:r>
    </w:p>
    <w:p w14:paraId="346DF57E" w14:textId="77777777" w:rsidR="00C1017C" w:rsidRPr="00C1017C" w:rsidRDefault="00C1017C" w:rsidP="00C1017C">
      <w:pPr>
        <w:pStyle w:val="SingleTxtG"/>
      </w:pPr>
      <w:r w:rsidRPr="00C1017C">
        <w:rPr>
          <w:lang w:val="fr-FR"/>
        </w:rPr>
        <w:lastRenderedPageBreak/>
        <w:t>4.</w:t>
      </w:r>
      <w:r w:rsidRPr="00C1017C">
        <w:rPr>
          <w:lang w:val="fr-FR"/>
        </w:rPr>
        <w:tab/>
        <w:t>Il faut donc ajouter une disposition claire dans l’ATP sur la manière d’obtenir une attestation de conformité pour les engins qui ne seront équipés de dispositifs thermiques qu’après leur transfert dans un autre pays.</w:t>
      </w:r>
    </w:p>
    <w:p w14:paraId="796FAA2D" w14:textId="77777777" w:rsidR="00C1017C" w:rsidRPr="00C1017C" w:rsidRDefault="00C1017C" w:rsidP="00E27779">
      <w:pPr>
        <w:pStyle w:val="HChG"/>
      </w:pPr>
      <w:r w:rsidRPr="00C1017C">
        <w:rPr>
          <w:lang w:val="fr-FR"/>
        </w:rPr>
        <w:tab/>
      </w:r>
      <w:r w:rsidRPr="00C1017C">
        <w:rPr>
          <w:lang w:val="fr-FR"/>
        </w:rPr>
        <w:tab/>
        <w:t>Proposition d’amendement</w:t>
      </w:r>
    </w:p>
    <w:p w14:paraId="4BE08485" w14:textId="77777777" w:rsidR="00C1017C" w:rsidRPr="00C1017C" w:rsidRDefault="00C1017C" w:rsidP="00C1017C">
      <w:pPr>
        <w:pStyle w:val="SingleTxtG"/>
      </w:pPr>
      <w:r w:rsidRPr="00C1017C">
        <w:rPr>
          <w:lang w:val="fr-FR"/>
        </w:rPr>
        <w:t>5.</w:t>
      </w:r>
      <w:r w:rsidRPr="00C1017C">
        <w:rPr>
          <w:lang w:val="fr-FR"/>
        </w:rPr>
        <w:tab/>
        <w:t>Modifier comme suit le paragraphe ci-après de la section 3 de l’appendice 1 de l’annexe 1 :</w:t>
      </w:r>
    </w:p>
    <w:p w14:paraId="7F48CC09" w14:textId="77777777" w:rsidR="00C1017C" w:rsidRPr="00C1017C" w:rsidRDefault="00C1017C" w:rsidP="00C1017C">
      <w:pPr>
        <w:pStyle w:val="SingleTxtG"/>
      </w:pPr>
      <w:r w:rsidRPr="00C1017C">
        <w:rPr>
          <w:lang w:val="fr-FR"/>
        </w:rPr>
        <w:t>Si l’engin est transféré dans un autre pays qui est Partie contractante à l’ATP, il sera accompagné des documents ci-après, afin que l’autorité compétente du pays dans lequel il sera immatriculé ou enregistré délivre une attestation de conformité</w:t>
      </w:r>
      <w:r w:rsidRPr="00C1017C">
        <w:rPr>
          <w:b/>
          <w:lang w:val="fr-FR"/>
        </w:rPr>
        <w:t>,</w:t>
      </w:r>
      <w:r w:rsidRPr="00C1017C">
        <w:rPr>
          <w:lang w:val="fr-FR"/>
        </w:rPr>
        <w:t xml:space="preserve"> </w:t>
      </w:r>
      <w:r w:rsidRPr="00C1017C">
        <w:rPr>
          <w:b/>
          <w:bCs/>
          <w:lang w:val="fr-FR"/>
        </w:rPr>
        <w:t>à condition que toutes les dispositions de l’ATP soient respectées</w:t>
      </w:r>
      <w:r w:rsidRPr="00C1017C">
        <w:rPr>
          <w:lang w:val="fr-FR"/>
        </w:rPr>
        <w:t>.</w:t>
      </w:r>
    </w:p>
    <w:p w14:paraId="26C880CA" w14:textId="77777777" w:rsidR="00C1017C" w:rsidRPr="00C1017C" w:rsidRDefault="00C1017C" w:rsidP="00C1017C">
      <w:pPr>
        <w:pStyle w:val="SingleTxtG"/>
      </w:pPr>
      <w:r w:rsidRPr="00C1017C">
        <w:rPr>
          <w:lang w:val="fr-FR"/>
        </w:rPr>
        <w:t>6.</w:t>
      </w:r>
      <w:r w:rsidRPr="00C1017C">
        <w:rPr>
          <w:lang w:val="fr-FR"/>
        </w:rPr>
        <w:tab/>
        <w:t>Ajouter un nouveau paragraphe après la section 3 c) de l’appendice 1 de l’annexe 1, libellé comme suit</w:t>
      </w:r>
      <w:r w:rsidR="00E27779">
        <w:rPr>
          <w:lang w:val="fr-FR"/>
        </w:rPr>
        <w:t> </w:t>
      </w:r>
      <w:r w:rsidRPr="00C1017C">
        <w:rPr>
          <w:lang w:val="fr-FR"/>
        </w:rPr>
        <w:t>:</w:t>
      </w:r>
    </w:p>
    <w:p w14:paraId="7501813F" w14:textId="77777777" w:rsidR="00C1017C" w:rsidRPr="00C1017C" w:rsidRDefault="00C1017C" w:rsidP="00C1017C">
      <w:pPr>
        <w:pStyle w:val="SingleTxtG"/>
        <w:rPr>
          <w:b/>
        </w:rPr>
      </w:pPr>
      <w:r w:rsidRPr="00C1017C">
        <w:rPr>
          <w:b/>
          <w:bCs/>
          <w:lang w:val="fr-FR"/>
        </w:rPr>
        <w:t>Dans le cas d’un engin isotherme neuf qui ne sera équipé de dispositifs thermiques qu’après son transfert dans un autre pays qui est une Partie contractante à l’ATP, les autorités compétentes délivrent un certificat de conformité si le dispositif thermique est installé dans un délai de six mois à compter de la date de production du dispositif, en partant de la toute première date de production, et si les documents indiqués à la section 6 a), b) et c) sont fournis.</w:t>
      </w:r>
    </w:p>
    <w:p w14:paraId="55C8531C" w14:textId="77777777" w:rsidR="00C1017C" w:rsidRPr="00C1017C" w:rsidRDefault="00C1017C" w:rsidP="00E27779">
      <w:pPr>
        <w:pStyle w:val="HChG"/>
      </w:pPr>
      <w:r w:rsidRPr="00C1017C">
        <w:rPr>
          <w:lang w:val="fr-FR"/>
        </w:rPr>
        <w:tab/>
      </w:r>
      <w:r w:rsidRPr="00C1017C">
        <w:rPr>
          <w:lang w:val="fr-FR"/>
        </w:rPr>
        <w:tab/>
        <w:t>Incidence</w:t>
      </w:r>
    </w:p>
    <w:tbl>
      <w:tblPr>
        <w:tblW w:w="0" w:type="auto"/>
        <w:tblInd w:w="1134" w:type="dxa"/>
        <w:tblLayout w:type="fixed"/>
        <w:tblCellMar>
          <w:left w:w="0" w:type="dxa"/>
          <w:right w:w="0" w:type="dxa"/>
        </w:tblCellMar>
        <w:tblLook w:val="01E0" w:firstRow="1" w:lastRow="1" w:firstColumn="1" w:lastColumn="1" w:noHBand="0" w:noVBand="0"/>
      </w:tblPr>
      <w:tblGrid>
        <w:gridCol w:w="1985"/>
        <w:gridCol w:w="5528"/>
      </w:tblGrid>
      <w:tr w:rsidR="00C1017C" w:rsidRPr="00C1017C" w14:paraId="2A938B6B" w14:textId="77777777" w:rsidTr="005316D8">
        <w:tc>
          <w:tcPr>
            <w:tcW w:w="1985" w:type="dxa"/>
            <w:shd w:val="clear" w:color="auto" w:fill="auto"/>
          </w:tcPr>
          <w:p w14:paraId="01293184" w14:textId="77777777" w:rsidR="00C1017C" w:rsidRPr="00C1017C" w:rsidRDefault="00C1017C" w:rsidP="00E27779">
            <w:pPr>
              <w:kinsoku/>
              <w:overflowPunct/>
              <w:autoSpaceDE/>
              <w:autoSpaceDN/>
              <w:adjustRightInd/>
              <w:snapToGrid/>
              <w:spacing w:after="120"/>
              <w:rPr>
                <w:rFonts w:eastAsia="Times New Roman"/>
                <w:lang w:val="fr-FR"/>
              </w:rPr>
            </w:pPr>
            <w:r w:rsidRPr="00C1017C">
              <w:rPr>
                <w:rFonts w:eastAsia="Times New Roman"/>
                <w:lang w:val="fr-FR"/>
              </w:rPr>
              <w:t>Coût</w:t>
            </w:r>
            <w:r w:rsidR="00E27779">
              <w:rPr>
                <w:rFonts w:eastAsia="Times New Roman"/>
                <w:lang w:val="fr-FR"/>
              </w:rPr>
              <w:t> </w:t>
            </w:r>
            <w:r w:rsidRPr="00C1017C">
              <w:rPr>
                <w:rFonts w:eastAsia="Times New Roman"/>
                <w:lang w:val="fr-FR"/>
              </w:rPr>
              <w:t>:</w:t>
            </w:r>
          </w:p>
        </w:tc>
        <w:tc>
          <w:tcPr>
            <w:tcW w:w="5528" w:type="dxa"/>
            <w:shd w:val="clear" w:color="auto" w:fill="auto"/>
          </w:tcPr>
          <w:p w14:paraId="245D4E5A" w14:textId="77777777" w:rsidR="00C1017C" w:rsidRPr="00C1017C" w:rsidRDefault="00C1017C" w:rsidP="00E27779">
            <w:pPr>
              <w:kinsoku/>
              <w:overflowPunct/>
              <w:autoSpaceDE/>
              <w:autoSpaceDN/>
              <w:adjustRightInd/>
              <w:snapToGrid/>
              <w:spacing w:after="120"/>
              <w:rPr>
                <w:rFonts w:eastAsia="Times New Roman"/>
                <w:lang w:val="fr-FR"/>
              </w:rPr>
            </w:pPr>
            <w:r w:rsidRPr="00C1017C">
              <w:rPr>
                <w:rFonts w:eastAsia="Times New Roman"/>
                <w:lang w:val="fr-FR"/>
              </w:rPr>
              <w:t>Aucune incidence.</w:t>
            </w:r>
          </w:p>
        </w:tc>
      </w:tr>
      <w:tr w:rsidR="00C1017C" w:rsidRPr="00C1017C" w14:paraId="183BA6FC" w14:textId="77777777" w:rsidTr="005316D8">
        <w:tc>
          <w:tcPr>
            <w:tcW w:w="1985" w:type="dxa"/>
            <w:shd w:val="clear" w:color="auto" w:fill="auto"/>
          </w:tcPr>
          <w:p w14:paraId="79585A1A" w14:textId="77777777" w:rsidR="00C1017C" w:rsidRPr="00C1017C" w:rsidRDefault="00C1017C" w:rsidP="00E27779">
            <w:pPr>
              <w:kinsoku/>
              <w:overflowPunct/>
              <w:autoSpaceDE/>
              <w:autoSpaceDN/>
              <w:adjustRightInd/>
              <w:snapToGrid/>
              <w:spacing w:after="120"/>
              <w:rPr>
                <w:rFonts w:eastAsia="Times New Roman"/>
                <w:lang w:val="fr-FR"/>
              </w:rPr>
            </w:pPr>
            <w:r w:rsidRPr="00C1017C">
              <w:rPr>
                <w:rFonts w:eastAsia="Times New Roman"/>
                <w:lang w:val="fr-FR"/>
              </w:rPr>
              <w:t>Faisabilité</w:t>
            </w:r>
            <w:r w:rsidR="00E27779">
              <w:rPr>
                <w:rFonts w:eastAsia="Times New Roman"/>
                <w:lang w:val="fr-FR"/>
              </w:rPr>
              <w:t> </w:t>
            </w:r>
            <w:r w:rsidRPr="00C1017C">
              <w:rPr>
                <w:rFonts w:eastAsia="Times New Roman"/>
                <w:lang w:val="fr-FR"/>
              </w:rPr>
              <w:t>:</w:t>
            </w:r>
          </w:p>
        </w:tc>
        <w:tc>
          <w:tcPr>
            <w:tcW w:w="5528" w:type="dxa"/>
            <w:shd w:val="clear" w:color="auto" w:fill="auto"/>
          </w:tcPr>
          <w:p w14:paraId="4D8591EA" w14:textId="77777777" w:rsidR="00C1017C" w:rsidRPr="00C1017C" w:rsidRDefault="00C1017C" w:rsidP="00E27779">
            <w:pPr>
              <w:kinsoku/>
              <w:overflowPunct/>
              <w:autoSpaceDE/>
              <w:autoSpaceDN/>
              <w:adjustRightInd/>
              <w:snapToGrid/>
              <w:spacing w:after="120"/>
              <w:rPr>
                <w:rFonts w:eastAsia="Times New Roman"/>
                <w:lang w:val="fr-FR"/>
              </w:rPr>
            </w:pPr>
            <w:r w:rsidRPr="00C1017C">
              <w:rPr>
                <w:rFonts w:eastAsia="Times New Roman"/>
                <w:lang w:val="fr-FR"/>
              </w:rPr>
              <w:t>L’amendement proposé peut aisément être introduit dans l’ATP. Aucune</w:t>
            </w:r>
            <w:r w:rsidR="00E27779" w:rsidRPr="00E27779">
              <w:rPr>
                <w:rFonts w:eastAsia="Times New Roman"/>
                <w:lang w:val="fr-FR"/>
              </w:rPr>
              <w:t> </w:t>
            </w:r>
            <w:r w:rsidRPr="00C1017C">
              <w:rPr>
                <w:rFonts w:eastAsia="Times New Roman"/>
                <w:lang w:val="fr-FR"/>
              </w:rPr>
              <w:t>période transitoire n’est nécessaire.</w:t>
            </w:r>
          </w:p>
        </w:tc>
      </w:tr>
      <w:tr w:rsidR="00C1017C" w:rsidRPr="00C1017C" w14:paraId="4C0B03CC" w14:textId="77777777" w:rsidTr="005316D8">
        <w:trPr>
          <w:trHeight w:val="192"/>
        </w:trPr>
        <w:tc>
          <w:tcPr>
            <w:tcW w:w="1985" w:type="dxa"/>
            <w:shd w:val="clear" w:color="auto" w:fill="auto"/>
          </w:tcPr>
          <w:p w14:paraId="4381D761" w14:textId="77777777" w:rsidR="00C1017C" w:rsidRPr="00C1017C" w:rsidRDefault="00C1017C" w:rsidP="00E27779">
            <w:pPr>
              <w:kinsoku/>
              <w:overflowPunct/>
              <w:autoSpaceDE/>
              <w:autoSpaceDN/>
              <w:adjustRightInd/>
              <w:snapToGrid/>
              <w:spacing w:after="120"/>
              <w:rPr>
                <w:rFonts w:eastAsia="Times New Roman"/>
                <w:lang w:val="fr-FR"/>
              </w:rPr>
            </w:pPr>
            <w:r w:rsidRPr="00C1017C">
              <w:rPr>
                <w:rFonts w:eastAsia="Times New Roman"/>
                <w:lang w:val="fr-FR"/>
              </w:rPr>
              <w:t>Application effective :</w:t>
            </w:r>
          </w:p>
        </w:tc>
        <w:tc>
          <w:tcPr>
            <w:tcW w:w="5528" w:type="dxa"/>
            <w:shd w:val="clear" w:color="auto" w:fill="auto"/>
          </w:tcPr>
          <w:p w14:paraId="6730892A" w14:textId="77777777" w:rsidR="00C1017C" w:rsidRPr="00C1017C" w:rsidRDefault="00C1017C" w:rsidP="00E27779">
            <w:pPr>
              <w:kinsoku/>
              <w:overflowPunct/>
              <w:autoSpaceDE/>
              <w:autoSpaceDN/>
              <w:adjustRightInd/>
              <w:snapToGrid/>
              <w:spacing w:after="120"/>
              <w:rPr>
                <w:rFonts w:eastAsia="Times New Roman"/>
                <w:lang w:val="fr-FR"/>
              </w:rPr>
            </w:pPr>
            <w:r w:rsidRPr="00C1017C">
              <w:rPr>
                <w:rFonts w:eastAsia="Times New Roman"/>
                <w:lang w:val="fr-FR"/>
              </w:rPr>
              <w:t>Aucune difficulté n’est à prévoir.</w:t>
            </w:r>
          </w:p>
        </w:tc>
      </w:tr>
    </w:tbl>
    <w:p w14:paraId="5D9D8665" w14:textId="77777777" w:rsidR="00F9573C" w:rsidRPr="00C1017C" w:rsidRDefault="00C1017C" w:rsidP="00C1017C">
      <w:pPr>
        <w:pStyle w:val="SingleTxtG"/>
        <w:spacing w:before="240" w:after="0"/>
        <w:jc w:val="center"/>
        <w:rPr>
          <w:u w:val="single"/>
        </w:rPr>
      </w:pPr>
      <w:r>
        <w:rPr>
          <w:u w:val="single"/>
        </w:rPr>
        <w:tab/>
      </w:r>
      <w:r>
        <w:rPr>
          <w:u w:val="single"/>
        </w:rPr>
        <w:tab/>
      </w:r>
      <w:r>
        <w:rPr>
          <w:u w:val="single"/>
        </w:rPr>
        <w:tab/>
      </w:r>
    </w:p>
    <w:sectPr w:rsidR="00F9573C" w:rsidRPr="00C1017C" w:rsidSect="00C101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0B5A" w14:textId="77777777" w:rsidR="009F4616" w:rsidRDefault="009F4616" w:rsidP="00F95C08">
      <w:pPr>
        <w:spacing w:line="240" w:lineRule="auto"/>
      </w:pPr>
    </w:p>
  </w:endnote>
  <w:endnote w:type="continuationSeparator" w:id="0">
    <w:p w14:paraId="06EA9BDE" w14:textId="77777777" w:rsidR="009F4616" w:rsidRPr="00AC3823" w:rsidRDefault="009F4616" w:rsidP="00AC3823">
      <w:pPr>
        <w:pStyle w:val="Footer"/>
      </w:pPr>
    </w:p>
  </w:endnote>
  <w:endnote w:type="continuationNotice" w:id="1">
    <w:p w14:paraId="16317D0C" w14:textId="77777777" w:rsidR="009F4616" w:rsidRDefault="009F4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EA52" w14:textId="77777777" w:rsidR="00C1017C" w:rsidRPr="00C1017C" w:rsidRDefault="00C1017C" w:rsidP="00C1017C">
    <w:pPr>
      <w:pStyle w:val="Footer"/>
      <w:tabs>
        <w:tab w:val="right" w:pos="9638"/>
      </w:tabs>
    </w:pPr>
    <w:r w:rsidRPr="00C1017C">
      <w:rPr>
        <w:b/>
        <w:sz w:val="18"/>
      </w:rPr>
      <w:fldChar w:fldCharType="begin"/>
    </w:r>
    <w:r w:rsidRPr="00C1017C">
      <w:rPr>
        <w:b/>
        <w:sz w:val="18"/>
      </w:rPr>
      <w:instrText xml:space="preserve"> PAGE  \* MERGEFORMAT </w:instrText>
    </w:r>
    <w:r w:rsidRPr="00C1017C">
      <w:rPr>
        <w:b/>
        <w:sz w:val="18"/>
      </w:rPr>
      <w:fldChar w:fldCharType="separate"/>
    </w:r>
    <w:r w:rsidRPr="00C1017C">
      <w:rPr>
        <w:b/>
        <w:noProof/>
        <w:sz w:val="18"/>
      </w:rPr>
      <w:t>2</w:t>
    </w:r>
    <w:r w:rsidRPr="00C1017C">
      <w:rPr>
        <w:b/>
        <w:sz w:val="18"/>
      </w:rPr>
      <w:fldChar w:fldCharType="end"/>
    </w:r>
    <w:r>
      <w:rPr>
        <w:b/>
        <w:sz w:val="18"/>
      </w:rPr>
      <w:tab/>
    </w:r>
    <w:r>
      <w:t>GE.19-12562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A37A" w14:textId="77777777" w:rsidR="00C1017C" w:rsidRPr="00C1017C" w:rsidRDefault="00C1017C" w:rsidP="00C1017C">
    <w:pPr>
      <w:pStyle w:val="Footer"/>
      <w:tabs>
        <w:tab w:val="right" w:pos="9638"/>
      </w:tabs>
      <w:rPr>
        <w:b/>
        <w:sz w:val="18"/>
      </w:rPr>
    </w:pPr>
    <w:r>
      <w:t>GE.19-12562</w:t>
    </w:r>
    <w:r>
      <w:tab/>
    </w:r>
    <w:r w:rsidRPr="00C1017C">
      <w:rPr>
        <w:b/>
        <w:sz w:val="18"/>
      </w:rPr>
      <w:fldChar w:fldCharType="begin"/>
    </w:r>
    <w:r w:rsidRPr="00C1017C">
      <w:rPr>
        <w:b/>
        <w:sz w:val="18"/>
      </w:rPr>
      <w:instrText xml:space="preserve"> PAGE  \* MERGEFORMAT </w:instrText>
    </w:r>
    <w:r w:rsidRPr="00C1017C">
      <w:rPr>
        <w:b/>
        <w:sz w:val="18"/>
      </w:rPr>
      <w:fldChar w:fldCharType="separate"/>
    </w:r>
    <w:r w:rsidRPr="00C1017C">
      <w:rPr>
        <w:b/>
        <w:noProof/>
        <w:sz w:val="18"/>
      </w:rPr>
      <w:t>3</w:t>
    </w:r>
    <w:r w:rsidRPr="00C101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816D" w14:textId="77777777" w:rsidR="007F20FA" w:rsidRPr="00C1017C" w:rsidRDefault="00C1017C" w:rsidP="00C1017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E86AD0" wp14:editId="275670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12562  (</w:t>
    </w:r>
    <w:proofErr w:type="gramEnd"/>
    <w:r>
      <w:rPr>
        <w:sz w:val="20"/>
      </w:rPr>
      <w:t>F)    1</w:t>
    </w:r>
    <w:r w:rsidR="006F13F2">
      <w:rPr>
        <w:sz w:val="20"/>
      </w:rPr>
      <w:t>6</w:t>
    </w:r>
    <w:r>
      <w:rPr>
        <w:sz w:val="20"/>
      </w:rPr>
      <w:t>0819    1</w:t>
    </w:r>
    <w:r w:rsidR="006F13F2">
      <w:rPr>
        <w:sz w:val="20"/>
      </w:rPr>
      <w:t>9</w:t>
    </w:r>
    <w:r>
      <w:rPr>
        <w:sz w:val="20"/>
      </w:rPr>
      <w:t>0819</w:t>
    </w:r>
    <w:r>
      <w:rPr>
        <w:sz w:val="20"/>
      </w:rPr>
      <w:br/>
    </w:r>
    <w:r w:rsidRPr="00C1017C">
      <w:rPr>
        <w:rFonts w:ascii="C39T30Lfz" w:hAnsi="C39T30Lfz"/>
        <w:sz w:val="56"/>
      </w:rPr>
      <w:t></w:t>
    </w:r>
    <w:r w:rsidRPr="00C1017C">
      <w:rPr>
        <w:rFonts w:ascii="C39T30Lfz" w:hAnsi="C39T30Lfz"/>
        <w:sz w:val="56"/>
      </w:rPr>
      <w:t></w:t>
    </w:r>
    <w:r w:rsidRPr="00C1017C">
      <w:rPr>
        <w:rFonts w:ascii="C39T30Lfz" w:hAnsi="C39T30Lfz"/>
        <w:sz w:val="56"/>
      </w:rPr>
      <w:t></w:t>
    </w:r>
    <w:r w:rsidRPr="00C1017C">
      <w:rPr>
        <w:rFonts w:ascii="C39T30Lfz" w:hAnsi="C39T30Lfz"/>
        <w:sz w:val="56"/>
      </w:rPr>
      <w:t></w:t>
    </w:r>
    <w:r w:rsidRPr="00C1017C">
      <w:rPr>
        <w:rFonts w:ascii="C39T30Lfz" w:hAnsi="C39T30Lfz"/>
        <w:sz w:val="56"/>
      </w:rPr>
      <w:t></w:t>
    </w:r>
    <w:r w:rsidRPr="00C1017C">
      <w:rPr>
        <w:rFonts w:ascii="C39T30Lfz" w:hAnsi="C39T30Lfz"/>
        <w:sz w:val="56"/>
      </w:rPr>
      <w:t></w:t>
    </w:r>
    <w:r w:rsidRPr="00C1017C">
      <w:rPr>
        <w:rFonts w:ascii="C39T30Lfz" w:hAnsi="C39T30Lfz"/>
        <w:sz w:val="56"/>
      </w:rPr>
      <w:t></w:t>
    </w:r>
    <w:r w:rsidRPr="00C1017C">
      <w:rPr>
        <w:rFonts w:ascii="C39T30Lfz" w:hAnsi="C39T30Lfz"/>
        <w:sz w:val="56"/>
      </w:rPr>
      <w:t></w:t>
    </w:r>
    <w:r w:rsidRPr="00C1017C">
      <w:rPr>
        <w:rFonts w:ascii="C39T30Lfz" w:hAnsi="C39T30Lfz"/>
        <w:sz w:val="56"/>
      </w:rPr>
      <w:t></w:t>
    </w:r>
    <w:r>
      <w:rPr>
        <w:noProof/>
        <w:sz w:val="20"/>
      </w:rPr>
      <w:drawing>
        <wp:anchor distT="0" distB="0" distL="114300" distR="114300" simplePos="0" relativeHeight="251658240" behindDoc="0" locked="0" layoutInCell="1" allowOverlap="1" wp14:anchorId="3A313326" wp14:editId="0C83FCC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0BC0" w14:textId="77777777" w:rsidR="009F4616" w:rsidRPr="00AC3823" w:rsidRDefault="009F4616" w:rsidP="00AC3823">
      <w:pPr>
        <w:pStyle w:val="Footer"/>
        <w:tabs>
          <w:tab w:val="right" w:pos="2155"/>
        </w:tabs>
        <w:spacing w:after="80" w:line="240" w:lineRule="atLeast"/>
        <w:ind w:left="680"/>
        <w:rPr>
          <w:u w:val="single"/>
        </w:rPr>
      </w:pPr>
      <w:r>
        <w:rPr>
          <w:u w:val="single"/>
        </w:rPr>
        <w:tab/>
      </w:r>
    </w:p>
  </w:footnote>
  <w:footnote w:type="continuationSeparator" w:id="0">
    <w:p w14:paraId="5929138E" w14:textId="77777777" w:rsidR="009F4616" w:rsidRPr="00AC3823" w:rsidRDefault="009F4616" w:rsidP="00AC3823">
      <w:pPr>
        <w:pStyle w:val="Footer"/>
        <w:tabs>
          <w:tab w:val="right" w:pos="2155"/>
        </w:tabs>
        <w:spacing w:after="80" w:line="240" w:lineRule="atLeast"/>
        <w:ind w:left="680"/>
        <w:rPr>
          <w:u w:val="single"/>
        </w:rPr>
      </w:pPr>
      <w:r>
        <w:rPr>
          <w:u w:val="single"/>
        </w:rPr>
        <w:tab/>
      </w:r>
    </w:p>
  </w:footnote>
  <w:footnote w:type="continuationNotice" w:id="1">
    <w:p w14:paraId="0B36D22D" w14:textId="77777777" w:rsidR="009F4616" w:rsidRPr="00AC3823" w:rsidRDefault="009F461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C0BC" w14:textId="1928803D" w:rsidR="00C1017C" w:rsidRPr="00C1017C" w:rsidRDefault="00D37BEB">
    <w:pPr>
      <w:pStyle w:val="Header"/>
    </w:pPr>
    <w:fldSimple w:instr=" TITLE  \* MERGEFORMAT ">
      <w:r w:rsidR="005934BC">
        <w:t>ECE/TRANS/WP.11/2019/5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5AB0" w14:textId="57285B70" w:rsidR="00C1017C" w:rsidRPr="00C1017C" w:rsidRDefault="00D37BEB" w:rsidP="00C1017C">
    <w:pPr>
      <w:pStyle w:val="Header"/>
      <w:jc w:val="right"/>
    </w:pPr>
    <w:fldSimple w:instr=" TITLE  \* MERGEFORMAT ">
      <w:r w:rsidR="005934BC">
        <w:t>ECE/TRANS/WP.11/2019/5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16"/>
    <w:rsid w:val="00017F94"/>
    <w:rsid w:val="00023842"/>
    <w:rsid w:val="000334F9"/>
    <w:rsid w:val="00045FEB"/>
    <w:rsid w:val="0007796D"/>
    <w:rsid w:val="000B7790"/>
    <w:rsid w:val="00111F2F"/>
    <w:rsid w:val="0014365E"/>
    <w:rsid w:val="00143C66"/>
    <w:rsid w:val="00176178"/>
    <w:rsid w:val="001F525A"/>
    <w:rsid w:val="00223272"/>
    <w:rsid w:val="00246EF9"/>
    <w:rsid w:val="0024779E"/>
    <w:rsid w:val="00257168"/>
    <w:rsid w:val="002622FB"/>
    <w:rsid w:val="002744B8"/>
    <w:rsid w:val="002832AC"/>
    <w:rsid w:val="002D7C93"/>
    <w:rsid w:val="00305801"/>
    <w:rsid w:val="003916DE"/>
    <w:rsid w:val="00421996"/>
    <w:rsid w:val="00441C3B"/>
    <w:rsid w:val="00446FE5"/>
    <w:rsid w:val="00452396"/>
    <w:rsid w:val="004837D8"/>
    <w:rsid w:val="004E2EED"/>
    <w:rsid w:val="004E468C"/>
    <w:rsid w:val="00522C6F"/>
    <w:rsid w:val="005316D8"/>
    <w:rsid w:val="005505B7"/>
    <w:rsid w:val="00573BE5"/>
    <w:rsid w:val="005815A5"/>
    <w:rsid w:val="00586ED3"/>
    <w:rsid w:val="00592B33"/>
    <w:rsid w:val="005934BC"/>
    <w:rsid w:val="00596AA9"/>
    <w:rsid w:val="006F13F2"/>
    <w:rsid w:val="0071601D"/>
    <w:rsid w:val="007A62E6"/>
    <w:rsid w:val="007F20FA"/>
    <w:rsid w:val="0080684C"/>
    <w:rsid w:val="00871C75"/>
    <w:rsid w:val="008776DC"/>
    <w:rsid w:val="009446C0"/>
    <w:rsid w:val="009705C8"/>
    <w:rsid w:val="009C1CF4"/>
    <w:rsid w:val="009F4616"/>
    <w:rsid w:val="009F6B74"/>
    <w:rsid w:val="00A3029F"/>
    <w:rsid w:val="00A30353"/>
    <w:rsid w:val="00A76E0F"/>
    <w:rsid w:val="00AC3823"/>
    <w:rsid w:val="00AE323C"/>
    <w:rsid w:val="00AF0CB5"/>
    <w:rsid w:val="00B00181"/>
    <w:rsid w:val="00B00B0D"/>
    <w:rsid w:val="00B45F2E"/>
    <w:rsid w:val="00B765F7"/>
    <w:rsid w:val="00BA0CA9"/>
    <w:rsid w:val="00C02897"/>
    <w:rsid w:val="00C1017C"/>
    <w:rsid w:val="00C97039"/>
    <w:rsid w:val="00D3439C"/>
    <w:rsid w:val="00D37BEB"/>
    <w:rsid w:val="00DB1831"/>
    <w:rsid w:val="00DD3BFD"/>
    <w:rsid w:val="00DF6678"/>
    <w:rsid w:val="00E0299A"/>
    <w:rsid w:val="00E27779"/>
    <w:rsid w:val="00E85C74"/>
    <w:rsid w:val="00EA2B0F"/>
    <w:rsid w:val="00EA6547"/>
    <w:rsid w:val="00EF2E22"/>
    <w:rsid w:val="00F35BAF"/>
    <w:rsid w:val="00F660DF"/>
    <w:rsid w:val="00F852B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5395B"/>
  <w15:docId w15:val="{7BC4F257-4ADD-4551-9868-D71F4F46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2777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ECE/TRANS/WP.11/2019/5</vt:lpstr>
      <vt:lpstr>ECE/TRANS/WP.11/2019/5</vt:lpstr>
    </vt:vector>
  </TitlesOfParts>
  <Company>DCM</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ECE/TRANS/WP.11/2019/5</dc:title>
  <dc:subject/>
  <dc:creator>Ramzi TOUMA</dc:creator>
  <cp:keywords/>
  <cp:lastModifiedBy>Marie-Claude Collet</cp:lastModifiedBy>
  <cp:revision>3</cp:revision>
  <cp:lastPrinted>2019-08-19T14:12:00Z</cp:lastPrinted>
  <dcterms:created xsi:type="dcterms:W3CDTF">2019-08-19T14:12:00Z</dcterms:created>
  <dcterms:modified xsi:type="dcterms:W3CDTF">2019-08-19T14:12:00Z</dcterms:modified>
</cp:coreProperties>
</file>