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E79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E7905" w:rsidP="007E7905">
            <w:pPr>
              <w:jc w:val="right"/>
            </w:pPr>
            <w:r w:rsidRPr="007E7905">
              <w:rPr>
                <w:sz w:val="40"/>
              </w:rPr>
              <w:t>ECE</w:t>
            </w:r>
            <w:r>
              <w:t>/TRANS/2019/6</w:t>
            </w:r>
          </w:p>
        </w:tc>
      </w:tr>
      <w:tr w:rsidR="002D5AAC" w:rsidRPr="004836B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E790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E7905" w:rsidRDefault="007E7905" w:rsidP="007E79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December 2018</w:t>
            </w:r>
          </w:p>
          <w:p w:rsidR="007E7905" w:rsidRDefault="007E7905" w:rsidP="007E79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E7905" w:rsidRPr="008D53B6" w:rsidRDefault="007E7905" w:rsidP="007E79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7E7905" w:rsidRPr="007E7905" w:rsidRDefault="007E7905" w:rsidP="007E7905">
      <w:pPr>
        <w:spacing w:before="120"/>
        <w:rPr>
          <w:b/>
          <w:bCs/>
          <w:sz w:val="28"/>
          <w:szCs w:val="28"/>
        </w:rPr>
      </w:pPr>
      <w:r w:rsidRPr="007E7905">
        <w:rPr>
          <w:b/>
          <w:bCs/>
          <w:sz w:val="28"/>
          <w:szCs w:val="28"/>
        </w:rPr>
        <w:t>Европейская экономическая комиссия</w:t>
      </w:r>
    </w:p>
    <w:p w:rsidR="007E7905" w:rsidRPr="007E7905" w:rsidRDefault="007E7905" w:rsidP="007E7905">
      <w:pPr>
        <w:spacing w:before="120"/>
        <w:rPr>
          <w:sz w:val="28"/>
          <w:szCs w:val="28"/>
        </w:rPr>
      </w:pPr>
      <w:r w:rsidRPr="007E7905">
        <w:rPr>
          <w:sz w:val="28"/>
          <w:szCs w:val="28"/>
        </w:rPr>
        <w:t>Комитет по внутреннему транспорту</w:t>
      </w:r>
    </w:p>
    <w:p w:rsidR="007E7905" w:rsidRPr="0018060A" w:rsidRDefault="007E7905" w:rsidP="007E7905">
      <w:pPr>
        <w:spacing w:before="120"/>
        <w:rPr>
          <w:b/>
          <w:bCs/>
        </w:rPr>
      </w:pPr>
      <w:r>
        <w:rPr>
          <w:b/>
          <w:bCs/>
        </w:rPr>
        <w:t>Восемьдесят первая сессия</w:t>
      </w:r>
    </w:p>
    <w:p w:rsidR="007E7905" w:rsidRPr="0018060A" w:rsidRDefault="007E7905" w:rsidP="007E7905">
      <w:pPr>
        <w:rPr>
          <w:bCs/>
        </w:rPr>
      </w:pPr>
      <w:r>
        <w:t>Женева, 19–22 февраля 2019 года</w:t>
      </w:r>
    </w:p>
    <w:p w:rsidR="007E7905" w:rsidRDefault="007E7905" w:rsidP="007E7905">
      <w:r>
        <w:t>Пункт 4 d) i) предварительной повестки дня</w:t>
      </w:r>
    </w:p>
    <w:p w:rsidR="007E7905" w:rsidRPr="00677462" w:rsidRDefault="007E7905" w:rsidP="007E7905">
      <w:pPr>
        <w:rPr>
          <w:b/>
          <w:bCs/>
        </w:rPr>
      </w:pPr>
      <w:r w:rsidRPr="00677462">
        <w:rPr>
          <w:b/>
          <w:bCs/>
        </w:rPr>
        <w:t xml:space="preserve">Стратегические вопросы горизонтальной политики: </w:t>
      </w:r>
      <w:r>
        <w:rPr>
          <w:b/>
          <w:bCs/>
        </w:rPr>
        <w:br/>
        <w:t>О</w:t>
      </w:r>
      <w:r w:rsidRPr="00677462">
        <w:rPr>
          <w:b/>
          <w:bCs/>
        </w:rPr>
        <w:t xml:space="preserve">кружающая среда, изменение климата и транспорт: </w:t>
      </w:r>
      <w:r>
        <w:rPr>
          <w:b/>
          <w:bCs/>
        </w:rPr>
        <w:br/>
      </w:r>
      <w:r w:rsidRPr="00677462">
        <w:rPr>
          <w:b/>
          <w:bCs/>
        </w:rPr>
        <w:t xml:space="preserve">Последующая деятельность КВТ в контексте </w:t>
      </w:r>
      <w:r>
        <w:rPr>
          <w:b/>
          <w:bCs/>
        </w:rPr>
        <w:br/>
      </w:r>
      <w:r w:rsidRPr="00677462">
        <w:rPr>
          <w:b/>
          <w:bCs/>
        </w:rPr>
        <w:t>Повестки дня на период до 2030 года</w:t>
      </w:r>
    </w:p>
    <w:p w:rsidR="007E7905" w:rsidRPr="0018060A" w:rsidRDefault="007E7905" w:rsidP="007E7905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Роль внутреннего транспорта в достижении целей устойчивого развития: обновленная информация о</w:t>
      </w:r>
      <w:r>
        <w:rPr>
          <w:lang w:val="en-US"/>
        </w:rPr>
        <w:t> </w:t>
      </w:r>
      <w:r>
        <w:rPr>
          <w:lang w:val="ru-RU"/>
        </w:rPr>
        <w:t xml:space="preserve">мониторинге осуществления </w:t>
      </w:r>
    </w:p>
    <w:p w:rsidR="007E7905" w:rsidRPr="00B720FF" w:rsidRDefault="007E7905" w:rsidP="007E7905">
      <w:pPr>
        <w:pStyle w:val="H1G"/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Записка секретариата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7E7905" w:rsidRPr="00B720FF" w:rsidTr="00842AFE">
        <w:trPr>
          <w:jc w:val="center"/>
        </w:trPr>
        <w:tc>
          <w:tcPr>
            <w:tcW w:w="9637" w:type="dxa"/>
            <w:shd w:val="clear" w:color="auto" w:fill="auto"/>
          </w:tcPr>
          <w:p w:rsidR="007E7905" w:rsidRPr="007E7905" w:rsidRDefault="007E7905" w:rsidP="00842AFE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7E7905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7E7905" w:rsidRPr="000F54DF" w:rsidTr="00842AFE">
        <w:trPr>
          <w:jc w:val="center"/>
        </w:trPr>
        <w:tc>
          <w:tcPr>
            <w:tcW w:w="9637" w:type="dxa"/>
            <w:shd w:val="clear" w:color="auto" w:fill="auto"/>
          </w:tcPr>
          <w:p w:rsidR="007E7905" w:rsidRPr="00677462" w:rsidRDefault="007E7905" w:rsidP="00842AFE">
            <w:pPr>
              <w:pStyle w:val="SingleTxtG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 xml:space="preserve">В настоящем документе содержится информация об основных изменениях, касающихся мониторинга осуществления Повестки дня в области устойчивого развития на период до 2030 года и достижения целей устойчивого развития. Существует три основных глобальных процесса и инициативы для отслеживания прогресса: цели и задачи в области устойчивого развития и соответствующие показатели, инициатива «Устойчивая мобильность для всех» (SUM4ALL) и инициатива по разработке добровольных глобальных целевых показателей эффективности и состояния безопасности дорожного движения. Комитет по внутреннему транспорту (КВТ) вносит непосредственный вклад во все эти три процесса в рамках своей нормативной, аналитической деятельности, деятельности по наращиванию потенциала и работы, связанной с вопросами политики. </w:t>
            </w:r>
          </w:p>
        </w:tc>
      </w:tr>
      <w:tr w:rsidR="007E7905" w:rsidRPr="000F54DF" w:rsidTr="00842AFE">
        <w:trPr>
          <w:jc w:val="center"/>
        </w:trPr>
        <w:tc>
          <w:tcPr>
            <w:tcW w:w="9637" w:type="dxa"/>
            <w:shd w:val="clear" w:color="auto" w:fill="auto"/>
          </w:tcPr>
          <w:p w:rsidR="007E7905" w:rsidRPr="0018060A" w:rsidRDefault="007E7905" w:rsidP="00842AFE">
            <w:pPr>
              <w:pStyle w:val="SingleTxtG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 xml:space="preserve">В свете продолжающихся усилий по переориентации системы Организации Объединенных Наций для содействия эффективному достижению целей устойчивого развития роль КВТ в решении глобальных транспортных вопросов, в том числе в рамках его нормативной, аналитической деятельности, деятельности по наращиванию потенциала и работы, связанной с вопросами политики, приобретает еще большее значение. Комитет, возможно, пожелает </w:t>
            </w:r>
            <w:r w:rsidRPr="00EF2B83">
              <w:rPr>
                <w:b/>
                <w:lang w:val="ru-RU"/>
              </w:rPr>
              <w:t xml:space="preserve">обсудить пути повышения </w:t>
            </w:r>
            <w:r>
              <w:rPr>
                <w:lang w:val="ru-RU"/>
              </w:rPr>
              <w:t>своей роли и расширения вклада в выполнение задач, касающихся транспорта, в контексте Повестки дня на период до 2030 года.</w:t>
            </w:r>
          </w:p>
        </w:tc>
      </w:tr>
      <w:tr w:rsidR="007E7905" w:rsidRPr="000F54DF" w:rsidTr="00842AFE">
        <w:trPr>
          <w:jc w:val="center"/>
        </w:trPr>
        <w:tc>
          <w:tcPr>
            <w:tcW w:w="9637" w:type="dxa"/>
            <w:shd w:val="clear" w:color="auto" w:fill="auto"/>
          </w:tcPr>
          <w:p w:rsidR="007E7905" w:rsidRPr="0018060A" w:rsidRDefault="007E7905" w:rsidP="00842AFE"/>
        </w:tc>
      </w:tr>
    </w:tbl>
    <w:p w:rsidR="007E7905" w:rsidRPr="0018060A" w:rsidRDefault="007E7905" w:rsidP="007E7905">
      <w:pPr>
        <w:suppressAutoHyphens w:val="0"/>
        <w:spacing w:line="240" w:lineRule="auto"/>
        <w:rPr>
          <w:b/>
          <w:sz w:val="28"/>
        </w:rPr>
      </w:pPr>
      <w:r w:rsidRPr="0018060A">
        <w:br w:type="page"/>
      </w:r>
    </w:p>
    <w:p w:rsidR="007E7905" w:rsidRPr="0018060A" w:rsidRDefault="007E7905" w:rsidP="007E7905">
      <w:pPr>
        <w:pStyle w:val="HChG"/>
        <w:rPr>
          <w:lang w:val="ru-RU"/>
        </w:rPr>
      </w:pPr>
      <w:r>
        <w:rPr>
          <w:lang w:val="ru-RU"/>
        </w:rPr>
        <w:lastRenderedPageBreak/>
        <w:tab/>
        <w:t>I.</w:t>
      </w:r>
      <w:r>
        <w:rPr>
          <w:lang w:val="ru-RU"/>
        </w:rPr>
        <w:tab/>
      </w:r>
      <w:r>
        <w:rPr>
          <w:bCs/>
          <w:lang w:val="ru-RU"/>
        </w:rPr>
        <w:t>Повестка дня на период до 2030 года и роль устойчивого транспорта</w:t>
      </w:r>
    </w:p>
    <w:p w:rsidR="007E7905" w:rsidRPr="00677462" w:rsidRDefault="007E7905" w:rsidP="007E7905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В 2015 году мировые лидеры утвердили 17 целей устойчивого развития и 169</w:t>
      </w:r>
      <w:r>
        <w:rPr>
          <w:lang w:val="en-US"/>
        </w:rPr>
        <w:t> </w:t>
      </w:r>
      <w:r>
        <w:rPr>
          <w:lang w:val="ru-RU"/>
        </w:rPr>
        <w:t>соответствующих задач на период до 2030 года, которые призваны помочь человечеству вновь встать на добродетельный путь устойчивого развития. Устойчивый транспорт и мобильность являются ключевыми элементами для достижения целей устойчивого развития, что становится очевидным при сопоставлении деятельности КВТ с целями. Кроме того, работа Комитета имеет прямое отношение к 14 из 17 целей устойчивого развития главным образом посредством правовых документов Организации Объединенных Наций и правил глобального и регионального географического охвата, относящихся к сфере его компетенции, через соответствующую аналитическую деятельность и деятельность по наращиванию потенциала, а также диалог по вопросам политики.</w:t>
      </w:r>
    </w:p>
    <w:p w:rsidR="007E7905" w:rsidRPr="0018060A" w:rsidRDefault="007E7905" w:rsidP="007E7905">
      <w:pPr>
        <w:pStyle w:val="SingleTxtG"/>
        <w:rPr>
          <w:szCs w:val="24"/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Возможность достижения целей устойчивого развития будет также в значительной мере определяться их практической реализацией для отслеживания прогресса. Важность отслеживания прогресса и установления целевых показателей результативности для выполнения задач, предусмотренных целями в области устойчивого развития, была подчеркнута в резолюции A/70/260 Генеральной Ассамблеи Организации Объединенных Наций, принятой в апреле 2016 года. В</w:t>
      </w:r>
      <w:r>
        <w:rPr>
          <w:lang w:val="en-US"/>
        </w:rPr>
        <w:t> </w:t>
      </w:r>
      <w:r>
        <w:rPr>
          <w:lang w:val="ru-RU"/>
        </w:rPr>
        <w:t>разделе II настоящего документа представлена обновленная информации о трех основных процессах для отслеживания прогресса, в которые Комитет вносит свой вклад.</w:t>
      </w:r>
    </w:p>
    <w:p w:rsidR="007E7905" w:rsidRPr="0018060A" w:rsidRDefault="007E7905" w:rsidP="007E7905">
      <w:pPr>
        <w:pStyle w:val="HChG"/>
        <w:rPr>
          <w:lang w:val="ru-RU"/>
        </w:rPr>
      </w:pPr>
      <w:r>
        <w:rPr>
          <w:lang w:val="ru-RU"/>
        </w:rPr>
        <w:tab/>
        <w:t>II.</w:t>
      </w:r>
      <w:r>
        <w:rPr>
          <w:lang w:val="ru-RU"/>
        </w:rPr>
        <w:tab/>
      </w:r>
      <w:r>
        <w:rPr>
          <w:bCs/>
          <w:lang w:val="ru-RU"/>
        </w:rPr>
        <w:t>Обновленная информация о трех глобальных процессах и инициативах для отслеживания прогресса в деле достижения целей устойчивого развития, связанных с</w:t>
      </w:r>
      <w:r>
        <w:rPr>
          <w:bCs/>
          <w:lang w:val="en-US"/>
        </w:rPr>
        <w:t> </w:t>
      </w:r>
      <w:r>
        <w:rPr>
          <w:bCs/>
          <w:lang w:val="ru-RU"/>
        </w:rPr>
        <w:t>транспортом</w:t>
      </w:r>
    </w:p>
    <w:p w:rsidR="007E7905" w:rsidRPr="0018060A" w:rsidRDefault="007E7905" w:rsidP="007E7905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 xml:space="preserve">В настоящее время существуют три основных глобальных процесса/инициативы по отслеживанию прогресса в реализации целей устойчивого развития, связанных с транспортом, в которых Комитет принимает непосредственное участие. </w:t>
      </w:r>
    </w:p>
    <w:p w:rsidR="007E7905" w:rsidRPr="0018060A" w:rsidRDefault="007E7905" w:rsidP="007E7905">
      <w:pPr>
        <w:pStyle w:val="SingleTxtG"/>
        <w:rPr>
          <w:i/>
          <w:szCs w:val="24"/>
          <w:lang w:val="ru-RU"/>
        </w:rPr>
      </w:pPr>
      <w:r>
        <w:rPr>
          <w:i/>
          <w:iCs/>
          <w:lang w:val="ru-RU"/>
        </w:rPr>
        <w:t>Показатели достижения целей устойчивого развития</w:t>
      </w:r>
    </w:p>
    <w:p w:rsidR="007E7905" w:rsidRPr="0018060A" w:rsidRDefault="007E7905" w:rsidP="007E7905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 xml:space="preserve">Во-первых, отслеживание прогресса в достижении 17 целей устойчивого развития и соответствующих показателей координируется Департаментом по экономическим и социальным вопросам (ДЭСВ ООН), который выступает в качестве секретариата Межучрежденческой группы экспертов по показателям достижения целей в области устойчивого развития (МГЭП – Цели устойчивого развития). </w:t>
      </w:r>
    </w:p>
    <w:p w:rsidR="007E7905" w:rsidRPr="0018060A" w:rsidRDefault="007E7905" w:rsidP="007E7905">
      <w:pPr>
        <w:pStyle w:val="SingleTxtG"/>
        <w:rPr>
          <w:szCs w:val="24"/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 xml:space="preserve">Четыре показателя по трем целям устойчивого развития (3, 9 и 11) непосредственно связаны с работой КВТ. Комитет содействует мониторингу четырех показателей в качестве </w:t>
      </w:r>
      <w:r w:rsidRPr="009F1B25">
        <w:rPr>
          <w:i/>
          <w:iCs/>
          <w:lang w:val="ru-RU"/>
        </w:rPr>
        <w:t>учреждения-партнера</w:t>
      </w:r>
      <w:r>
        <w:rPr>
          <w:lang w:val="ru-RU"/>
        </w:rPr>
        <w:t>, публикует статистические данные, позволяющие напрямую измерять два показателя (3.6.1 и 9.1.2), и предоставляет информацию, касающуюся третьего показателя (11.2.1). Более подробную информацию о показателях и вкладе Комитета см. в приложении I.</w:t>
      </w:r>
    </w:p>
    <w:p w:rsidR="007E7905" w:rsidRPr="0018060A" w:rsidRDefault="007E7905" w:rsidP="007E7905">
      <w:pPr>
        <w:pStyle w:val="SingleTxtG"/>
        <w:rPr>
          <w:i/>
          <w:szCs w:val="24"/>
          <w:lang w:val="ru-RU"/>
        </w:rPr>
      </w:pPr>
      <w:r>
        <w:rPr>
          <w:i/>
          <w:iCs/>
          <w:lang w:val="ru-RU"/>
        </w:rPr>
        <w:t>Устойчивая мобильность для всех (SUM4ALL)</w:t>
      </w:r>
    </w:p>
    <w:p w:rsidR="007E7905" w:rsidRPr="0018060A" w:rsidRDefault="007E7905" w:rsidP="007E7905">
      <w:pPr>
        <w:pStyle w:val="SingleTxtG"/>
        <w:rPr>
          <w:szCs w:val="24"/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Второй крупной глобальной инициативой является инициатива «Устойчивая мобильность для всех» (SUM4ALL), осуществляемая Всемирным банком и рядом ключевых партнеров и включающая среди прочего разработку глобальной системы отслеживания.</w:t>
      </w:r>
    </w:p>
    <w:p w:rsidR="007E7905" w:rsidRPr="0018060A" w:rsidRDefault="007E7905" w:rsidP="007E7905">
      <w:pPr>
        <w:pStyle w:val="SingleTxtG"/>
        <w:rPr>
          <w:szCs w:val="24"/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 xml:space="preserve">SUM4ALL направлена на то, чтобы оказывать поддержку достижению связанных с транспортом целей устойчивого развития и отслеживать прогресс в достижении этих целей.  Упор делается на четырех основных компонентах, которые определяют устойчивую мобильность в рамках SUM4ALL: всеобщий доступ, </w:t>
      </w:r>
      <w:r>
        <w:rPr>
          <w:lang w:val="ru-RU"/>
        </w:rPr>
        <w:lastRenderedPageBreak/>
        <w:t>эффективность, безопасность, экологичность. Европейская экономическая комиссия (ЕЭК) вносит вклад в работу SUM4ALL в качестве соруководителя рабочих групп по вопросам эффективности и безопасности дорожного движения, которые поддерживают разработку Глобальной дорожной карты действий (ГДД), а также в качестве члена Руководящего комитета этой инициативы.</w:t>
      </w:r>
    </w:p>
    <w:p w:rsidR="007E7905" w:rsidRPr="0018060A" w:rsidRDefault="007E7905" w:rsidP="007E7905">
      <w:pPr>
        <w:pStyle w:val="SingleTxtG"/>
        <w:rPr>
          <w:szCs w:val="24"/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 xml:space="preserve">ГДД опирается на выводы глобального </w:t>
      </w:r>
      <w:r w:rsidR="004836B0">
        <w:rPr>
          <w:lang w:val="ru-RU"/>
        </w:rPr>
        <w:t>доклада по мобильности (ГДМ) за </w:t>
      </w:r>
      <w:r>
        <w:rPr>
          <w:lang w:val="ru-RU"/>
        </w:rPr>
        <w:t>2017</w:t>
      </w:r>
      <w:r w:rsidR="00EF2B83">
        <w:rPr>
          <w:lang w:val="ru-RU"/>
        </w:rPr>
        <w:t> </w:t>
      </w:r>
      <w:r>
        <w:rPr>
          <w:lang w:val="ru-RU"/>
        </w:rPr>
        <w:t>год и портал транспортных данных, разработанный в рамках SUM4ALL. Благодаря этим инструментам сформирован массив данных для оценки положения дел в странах с точки зрения осуществления четырех основных компонентов. ГДД – это первая международная попытка проанализировать четыре основных компонента на целостной и комплексной основе. К числу завершенных мероприятий в рамках этой инициативы относится подготовка первого ГДМ, составленного на основе материалов ЕЭК, которые вошли в главу, посвященную эффективности (координатор – ЕЭК).</w:t>
      </w:r>
    </w:p>
    <w:p w:rsidR="007E7905" w:rsidRPr="0018060A" w:rsidRDefault="007E7905" w:rsidP="004836B0">
      <w:pPr>
        <w:pStyle w:val="SingleTxtG"/>
        <w:keepNext/>
        <w:ind w:left="1138" w:right="1138"/>
        <w:jc w:val="left"/>
        <w:rPr>
          <w:i/>
          <w:szCs w:val="24"/>
          <w:lang w:val="ru-RU"/>
        </w:rPr>
      </w:pPr>
      <w:r>
        <w:rPr>
          <w:i/>
          <w:iCs/>
          <w:lang w:val="ru-RU"/>
        </w:rPr>
        <w:t>Добровольные глобальные целевые показатели и индикаторы эффек</w:t>
      </w:r>
      <w:r w:rsidR="004836B0">
        <w:rPr>
          <w:i/>
          <w:iCs/>
          <w:lang w:val="ru-RU"/>
        </w:rPr>
        <w:t>тивности и </w:t>
      </w:r>
      <w:r>
        <w:rPr>
          <w:i/>
          <w:iCs/>
          <w:lang w:val="ru-RU"/>
        </w:rPr>
        <w:t>состояния безопасности дорожного движения</w:t>
      </w:r>
    </w:p>
    <w:p w:rsidR="007E7905" w:rsidRPr="0018060A" w:rsidRDefault="007E7905" w:rsidP="007E7905">
      <w:pPr>
        <w:pStyle w:val="SingleTxtG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 xml:space="preserve">Третья инициатива заключается в разработке и мониторинге добровольных глобальных целевых показателей эффективности и состояния безопасности дорожного движения. Признавая масштабы кризиса в области безопасности дорожного движения, в 2011 году Организация Объединенных Наций провозгласила Десятилетие действий по обеспечению безопасности дорожного движения для уменьшения числа дорожно-транспортных происшествий со смертельным исходом в мире. В сентябре 2015 года амбициозные глобальные цели Десятилетия действий были подтверждены принятием целевых показателей 3.6 и 11.2 в области устойчивого развития. Процесс разработки добровольных глобальных целевых показателей эффективности и состояния безопасности дорожного движения состоит в том, чтобы дополнить соответствующие задачи, предусмотренные целями устойчивого развития. ЕЭК активно участвует в разработке и мониторинге этих целевых показателей. Перечень целевых показателей содержится в приложении II. </w:t>
      </w:r>
    </w:p>
    <w:p w:rsidR="007E7905" w:rsidRPr="0018060A" w:rsidRDefault="007E7905" w:rsidP="007E7905">
      <w:pPr>
        <w:pStyle w:val="HChG"/>
        <w:rPr>
          <w:lang w:val="ru-RU"/>
        </w:rPr>
      </w:pPr>
      <w:r>
        <w:rPr>
          <w:lang w:val="ru-RU"/>
        </w:rPr>
        <w:tab/>
        <w:t>III.</w:t>
      </w:r>
      <w:r>
        <w:rPr>
          <w:lang w:val="ru-RU"/>
        </w:rPr>
        <w:tab/>
      </w:r>
      <w:r>
        <w:rPr>
          <w:bCs/>
          <w:lang w:val="ru-RU"/>
        </w:rPr>
        <w:t>Вывод: повышение роли Комитета в деле достижения целей устойчивого развития, связанных с транспортом</w:t>
      </w:r>
    </w:p>
    <w:p w:rsidR="007E7905" w:rsidRPr="0018060A" w:rsidRDefault="007E7905" w:rsidP="007E7905">
      <w:pPr>
        <w:pStyle w:val="SingleTxtG"/>
        <w:rPr>
          <w:szCs w:val="24"/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>Комитет непосредственно участвует в крупных глобальных мероприятиях по отслеживанию прогресса в осуществлении целей устойчивого развития, связанных с транспортом. В рамках проводимого им в настоящее время стратегического обзора особое внимание уделяется достижению целей устойчивого развития. В целом работа КВТ и его вспомогательных органов непосредственно связана с 14 из 17 целей устойчивого развития. Тем не менее сохраняются серьезные пробелы с точки зрения потенциала и осуществления, которые необходимо преодолеть, с тем чтобы устойчивые транспортные системы и мобильность в полной мере играли свою роль в глобальных усилиях по обеспечению устойчивости.</w:t>
      </w:r>
    </w:p>
    <w:p w:rsidR="007E7905" w:rsidRPr="0018060A" w:rsidRDefault="007E7905" w:rsidP="007E7905">
      <w:pPr>
        <w:pStyle w:val="SingleTxtG"/>
        <w:rPr>
          <w:szCs w:val="24"/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>С учетом этих соображений и продолжающегося обсуждения вопроса о переориентации системы развития Организации Объединенных Наций Комитет, возможно, пожелает предложить государствам-членам обеспечить решающую роль КВТ, его вспомогательных органов и секретариата ЕЭК/КВТ в деле мониторинга целей устойчивого развития и просить секретариат продолжать наращивать свой вклад в нынешние механизмы отслеживания целей устойчивого развития.</w:t>
      </w:r>
    </w:p>
    <w:p w:rsidR="007E7905" w:rsidRPr="0018060A" w:rsidRDefault="007E7905" w:rsidP="007E7905">
      <w:pPr>
        <w:suppressAutoHyphens w:val="0"/>
        <w:spacing w:line="240" w:lineRule="auto"/>
      </w:pPr>
      <w:r w:rsidRPr="0018060A">
        <w:br w:type="page"/>
      </w:r>
    </w:p>
    <w:p w:rsidR="007E7905" w:rsidRPr="00D1740D" w:rsidRDefault="007E7905" w:rsidP="007E7905">
      <w:pPr>
        <w:pStyle w:val="HChG"/>
        <w:rPr>
          <w:lang w:val="ru-RU"/>
        </w:rPr>
      </w:pPr>
      <w:r w:rsidRPr="00D1740D">
        <w:rPr>
          <w:lang w:val="ru-RU"/>
        </w:rPr>
        <w:lastRenderedPageBreak/>
        <w:t xml:space="preserve">Приложение </w:t>
      </w:r>
      <w:r>
        <w:t>I</w:t>
      </w:r>
    </w:p>
    <w:p w:rsidR="007E7905" w:rsidRPr="00D1740D" w:rsidRDefault="007E7905" w:rsidP="007E7905">
      <w:pPr>
        <w:pStyle w:val="HChG"/>
        <w:rPr>
          <w:lang w:val="ru-RU"/>
        </w:rPr>
      </w:pPr>
      <w:r w:rsidRPr="00D1740D">
        <w:rPr>
          <w:lang w:val="ru-RU"/>
        </w:rPr>
        <w:tab/>
      </w:r>
      <w:r w:rsidRPr="00D1740D">
        <w:rPr>
          <w:lang w:val="ru-RU"/>
        </w:rPr>
        <w:tab/>
        <w:t>Связанные с транспортом цели устойчивого развития, соответствующие задачи и показатели</w:t>
      </w:r>
    </w:p>
    <w:p w:rsidR="007E7905" w:rsidRPr="0018060A" w:rsidRDefault="007E7905" w:rsidP="007E7905">
      <w:pPr>
        <w:pStyle w:val="SingleTxtG"/>
        <w:rPr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В марте 2016 года было разработано 230 показателей для оценки прогресса в деле достижения целей устойчивого развития. Впоследствии эти показатели были разбиты на три категории на основе наличия исходных данных:</w:t>
      </w:r>
    </w:p>
    <w:p w:rsidR="007E7905" w:rsidRPr="00D1740D" w:rsidRDefault="007E7905" w:rsidP="007E7905">
      <w:pPr>
        <w:pStyle w:val="Bullet1G"/>
        <w:rPr>
          <w:szCs w:val="24"/>
          <w:lang w:val="ru-RU"/>
        </w:rPr>
      </w:pPr>
      <w:r w:rsidRPr="00D1740D">
        <w:rPr>
          <w:lang w:val="ru-RU"/>
        </w:rPr>
        <w:t xml:space="preserve">уровень </w:t>
      </w:r>
      <w:r>
        <w:t>I</w:t>
      </w:r>
      <w:r w:rsidRPr="00D1740D">
        <w:rPr>
          <w:lang w:val="ru-RU"/>
        </w:rPr>
        <w:t>: концептуально четко оформленный показатель, имеются утвержденная методология и стандарты, а данные представляются странами на регулярной основе;</w:t>
      </w:r>
    </w:p>
    <w:p w:rsidR="007E7905" w:rsidRPr="00D1740D" w:rsidRDefault="007E7905" w:rsidP="007E7905">
      <w:pPr>
        <w:pStyle w:val="Bullet1G"/>
        <w:rPr>
          <w:b/>
          <w:lang w:val="ru-RU"/>
        </w:rPr>
      </w:pPr>
      <w:r w:rsidRPr="00D1740D">
        <w:rPr>
          <w:lang w:val="ru-RU"/>
        </w:rPr>
        <w:t xml:space="preserve">уровень </w:t>
      </w:r>
      <w:r>
        <w:t>II</w:t>
      </w:r>
      <w:r w:rsidRPr="00D1740D">
        <w:rPr>
          <w:lang w:val="ru-RU"/>
        </w:rPr>
        <w:t>: концептуально четко оформленный показатель, имеются утвержденная методология и стандарты, однако данные представляются странами не на регулярной основе;</w:t>
      </w:r>
    </w:p>
    <w:p w:rsidR="007E7905" w:rsidRPr="00D1740D" w:rsidRDefault="007E7905" w:rsidP="007E7905">
      <w:pPr>
        <w:pStyle w:val="Bullet1G"/>
        <w:rPr>
          <w:b/>
          <w:lang w:val="ru-RU"/>
        </w:rPr>
      </w:pPr>
      <w:r w:rsidRPr="00D1740D">
        <w:rPr>
          <w:lang w:val="ru-RU"/>
        </w:rPr>
        <w:t xml:space="preserve">уровень </w:t>
      </w:r>
      <w:r>
        <w:t>III</w:t>
      </w:r>
      <w:r w:rsidRPr="00D1740D">
        <w:rPr>
          <w:lang w:val="ru-RU"/>
        </w:rPr>
        <w:t>: показатель, в отношении которого утвержденная методология и стандарты отсутствуют либо методология/стандарты разрабатываются/ проходят испытания.</w:t>
      </w:r>
    </w:p>
    <w:tbl>
      <w:tblPr>
        <w:tblStyle w:val="ac"/>
        <w:tblW w:w="850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E7905" w:rsidRPr="007E7905" w:rsidTr="00D47BB2">
        <w:trPr>
          <w:cantSplit/>
          <w:tblHeader/>
        </w:trPr>
        <w:tc>
          <w:tcPr>
            <w:tcW w:w="85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E7905" w:rsidRPr="007E7905" w:rsidRDefault="007E7905" w:rsidP="00842AF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E7905">
              <w:rPr>
                <w:i/>
                <w:iCs/>
                <w:sz w:val="16"/>
                <w:szCs w:val="16"/>
              </w:rPr>
              <w:t>Цели, связанные с транспортом</w:t>
            </w:r>
          </w:p>
        </w:tc>
      </w:tr>
      <w:tr w:rsidR="007E7905" w:rsidRPr="000F54DF" w:rsidTr="00D47BB2">
        <w:trPr>
          <w:cantSplit/>
        </w:trPr>
        <w:tc>
          <w:tcPr>
            <w:tcW w:w="85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E7905" w:rsidRPr="0018060A" w:rsidRDefault="007E7905" w:rsidP="007E7905">
            <w:pPr>
              <w:spacing w:before="40" w:after="120"/>
              <w:ind w:right="113"/>
            </w:pPr>
            <w:r>
              <w:rPr>
                <w:b/>
                <w:bCs/>
              </w:rPr>
              <w:t>Цель 3.</w:t>
            </w:r>
            <w:r>
              <w:tab/>
            </w:r>
            <w:r>
              <w:rPr>
                <w:b/>
                <w:bCs/>
              </w:rPr>
              <w:t>Обеспечение здорового образа жизни и сод</w:t>
            </w:r>
            <w:r w:rsidR="004836B0">
              <w:rPr>
                <w:b/>
                <w:bCs/>
              </w:rPr>
              <w:t>ействие благополучию для всех в </w:t>
            </w:r>
            <w:r>
              <w:rPr>
                <w:b/>
                <w:bCs/>
              </w:rPr>
              <w:t>любом возрасте</w:t>
            </w:r>
          </w:p>
        </w:tc>
      </w:tr>
      <w:tr w:rsidR="007E7905" w:rsidRPr="007E7905" w:rsidTr="00D47BB2">
        <w:trPr>
          <w:cantSplit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7E7905" w:rsidRPr="007E7905" w:rsidRDefault="007E7905" w:rsidP="00842AFE">
            <w:pPr>
              <w:spacing w:before="40" w:after="120"/>
              <w:ind w:right="113"/>
              <w:rPr>
                <w:b/>
                <w:i/>
              </w:rPr>
            </w:pPr>
            <w:r w:rsidRPr="007E7905">
              <w:rPr>
                <w:b/>
                <w:i/>
              </w:rPr>
              <w:t>3.6</w:t>
            </w:r>
            <w:r w:rsidRPr="007E7905">
              <w:rPr>
                <w:b/>
                <w:i/>
              </w:rPr>
              <w:tab/>
            </w:r>
            <w:r w:rsidRPr="007E7905">
              <w:rPr>
                <w:b/>
                <w:bCs/>
                <w:i/>
                <w:iCs/>
              </w:rPr>
              <w:t>К 2020 году вдвое сократить во всем мире число смертей и травм в результате дорожно-транспортных происшествий</w:t>
            </w:r>
          </w:p>
        </w:tc>
      </w:tr>
      <w:tr w:rsidR="007E7905" w:rsidRPr="00B720FF" w:rsidTr="00D47BB2">
        <w:trPr>
          <w:cantSplit/>
        </w:trPr>
        <w:tc>
          <w:tcPr>
            <w:tcW w:w="8505" w:type="dxa"/>
            <w:shd w:val="clear" w:color="auto" w:fill="auto"/>
          </w:tcPr>
          <w:p w:rsidR="007E7905" w:rsidRPr="0018060A" w:rsidRDefault="007E7905" w:rsidP="00842AFE">
            <w:pPr>
              <w:spacing w:before="40" w:after="120"/>
              <w:ind w:right="113"/>
            </w:pPr>
            <w:r>
              <w:rPr>
                <w:i/>
                <w:iCs/>
              </w:rPr>
              <w:t>Показатель 3.6.1</w:t>
            </w:r>
            <w:r>
              <w:t>: Число случаев смерти в результате дорожно-транспортных происшествий</w:t>
            </w:r>
          </w:p>
          <w:p w:rsidR="007E7905" w:rsidRPr="0018060A" w:rsidRDefault="007E7905" w:rsidP="00842AFE">
            <w:pPr>
              <w:spacing w:before="40" w:after="120"/>
              <w:ind w:right="113"/>
              <w:rPr>
                <w:u w:val="single"/>
              </w:rPr>
            </w:pPr>
            <w:r>
              <w:rPr>
                <w:i/>
                <w:iCs/>
              </w:rPr>
              <w:t>Возможное курирующее учреждение</w:t>
            </w:r>
            <w:r w:rsidRPr="00B75C49">
              <w:t>:</w:t>
            </w:r>
            <w:r>
              <w:rPr>
                <w:i/>
                <w:iCs/>
              </w:rPr>
              <w:t xml:space="preserve"> </w:t>
            </w:r>
            <w:r>
              <w:t>ВОЗ</w:t>
            </w:r>
          </w:p>
          <w:p w:rsidR="007E7905" w:rsidRPr="0018060A" w:rsidRDefault="007E7905" w:rsidP="00842AFE">
            <w:pPr>
              <w:spacing w:before="40" w:after="120"/>
              <w:ind w:right="113"/>
            </w:pPr>
            <w:r>
              <w:rPr>
                <w:i/>
                <w:iCs/>
              </w:rPr>
              <w:t>Учреждения-партнеры</w:t>
            </w:r>
            <w:r w:rsidRPr="00B75C49">
              <w:t>:</w:t>
            </w:r>
            <w:r>
              <w:t xml:space="preserve"> ЕЭК</w:t>
            </w:r>
          </w:p>
          <w:p w:rsidR="007E7905" w:rsidRPr="00B720FF" w:rsidRDefault="007E7905" w:rsidP="00842AFE">
            <w:pPr>
              <w:spacing w:before="40" w:after="120"/>
              <w:ind w:right="113"/>
              <w:rPr>
                <w:u w:val="single"/>
              </w:rPr>
            </w:pPr>
            <w:r>
              <w:rPr>
                <w:i/>
                <w:iCs/>
              </w:rPr>
              <w:t>Уровень I</w:t>
            </w:r>
          </w:p>
        </w:tc>
      </w:tr>
      <w:tr w:rsidR="007E7905" w:rsidRPr="00550F0E" w:rsidTr="00D47BB2">
        <w:trPr>
          <w:cantSplit/>
        </w:trPr>
        <w:tc>
          <w:tcPr>
            <w:tcW w:w="8505" w:type="dxa"/>
            <w:shd w:val="clear" w:color="auto" w:fill="auto"/>
          </w:tcPr>
          <w:p w:rsidR="007E7905" w:rsidRPr="00550F0E" w:rsidRDefault="007E7905" w:rsidP="00842AFE">
            <w:pPr>
              <w:spacing w:before="40" w:after="120"/>
              <w:ind w:right="113"/>
            </w:pPr>
            <w:r w:rsidRPr="00550F0E">
              <w:rPr>
                <w:i/>
                <w:iCs/>
              </w:rPr>
              <w:t>Обоснование участия КВТ</w:t>
            </w:r>
            <w:r>
              <w:t>: КВТ является единственным форумом в системе Организации Объединенных Наций, который применяет комплексный подход к проблеме безопасности дорожного движения на основе нормотворческой деятельности, мероприятий по наращиванию потенциала и оказанию технической помощи, аналитической работы и диалога по вопросам политики, осуществляемых в следующих областях:</w:t>
            </w:r>
          </w:p>
        </w:tc>
      </w:tr>
      <w:tr w:rsidR="007E7905" w:rsidRPr="00B720FF" w:rsidTr="00D47BB2">
        <w:trPr>
          <w:cantSplit/>
        </w:trPr>
        <w:tc>
          <w:tcPr>
            <w:tcW w:w="8505" w:type="dxa"/>
            <w:shd w:val="clear" w:color="auto" w:fill="auto"/>
          </w:tcPr>
          <w:p w:rsidR="007E7905" w:rsidRPr="00B720FF" w:rsidRDefault="007E7905" w:rsidP="007E7905">
            <w:pPr>
              <w:pStyle w:val="Bullet1G"/>
            </w:pPr>
            <w:r>
              <w:rPr>
                <w:lang w:val="ru-RU"/>
              </w:rPr>
              <w:t>правила дорожного движения;</w:t>
            </w:r>
          </w:p>
        </w:tc>
      </w:tr>
      <w:tr w:rsidR="007E7905" w:rsidRPr="00B720FF" w:rsidTr="00D47BB2">
        <w:trPr>
          <w:cantSplit/>
        </w:trPr>
        <w:tc>
          <w:tcPr>
            <w:tcW w:w="8505" w:type="dxa"/>
            <w:shd w:val="clear" w:color="auto" w:fill="auto"/>
          </w:tcPr>
          <w:p w:rsidR="007E7905" w:rsidRPr="00B720FF" w:rsidRDefault="007E7905" w:rsidP="007E7905">
            <w:pPr>
              <w:pStyle w:val="Bullet1G"/>
            </w:pPr>
            <w:r>
              <w:rPr>
                <w:lang w:val="ru-RU"/>
              </w:rPr>
              <w:t>дорожные знаки и сигналы;</w:t>
            </w:r>
          </w:p>
        </w:tc>
      </w:tr>
      <w:tr w:rsidR="007E7905" w:rsidRPr="00B720FF" w:rsidTr="00D47BB2">
        <w:trPr>
          <w:cantSplit/>
        </w:trPr>
        <w:tc>
          <w:tcPr>
            <w:tcW w:w="8505" w:type="dxa"/>
            <w:shd w:val="clear" w:color="auto" w:fill="auto"/>
          </w:tcPr>
          <w:p w:rsidR="007E7905" w:rsidRPr="00B720FF" w:rsidRDefault="007E7905" w:rsidP="007E7905">
            <w:pPr>
              <w:pStyle w:val="Bullet1G"/>
            </w:pPr>
            <w:r>
              <w:rPr>
                <w:lang w:val="ru-RU"/>
              </w:rPr>
              <w:t>дорожная инфраструктура;</w:t>
            </w:r>
          </w:p>
        </w:tc>
      </w:tr>
      <w:tr w:rsidR="007E7905" w:rsidRPr="000F54DF" w:rsidTr="00D47BB2">
        <w:trPr>
          <w:cantSplit/>
        </w:trPr>
        <w:tc>
          <w:tcPr>
            <w:tcW w:w="8505" w:type="dxa"/>
            <w:shd w:val="clear" w:color="auto" w:fill="auto"/>
          </w:tcPr>
          <w:p w:rsidR="007E7905" w:rsidRPr="0018060A" w:rsidRDefault="007E7905" w:rsidP="007E7905">
            <w:pPr>
              <w:pStyle w:val="Bullet1G"/>
              <w:rPr>
                <w:lang w:val="ru-RU"/>
              </w:rPr>
            </w:pPr>
            <w:r>
              <w:rPr>
                <w:lang w:val="ru-RU"/>
              </w:rPr>
              <w:t>конструкция и периодический осмотр транспортных средств;</w:t>
            </w:r>
          </w:p>
        </w:tc>
      </w:tr>
      <w:tr w:rsidR="007E7905" w:rsidRPr="000F54DF" w:rsidTr="00D47BB2">
        <w:trPr>
          <w:cantSplit/>
        </w:trPr>
        <w:tc>
          <w:tcPr>
            <w:tcW w:w="8505" w:type="dxa"/>
            <w:shd w:val="clear" w:color="auto" w:fill="auto"/>
          </w:tcPr>
          <w:p w:rsidR="007E7905" w:rsidRPr="0018060A" w:rsidRDefault="007E7905" w:rsidP="007E7905">
            <w:pPr>
              <w:pStyle w:val="Bullet1G"/>
              <w:rPr>
                <w:lang w:val="ru-RU"/>
              </w:rPr>
            </w:pPr>
            <w:r>
              <w:rPr>
                <w:lang w:val="ru-RU"/>
              </w:rPr>
              <w:t>периоды работы и отдыха профессиональных водителей;</w:t>
            </w:r>
          </w:p>
        </w:tc>
      </w:tr>
      <w:tr w:rsidR="007E7905" w:rsidRPr="00B720FF" w:rsidTr="00D47BB2">
        <w:trPr>
          <w:cantSplit/>
        </w:trPr>
        <w:tc>
          <w:tcPr>
            <w:tcW w:w="8505" w:type="dxa"/>
            <w:shd w:val="clear" w:color="auto" w:fill="auto"/>
          </w:tcPr>
          <w:p w:rsidR="007E7905" w:rsidRPr="00B720FF" w:rsidRDefault="007E7905" w:rsidP="007E7905">
            <w:pPr>
              <w:pStyle w:val="Bullet1G"/>
            </w:pPr>
            <w:r>
              <w:rPr>
                <w:lang w:val="ru-RU"/>
              </w:rPr>
              <w:t>перевозка опасных грузов;</w:t>
            </w:r>
          </w:p>
        </w:tc>
      </w:tr>
      <w:tr w:rsidR="007E7905" w:rsidRPr="000F54DF" w:rsidTr="00D47BB2">
        <w:trPr>
          <w:cantSplit/>
        </w:trPr>
        <w:tc>
          <w:tcPr>
            <w:tcW w:w="8505" w:type="dxa"/>
            <w:shd w:val="clear" w:color="auto" w:fill="auto"/>
          </w:tcPr>
          <w:p w:rsidR="007E7905" w:rsidRPr="0018060A" w:rsidRDefault="007E7905" w:rsidP="004836B0">
            <w:pPr>
              <w:pStyle w:val="Bullet1G"/>
              <w:jc w:val="left"/>
              <w:rPr>
                <w:lang w:val="ru-RU"/>
              </w:rPr>
            </w:pPr>
            <w:r>
              <w:rPr>
                <w:lang w:val="ru-RU"/>
              </w:rPr>
              <w:t>мобилизация политической воли и ресурсов, включая поддержку работы Специального посланника Генерального секретаря Организации Объединенных Наций по безопасности дорожного движения.</w:t>
            </w:r>
          </w:p>
        </w:tc>
      </w:tr>
      <w:tr w:rsidR="007E7905" w:rsidRPr="000F54DF" w:rsidTr="00D47BB2">
        <w:trPr>
          <w:cantSplit/>
        </w:trPr>
        <w:tc>
          <w:tcPr>
            <w:tcW w:w="8505" w:type="dxa"/>
            <w:shd w:val="clear" w:color="auto" w:fill="auto"/>
          </w:tcPr>
          <w:p w:rsidR="007E7905" w:rsidRPr="0018060A" w:rsidRDefault="007E7905" w:rsidP="00842AFE">
            <w:pPr>
              <w:spacing w:before="40" w:after="120"/>
              <w:ind w:right="113"/>
            </w:pPr>
            <w:r>
              <w:lastRenderedPageBreak/>
              <w:t>КВТ занимается сбором и распространением среди государств – членов ЕЭК значительного объема статистической информации о безопасности дорожного движения, в том числе содержащейся в онлайновой статистической базе данных, и подготовкой таких статистических публикаций, как «Статистика дорожно-транспортных происшествий в Европе и Северной Америке» и «Инфокарты транспортной статистики». ЕЭК десятилетиями занимается сбором данных, связанных непосредственно с ДТП со смертельным исходом, как предусмотрено в этом показателе. Кроме того, в КВТ такие данные уже имеются, поэтому никаких исследований не требуется.</w:t>
            </w:r>
          </w:p>
        </w:tc>
      </w:tr>
      <w:tr w:rsidR="007E7905" w:rsidRPr="000F54DF" w:rsidTr="00D47BB2">
        <w:trPr>
          <w:cantSplit/>
        </w:trPr>
        <w:tc>
          <w:tcPr>
            <w:tcW w:w="85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E7905" w:rsidRPr="0018060A" w:rsidRDefault="007E7905" w:rsidP="00842AFE">
            <w:pPr>
              <w:keepNext/>
              <w:keepLines/>
              <w:spacing w:before="40" w:after="120"/>
              <w:ind w:right="113"/>
            </w:pPr>
            <w:r>
              <w:rPr>
                <w:b/>
                <w:bCs/>
              </w:rPr>
              <w:t>Цель 9.</w:t>
            </w:r>
            <w:r>
              <w:t xml:space="preserve"> </w:t>
            </w:r>
            <w:r>
              <w:tab/>
            </w:r>
            <w:r>
              <w:rPr>
                <w:b/>
                <w:bCs/>
              </w:rPr>
              <w:t>Создание стойкой инфраструктуры, содействие всеохватной и устойчивой индустриализации и инновациям</w:t>
            </w:r>
          </w:p>
        </w:tc>
      </w:tr>
      <w:tr w:rsidR="007E7905" w:rsidRPr="007E7905" w:rsidTr="00D47BB2">
        <w:trPr>
          <w:cantSplit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7E7905" w:rsidRPr="007E7905" w:rsidRDefault="007E7905" w:rsidP="00842AFE">
            <w:pPr>
              <w:spacing w:before="40" w:after="120"/>
              <w:ind w:right="113"/>
              <w:rPr>
                <w:b/>
                <w:i/>
              </w:rPr>
            </w:pPr>
            <w:r w:rsidRPr="007E7905">
              <w:rPr>
                <w:b/>
                <w:i/>
              </w:rPr>
              <w:t>9.1</w:t>
            </w:r>
            <w:r w:rsidRPr="007E7905">
              <w:rPr>
                <w:b/>
                <w:i/>
              </w:rPr>
              <w:tab/>
            </w:r>
            <w:r w:rsidRPr="007E7905">
              <w:rPr>
                <w:b/>
                <w:bCs/>
                <w:i/>
                <w:iCs/>
              </w:rPr>
              <w:t>Развивать качественную, надежную, устойчивую и стойкую инфраструктуру, включая региональную и трансграничную инфраструктуру, в целях поддержки экономического развития и благополучия людей, уделяя особое внимание обеспечению недорогого и равноправного доступа для всех</w:t>
            </w:r>
          </w:p>
        </w:tc>
      </w:tr>
      <w:tr w:rsidR="007E7905" w:rsidRPr="00B720FF" w:rsidTr="00D47BB2">
        <w:trPr>
          <w:cantSplit/>
        </w:trPr>
        <w:tc>
          <w:tcPr>
            <w:tcW w:w="8505" w:type="dxa"/>
            <w:shd w:val="clear" w:color="auto" w:fill="auto"/>
          </w:tcPr>
          <w:p w:rsidR="007E7905" w:rsidRPr="0018060A" w:rsidRDefault="007E7905" w:rsidP="00842AFE">
            <w:pPr>
              <w:spacing w:before="40" w:after="120"/>
              <w:ind w:right="113"/>
            </w:pPr>
            <w:r>
              <w:rPr>
                <w:i/>
                <w:iCs/>
              </w:rPr>
              <w:t>Показатель 9.1.1</w:t>
            </w:r>
            <w:r>
              <w:t>: Доля сельского населения, проживающего в пределах 2 км от всесезонных дорог</w:t>
            </w:r>
          </w:p>
          <w:p w:rsidR="007E7905" w:rsidRPr="0018060A" w:rsidRDefault="007E7905" w:rsidP="00842AFE">
            <w:pPr>
              <w:spacing w:before="40" w:after="120"/>
              <w:ind w:right="113"/>
              <w:rPr>
                <w:u w:val="single"/>
              </w:rPr>
            </w:pPr>
            <w:r>
              <w:rPr>
                <w:i/>
                <w:iCs/>
              </w:rPr>
              <w:t>Возможное курирующее учреждение</w:t>
            </w:r>
            <w:r>
              <w:t>: Всемирный банк</w:t>
            </w:r>
          </w:p>
          <w:p w:rsidR="007E7905" w:rsidRPr="0018060A" w:rsidRDefault="007E7905" w:rsidP="00842AFE">
            <w:pPr>
              <w:spacing w:before="40" w:after="120"/>
              <w:ind w:right="113"/>
            </w:pPr>
            <w:r>
              <w:rPr>
                <w:i/>
                <w:iCs/>
              </w:rPr>
              <w:t>Учреждения-партнеры</w:t>
            </w:r>
            <w:r>
              <w:t xml:space="preserve">: ЕЭК, ЮНЕП </w:t>
            </w:r>
            <w:bookmarkStart w:id="0" w:name="hit1"/>
            <w:bookmarkEnd w:id="0"/>
          </w:p>
          <w:p w:rsidR="007E7905" w:rsidRPr="00B720FF" w:rsidRDefault="007E7905" w:rsidP="00842AFE">
            <w:pPr>
              <w:spacing w:before="40" w:after="120"/>
              <w:ind w:right="113"/>
            </w:pPr>
            <w:r>
              <w:rPr>
                <w:i/>
                <w:iCs/>
              </w:rPr>
              <w:t>Уровень</w:t>
            </w:r>
            <w:r>
              <w:t>: III</w:t>
            </w:r>
          </w:p>
        </w:tc>
      </w:tr>
      <w:tr w:rsidR="007E7905" w:rsidRPr="000F54DF" w:rsidTr="00D47BB2">
        <w:trPr>
          <w:cantSplit/>
        </w:trPr>
        <w:tc>
          <w:tcPr>
            <w:tcW w:w="8505" w:type="dxa"/>
            <w:shd w:val="clear" w:color="auto" w:fill="auto"/>
          </w:tcPr>
          <w:p w:rsidR="007E7905" w:rsidRPr="0018060A" w:rsidRDefault="007E7905" w:rsidP="00842AFE">
            <w:pPr>
              <w:spacing w:before="40" w:after="120"/>
              <w:ind w:right="113"/>
            </w:pPr>
            <w:r>
              <w:rPr>
                <w:i/>
                <w:iCs/>
              </w:rPr>
              <w:t>Показатель 9.1.2</w:t>
            </w:r>
            <w:r>
              <w:t>: Объемы пассажирских и грузовых перевозок</w:t>
            </w:r>
          </w:p>
          <w:p w:rsidR="007E7905" w:rsidRPr="0018060A" w:rsidRDefault="007E7905" w:rsidP="00842AFE">
            <w:pPr>
              <w:spacing w:before="40" w:after="120"/>
              <w:ind w:right="113"/>
            </w:pPr>
            <w:r>
              <w:rPr>
                <w:i/>
                <w:iCs/>
              </w:rPr>
              <w:t>Возможное курирующее учреждение</w:t>
            </w:r>
            <w:r>
              <w:t>: ИКАО, Международный транспортный форум-ОЭСР</w:t>
            </w:r>
          </w:p>
          <w:p w:rsidR="007E7905" w:rsidRPr="0018060A" w:rsidRDefault="007E7905" w:rsidP="00842AFE">
            <w:pPr>
              <w:spacing w:before="40" w:after="120"/>
              <w:ind w:right="113"/>
              <w:rPr>
                <w:u w:val="single"/>
              </w:rPr>
            </w:pPr>
            <w:r>
              <w:rPr>
                <w:i/>
                <w:iCs/>
              </w:rPr>
              <w:t>Учреждения-партнеры</w:t>
            </w:r>
            <w:r>
              <w:t>: ЕЭК, ЮНЕП, ВПС</w:t>
            </w:r>
          </w:p>
          <w:p w:rsidR="007E7905" w:rsidRPr="0018060A" w:rsidRDefault="007E7905" w:rsidP="00842AFE">
            <w:pPr>
              <w:spacing w:before="40" w:after="120"/>
              <w:ind w:right="113"/>
            </w:pPr>
            <w:r>
              <w:rPr>
                <w:i/>
                <w:iCs/>
              </w:rPr>
              <w:t>Уровень</w:t>
            </w:r>
            <w:r>
              <w:t>: I</w:t>
            </w:r>
          </w:p>
        </w:tc>
      </w:tr>
      <w:tr w:rsidR="007E7905" w:rsidRPr="000F54DF" w:rsidTr="00D47BB2">
        <w:trPr>
          <w:cantSplit/>
        </w:trPr>
        <w:tc>
          <w:tcPr>
            <w:tcW w:w="8505" w:type="dxa"/>
            <w:shd w:val="clear" w:color="auto" w:fill="auto"/>
          </w:tcPr>
          <w:p w:rsidR="007E7905" w:rsidRPr="0018060A" w:rsidRDefault="007E7905" w:rsidP="00842AFE">
            <w:pPr>
              <w:spacing w:before="40" w:after="120"/>
              <w:ind w:right="113"/>
            </w:pPr>
            <w:r>
              <w:t>Через посредство WP.6 КВТ осуществляет сбор значительного количества данных по статистике транспорта с уделением особого внимания объемам пассажирских и грузовых перевозок в государствах – членах ЕЭК, которые вносятся в онлайновую статистическую базу данны</w:t>
            </w:r>
            <w:r w:rsidR="004836B0">
              <w:t>х, а к </w:t>
            </w:r>
            <w:r>
              <w:t>числу выпускаемых статистических публикаций относятся, в частности, «Бюллетень европейской и североамериканской статистики транспорта» и «Инфокарты транспортной статистики». ЕЭК десятилетиями занимается сбором и оценкой данных, связанных непосредственно с объемами пассажирских и грузовых перевозок, как предусмотрено в этом показателе. Кроме того, в КВТ такие данные уже имеются, поэтому никаких исследований не требуется.</w:t>
            </w:r>
          </w:p>
          <w:p w:rsidR="007E7905" w:rsidRPr="0018060A" w:rsidRDefault="007E7905" w:rsidP="00842AFE">
            <w:pPr>
              <w:spacing w:before="40" w:after="120"/>
              <w:ind w:right="113"/>
            </w:pPr>
            <w:r>
              <w:t>Кроме того, в рамках деятельности Рабочей группы по тенденциям и экономике транспорта (WP.5) в области адаптации к изменениям климата КВТ подготовил стратегические рекомендации, нацеленные на повышение устойчивости систем международных перевозок в долгосрочной перспективе, и определил оптимальные примеры национальных стратегий, направленных на уменьшение уязвимости транспортных сетей, для правительств государств-членов, включая развивающиеся страны и страны, не имеющие выхода к морю, а также малые островные государства.</w:t>
            </w:r>
          </w:p>
        </w:tc>
      </w:tr>
      <w:tr w:rsidR="007E7905" w:rsidRPr="000F54DF" w:rsidTr="00D47BB2">
        <w:trPr>
          <w:cantSplit/>
        </w:trPr>
        <w:tc>
          <w:tcPr>
            <w:tcW w:w="85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E7905" w:rsidRPr="0018060A" w:rsidRDefault="007E7905" w:rsidP="004836B0">
            <w:pPr>
              <w:keepNext/>
              <w:spacing w:before="40" w:after="120"/>
              <w:ind w:right="113"/>
            </w:pPr>
            <w:r>
              <w:rPr>
                <w:b/>
                <w:bCs/>
              </w:rPr>
              <w:lastRenderedPageBreak/>
              <w:t>Цель 11.</w:t>
            </w:r>
            <w:r>
              <w:tab/>
            </w:r>
            <w:r>
              <w:rPr>
                <w:b/>
                <w:bCs/>
              </w:rPr>
              <w:t>Обеспечение открытости, безопасности, жизнестойкости и экологической устойчивости городов и населенных пунктов</w:t>
            </w:r>
          </w:p>
        </w:tc>
      </w:tr>
      <w:tr w:rsidR="007E7905" w:rsidRPr="000F54DF" w:rsidTr="00D47BB2">
        <w:trPr>
          <w:cantSplit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7E7905" w:rsidRPr="0018060A" w:rsidRDefault="007E7905" w:rsidP="00842AFE">
            <w:pPr>
              <w:keepNext/>
              <w:keepLines/>
              <w:spacing w:before="40" w:after="120"/>
              <w:ind w:right="113"/>
            </w:pPr>
            <w:r w:rsidRPr="007E7905">
              <w:rPr>
                <w:b/>
                <w:i/>
              </w:rPr>
              <w:t>11.2</w:t>
            </w:r>
            <w:r w:rsidRPr="007E7905">
              <w:rPr>
                <w:b/>
                <w:i/>
              </w:rPr>
              <w:tab/>
            </w:r>
            <w:r>
              <w:rPr>
                <w:b/>
                <w:bCs/>
                <w:i/>
                <w:iCs/>
              </w:rPr>
              <w:t>К 2030 году обеспечить доступ к безопасным, недорогим, доступным и устойчивым транспортным системам для всех благодаря повышению безопасности дорожного движения, в том числе за счет расширения сети общественного транспорта, уделяя при этом особое внимание потребностям лиц, находящихся в уязвимом положении, женщинам, детям, инвалидам и пожилым людям</w:t>
            </w:r>
          </w:p>
        </w:tc>
      </w:tr>
      <w:tr w:rsidR="007E7905" w:rsidRPr="000F54DF" w:rsidTr="00D47BB2">
        <w:trPr>
          <w:cantSplit/>
        </w:trPr>
        <w:tc>
          <w:tcPr>
            <w:tcW w:w="8505" w:type="dxa"/>
            <w:shd w:val="clear" w:color="auto" w:fill="auto"/>
          </w:tcPr>
          <w:p w:rsidR="007E7905" w:rsidRPr="0018060A" w:rsidRDefault="007E7905" w:rsidP="00842AFE">
            <w:pPr>
              <w:spacing w:before="40" w:after="120"/>
              <w:ind w:right="113"/>
            </w:pPr>
            <w:r>
              <w:rPr>
                <w:i/>
                <w:iCs/>
              </w:rPr>
              <w:t>Показатель 11.2.1</w:t>
            </w:r>
            <w:r>
              <w:t>: Доля населения, имеющего удобный досту</w:t>
            </w:r>
            <w:r w:rsidR="00BF198C">
              <w:t>п к общественному транспорту, в </w:t>
            </w:r>
            <w:r>
              <w:t>разбивке по полу, возрасту и наличию/отсутствию инвалидности</w:t>
            </w:r>
          </w:p>
          <w:p w:rsidR="007E7905" w:rsidRPr="0018060A" w:rsidRDefault="007E7905" w:rsidP="00842AFE">
            <w:pPr>
              <w:spacing w:before="40" w:after="120"/>
              <w:ind w:right="113"/>
              <w:rPr>
                <w:u w:val="single"/>
              </w:rPr>
            </w:pPr>
            <w:r>
              <w:rPr>
                <w:i/>
                <w:iCs/>
              </w:rPr>
              <w:t>Возможное курирующее учреждение</w:t>
            </w:r>
            <w:r>
              <w:t>: ООН-Хабитат</w:t>
            </w:r>
            <w:bookmarkStart w:id="1" w:name="hit_last"/>
            <w:bookmarkEnd w:id="1"/>
          </w:p>
          <w:p w:rsidR="007E7905" w:rsidRPr="0018060A" w:rsidRDefault="007E7905" w:rsidP="00842AFE">
            <w:pPr>
              <w:spacing w:before="40" w:after="120"/>
              <w:ind w:right="113"/>
            </w:pPr>
            <w:r>
              <w:rPr>
                <w:i/>
                <w:iCs/>
              </w:rPr>
              <w:t>Учреждения-партнеры</w:t>
            </w:r>
            <w:r>
              <w:t>: ЕЭК, ЮНЕП</w:t>
            </w:r>
          </w:p>
        </w:tc>
      </w:tr>
      <w:tr w:rsidR="007E7905" w:rsidRPr="00B720FF" w:rsidTr="00D47BB2">
        <w:trPr>
          <w:cantSplit/>
        </w:trPr>
        <w:tc>
          <w:tcPr>
            <w:tcW w:w="8505" w:type="dxa"/>
            <w:shd w:val="clear" w:color="auto" w:fill="auto"/>
          </w:tcPr>
          <w:p w:rsidR="007E7905" w:rsidRPr="00B720FF" w:rsidRDefault="007E7905" w:rsidP="00842AFE">
            <w:pPr>
              <w:spacing w:before="40" w:after="120"/>
              <w:ind w:right="113"/>
            </w:pPr>
            <w:r>
              <w:rPr>
                <w:i/>
                <w:iCs/>
              </w:rPr>
              <w:t>Уровень</w:t>
            </w:r>
            <w:r>
              <w:t>: II</w:t>
            </w:r>
          </w:p>
        </w:tc>
      </w:tr>
      <w:tr w:rsidR="007E7905" w:rsidRPr="000F54DF" w:rsidTr="00D47BB2">
        <w:trPr>
          <w:cantSplit/>
        </w:trPr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:rsidR="007E7905" w:rsidRPr="0018060A" w:rsidRDefault="007E7905" w:rsidP="00842AFE">
            <w:pPr>
              <w:spacing w:before="40" w:after="120"/>
              <w:ind w:right="113"/>
            </w:pPr>
            <w:r>
              <w:t>КВТ предоставляет информацию о передовой практике и стратегиях для создания устойчивых систем городского транспорта, т.</w:t>
            </w:r>
            <w:r w:rsidR="00EF2B83">
              <w:t xml:space="preserve"> </w:t>
            </w:r>
            <w:r>
              <w:t>е. систем, которые являются эффективными, взаимосвязанными, доступными по цене, безопасными и экологичными и обеспечивают более широкую мобильность и доступ для всех в условиях городской среды с высокой плотностью населения.</w:t>
            </w:r>
            <w:bookmarkStart w:id="2" w:name="_GoBack"/>
            <w:bookmarkEnd w:id="2"/>
          </w:p>
        </w:tc>
      </w:tr>
    </w:tbl>
    <w:p w:rsidR="007E7905" w:rsidRPr="0018060A" w:rsidRDefault="007E7905" w:rsidP="007E7905">
      <w:pPr>
        <w:suppressAutoHyphens w:val="0"/>
        <w:spacing w:line="240" w:lineRule="auto"/>
        <w:rPr>
          <w:b/>
          <w:sz w:val="28"/>
        </w:rPr>
      </w:pPr>
      <w:r w:rsidRPr="0018060A">
        <w:rPr>
          <w:b/>
          <w:sz w:val="28"/>
        </w:rPr>
        <w:br w:type="page"/>
      </w:r>
    </w:p>
    <w:p w:rsidR="007E7905" w:rsidRPr="00D1740D" w:rsidRDefault="007E7905" w:rsidP="007E7905">
      <w:pPr>
        <w:pStyle w:val="HChG"/>
        <w:rPr>
          <w:lang w:val="ru-RU"/>
        </w:rPr>
      </w:pPr>
      <w:r w:rsidRPr="00D1740D">
        <w:rPr>
          <w:lang w:val="ru-RU"/>
        </w:rPr>
        <w:lastRenderedPageBreak/>
        <w:t xml:space="preserve">Приложение </w:t>
      </w:r>
      <w:r w:rsidRPr="007E7905">
        <w:t>I</w:t>
      </w:r>
      <w:r>
        <w:t>I</w:t>
      </w:r>
    </w:p>
    <w:p w:rsidR="007E7905" w:rsidRPr="0018060A" w:rsidRDefault="007E7905" w:rsidP="007E7905">
      <w:pPr>
        <w:pStyle w:val="HChG"/>
        <w:rPr>
          <w:u w:val="single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Индикаторы для добровольных глобальных целевых показателей в отношении факторов риска с точки зрения безопасности дорожного движения и механизмов оказания услуг 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7051"/>
      </w:tblGrid>
      <w:tr w:rsidR="007E7905" w:rsidRPr="00F97A40" w:rsidTr="00842AFE">
        <w:trPr>
          <w:cantSplit/>
          <w:trHeight w:val="415"/>
          <w:tblHeader/>
        </w:trPr>
        <w:tc>
          <w:tcPr>
            <w:tcW w:w="26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E7905" w:rsidRPr="00F97A40" w:rsidRDefault="007E7905" w:rsidP="00F97A40">
            <w:pPr>
              <w:spacing w:before="80" w:after="80" w:line="220" w:lineRule="exact"/>
              <w:ind w:right="113"/>
              <w:rPr>
                <w:rFonts w:eastAsia="SimSun"/>
                <w:i/>
                <w:sz w:val="16"/>
                <w:szCs w:val="16"/>
              </w:rPr>
            </w:pPr>
            <w:r w:rsidRPr="00F97A40">
              <w:rPr>
                <w:i/>
                <w:iCs/>
                <w:sz w:val="16"/>
                <w:szCs w:val="16"/>
              </w:rPr>
              <w:t>Целевой показатель</w:t>
            </w:r>
            <w:r w:rsidRPr="00F97A40">
              <w:rPr>
                <w:rStyle w:val="aa"/>
                <w:rFonts w:eastAsia="SimSun"/>
                <w:szCs w:val="18"/>
                <w:lang w:eastAsia="zh-CN"/>
              </w:rPr>
              <w:footnoteReference w:id="1"/>
            </w:r>
            <w:r w:rsidRPr="00F97A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E7905" w:rsidRPr="00F97A40" w:rsidRDefault="007E7905" w:rsidP="00BF198C">
            <w:pPr>
              <w:spacing w:before="80" w:after="80" w:line="220" w:lineRule="exact"/>
              <w:ind w:left="57" w:right="113"/>
              <w:rPr>
                <w:rFonts w:eastAsia="SimSun"/>
                <w:i/>
                <w:sz w:val="16"/>
                <w:szCs w:val="16"/>
              </w:rPr>
            </w:pPr>
            <w:r w:rsidRPr="00F97A40">
              <w:rPr>
                <w:i/>
                <w:iCs/>
                <w:sz w:val="16"/>
                <w:szCs w:val="16"/>
              </w:rPr>
              <w:t>Добровольные глобальные индикаторы для добровольных глобальных целевых показателей</w:t>
            </w:r>
            <w:r w:rsidRPr="00F97A40">
              <w:rPr>
                <w:rStyle w:val="aa"/>
                <w:iCs/>
                <w:szCs w:val="18"/>
              </w:rPr>
              <w:footnoteReference w:id="2"/>
            </w:r>
          </w:p>
        </w:tc>
      </w:tr>
      <w:tr w:rsidR="007E7905" w:rsidRPr="00F97A40" w:rsidTr="00842AFE">
        <w:trPr>
          <w:cantSplit/>
          <w:trHeight w:val="1484"/>
        </w:trPr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:rsidR="007E7905" w:rsidRPr="00F97A40" w:rsidRDefault="007E7905" w:rsidP="00EF2B83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rPr>
                <w:b/>
                <w:bCs/>
              </w:rPr>
              <w:t>Целевой показатель 1</w:t>
            </w:r>
            <w:r w:rsidRPr="00F97A40">
              <w:t>: к</w:t>
            </w:r>
            <w:r w:rsidR="00EF2B83">
              <w:t> </w:t>
            </w:r>
            <w:r w:rsidRPr="00F97A40">
              <w:t>2020 году все страны должны разработать всеобъемлющий многосекторальный национальный план действий по обеспечению безопасности дорожного движения с обязательными по срокам целевыми показателями.</w:t>
            </w:r>
          </w:p>
        </w:tc>
        <w:tc>
          <w:tcPr>
            <w:tcW w:w="7110" w:type="dxa"/>
            <w:tcBorders>
              <w:top w:val="single" w:sz="12" w:space="0" w:color="auto"/>
            </w:tcBorders>
            <w:shd w:val="clear" w:color="auto" w:fill="auto"/>
          </w:tcPr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/>
                <w:bCs/>
                <w:szCs w:val="18"/>
              </w:rPr>
            </w:pPr>
            <w:r w:rsidRPr="00F97A40">
              <w:rPr>
                <w:b/>
                <w:bCs/>
              </w:rPr>
              <w:t>Индикаторы для целевого показателя 1: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 xml:space="preserve">Число стран с опубликованным национальным планом действий, включающим регулярно обновляемые и обязательные по срокам целевые показатели сокращения смертности и травматизма 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>Число стран, в которых имеется ведущее национальное агентство по координации, мониторингу, оценке и осуществлению многосекторального национального плана действий по обеспечению безопасности дорожного движения</w:t>
            </w:r>
          </w:p>
        </w:tc>
      </w:tr>
      <w:tr w:rsidR="007E7905" w:rsidRPr="00F97A40" w:rsidTr="00BF198C">
        <w:trPr>
          <w:cantSplit/>
          <w:trHeight w:val="2798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7E7905" w:rsidRPr="00F97A40" w:rsidRDefault="007E7905" w:rsidP="00EF2B83">
            <w:pPr>
              <w:spacing w:before="40" w:after="120" w:line="220" w:lineRule="exact"/>
              <w:ind w:right="113"/>
              <w:rPr>
                <w:rFonts w:eastAsia="SimSun"/>
                <w:b/>
                <w:szCs w:val="18"/>
              </w:rPr>
            </w:pPr>
            <w:r w:rsidRPr="00F97A40">
              <w:rPr>
                <w:b/>
                <w:bCs/>
              </w:rPr>
              <w:t>Целевой показатель 2</w:t>
            </w:r>
            <w:r w:rsidRPr="00F97A40">
              <w:t>: к</w:t>
            </w:r>
            <w:r w:rsidR="00EF2B83">
              <w:t> </w:t>
            </w:r>
            <w:r w:rsidRPr="00F97A40">
              <w:t>2030 году все страны должны присоединиться к одному или нескольким основным правовым документам ООН в области безопасности дорожного движения.</w:t>
            </w:r>
          </w:p>
        </w:tc>
        <w:tc>
          <w:tcPr>
            <w:tcW w:w="7110" w:type="dxa"/>
            <w:tcBorders>
              <w:bottom w:val="nil"/>
            </w:tcBorders>
            <w:shd w:val="clear" w:color="auto" w:fill="auto"/>
          </w:tcPr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/>
                <w:bCs/>
                <w:szCs w:val="18"/>
              </w:rPr>
            </w:pPr>
            <w:r w:rsidRPr="00F97A40">
              <w:rPr>
                <w:b/>
                <w:bCs/>
              </w:rPr>
              <w:t>Индикатор для целевого показателя 2: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>Число стран, ратифицировавших один или несколько основных правовых документов ООН в области безопасности дорожного движения или присоединившихся к ним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 xml:space="preserve">(Сноска: </w:t>
            </w:r>
          </w:p>
          <w:p w:rsidR="007E7905" w:rsidRPr="00F97A40" w:rsidRDefault="007E7905" w:rsidP="00F97A40">
            <w:pPr>
              <w:pStyle w:val="Bullet1G"/>
              <w:tabs>
                <w:tab w:val="clear" w:pos="1701"/>
              </w:tabs>
              <w:spacing w:after="80" w:line="220" w:lineRule="exact"/>
              <w:ind w:left="198"/>
              <w:rPr>
                <w:rFonts w:eastAsia="SimSun"/>
                <w:bCs/>
                <w:szCs w:val="18"/>
              </w:rPr>
            </w:pPr>
            <w:r w:rsidRPr="00F97A40">
              <w:t>Конвенция о дорожном движении 1949 года</w:t>
            </w:r>
          </w:p>
          <w:p w:rsidR="007E7905" w:rsidRPr="00F97A40" w:rsidRDefault="007E7905" w:rsidP="00F97A40">
            <w:pPr>
              <w:pStyle w:val="Bullet1G"/>
              <w:tabs>
                <w:tab w:val="clear" w:pos="1701"/>
              </w:tabs>
              <w:spacing w:after="80" w:line="220" w:lineRule="exact"/>
              <w:ind w:left="198"/>
              <w:rPr>
                <w:rFonts w:eastAsia="SimSun"/>
                <w:bCs/>
                <w:szCs w:val="18"/>
              </w:rPr>
            </w:pPr>
            <w:r w:rsidRPr="00F97A40">
              <w:t>Конвенция</w:t>
            </w:r>
            <w:r w:rsidRPr="00F97A40">
              <w:rPr>
                <w:lang w:val="ru-RU"/>
              </w:rPr>
              <w:t xml:space="preserve"> о дорожном движении 1968 года</w:t>
            </w:r>
          </w:p>
          <w:p w:rsidR="007E7905" w:rsidRPr="00F97A40" w:rsidRDefault="007E7905" w:rsidP="00F97A40">
            <w:pPr>
              <w:pStyle w:val="Bullet1G"/>
              <w:tabs>
                <w:tab w:val="clear" w:pos="1701"/>
              </w:tabs>
              <w:spacing w:after="80" w:line="220" w:lineRule="exact"/>
              <w:ind w:left="198"/>
              <w:rPr>
                <w:rFonts w:eastAsia="SimSun"/>
                <w:bCs/>
                <w:szCs w:val="18"/>
                <w:lang w:val="ru-RU"/>
              </w:rPr>
            </w:pPr>
            <w:r w:rsidRPr="00D1740D">
              <w:rPr>
                <w:lang w:val="ru-RU"/>
              </w:rPr>
              <w:t>Конвенция</w:t>
            </w:r>
            <w:r w:rsidRPr="00F97A40">
              <w:rPr>
                <w:lang w:val="ru-RU"/>
              </w:rPr>
              <w:t xml:space="preserve"> о дорожных знаках и сигналах 1968 года</w:t>
            </w:r>
          </w:p>
          <w:p w:rsidR="007E7905" w:rsidRPr="00F97A40" w:rsidRDefault="007E7905" w:rsidP="00F97A40">
            <w:pPr>
              <w:pStyle w:val="Bullet1G"/>
              <w:tabs>
                <w:tab w:val="clear" w:pos="1701"/>
              </w:tabs>
              <w:spacing w:after="80" w:line="220" w:lineRule="exact"/>
              <w:ind w:left="198"/>
              <w:rPr>
                <w:rFonts w:eastAsia="SimSun"/>
                <w:bCs/>
                <w:szCs w:val="18"/>
                <w:lang w:val="ru-RU"/>
              </w:rPr>
            </w:pPr>
            <w:r w:rsidRPr="00D1740D">
              <w:rPr>
                <w:lang w:val="ru-RU"/>
              </w:rPr>
              <w:t>Соглашение</w:t>
            </w:r>
            <w:r w:rsidRPr="00F97A40">
              <w:rPr>
                <w:lang w:val="ru-RU"/>
              </w:rPr>
              <w:t xml:space="preserve"> 1958 года о правилах ООН, касающихся официального утверждения типа транспортных средств</w:t>
            </w:r>
          </w:p>
          <w:p w:rsidR="007E7905" w:rsidRPr="00F97A40" w:rsidRDefault="007E7905" w:rsidP="00F97A40">
            <w:pPr>
              <w:pStyle w:val="Bullet1G"/>
              <w:tabs>
                <w:tab w:val="clear" w:pos="1701"/>
              </w:tabs>
              <w:spacing w:after="80" w:line="220" w:lineRule="exact"/>
              <w:ind w:left="198"/>
              <w:rPr>
                <w:rFonts w:eastAsia="SimSun"/>
                <w:bCs/>
                <w:szCs w:val="18"/>
                <w:lang w:val="ru-RU"/>
              </w:rPr>
            </w:pPr>
            <w:r w:rsidRPr="00D1740D">
              <w:rPr>
                <w:lang w:val="ru-RU"/>
              </w:rPr>
              <w:t>Соглашение</w:t>
            </w:r>
            <w:r w:rsidRPr="00F97A40">
              <w:rPr>
                <w:lang w:val="ru-RU"/>
              </w:rPr>
              <w:t xml:space="preserve"> о периодических технических осмотрах 1997 года</w:t>
            </w:r>
          </w:p>
          <w:p w:rsidR="007E7905" w:rsidRPr="00F97A40" w:rsidRDefault="007E7905" w:rsidP="00F97A40">
            <w:pPr>
              <w:pStyle w:val="Bullet1G"/>
              <w:tabs>
                <w:tab w:val="clear" w:pos="1701"/>
              </w:tabs>
              <w:spacing w:after="80" w:line="220" w:lineRule="exact"/>
              <w:ind w:left="198"/>
              <w:rPr>
                <w:rFonts w:eastAsia="SimSun"/>
                <w:bCs/>
                <w:szCs w:val="18"/>
                <w:lang w:val="ru-RU"/>
              </w:rPr>
            </w:pPr>
            <w:r w:rsidRPr="00D1740D">
              <w:rPr>
                <w:lang w:val="ru-RU"/>
              </w:rPr>
              <w:t>Соглашение</w:t>
            </w:r>
            <w:r w:rsidRPr="00F97A40">
              <w:rPr>
                <w:lang w:val="ru-RU"/>
              </w:rPr>
              <w:t xml:space="preserve"> 1998 года о глобальных технических правилах ООН, касающихся конструкции транспортных средств</w:t>
            </w:r>
          </w:p>
          <w:p w:rsidR="007E7905" w:rsidRPr="00F97A40" w:rsidRDefault="007E7905" w:rsidP="00F97A40">
            <w:pPr>
              <w:pStyle w:val="Bullet1G"/>
              <w:tabs>
                <w:tab w:val="clear" w:pos="1701"/>
              </w:tabs>
              <w:spacing w:after="80" w:line="220" w:lineRule="exact"/>
              <w:ind w:left="198"/>
              <w:rPr>
                <w:rFonts w:eastAsia="SimSun"/>
                <w:bCs/>
                <w:szCs w:val="18"/>
                <w:lang w:val="ru-RU"/>
              </w:rPr>
            </w:pPr>
            <w:r w:rsidRPr="00D1740D">
              <w:rPr>
                <w:lang w:val="ru-RU"/>
              </w:rPr>
              <w:t>Соглашение</w:t>
            </w:r>
            <w:r w:rsidRPr="00F97A40">
              <w:rPr>
                <w:lang w:val="ru-RU"/>
              </w:rPr>
              <w:t xml:space="preserve"> 1957 года о дорожной перевозке опасных грузов (ДОПОГ) </w:t>
            </w:r>
          </w:p>
        </w:tc>
      </w:tr>
      <w:tr w:rsidR="007E7905" w:rsidRPr="00F97A40" w:rsidTr="00BF198C">
        <w:trPr>
          <w:cantSplit/>
          <w:trHeight w:val="1466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</w:tcPr>
          <w:p w:rsidR="007E7905" w:rsidRPr="00F97A40" w:rsidRDefault="007E7905" w:rsidP="00BF198C">
            <w:pPr>
              <w:spacing w:before="40" w:line="220" w:lineRule="exact"/>
              <w:ind w:right="113"/>
              <w:rPr>
                <w:rFonts w:eastAsia="SimSun"/>
                <w:b/>
                <w:szCs w:val="18"/>
              </w:rPr>
            </w:pPr>
            <w:r w:rsidRPr="00F97A40">
              <w:rPr>
                <w:b/>
                <w:bCs/>
              </w:rPr>
              <w:t>Целевой показатель 3</w:t>
            </w:r>
            <w:r w:rsidRPr="00F97A40">
              <w:t>: к</w:t>
            </w:r>
            <w:r w:rsidR="00EF2B83">
              <w:t> </w:t>
            </w:r>
            <w:r w:rsidRPr="00F97A40">
              <w:t xml:space="preserve">2030 году все новые дороги должны соответствовать техническим стандартам, касающимся всех участников дорожного движения и обеспечивающим безопасность дорожного движения, или рейтингу </w:t>
            </w:r>
            <w:r w:rsidR="00F97A40">
              <w:t>«</w:t>
            </w:r>
            <w:r w:rsidRPr="00F97A40">
              <w:t>три звезды</w:t>
            </w:r>
            <w:r w:rsidR="00F97A40">
              <w:t>»</w:t>
            </w:r>
            <w:r w:rsidRPr="00F97A40">
              <w:t xml:space="preserve"> и выше.</w:t>
            </w:r>
          </w:p>
        </w:tc>
        <w:tc>
          <w:tcPr>
            <w:tcW w:w="7110" w:type="dxa"/>
            <w:tcBorders>
              <w:top w:val="nil"/>
              <w:bottom w:val="nil"/>
            </w:tcBorders>
            <w:shd w:val="clear" w:color="auto" w:fill="auto"/>
          </w:tcPr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/>
                <w:bCs/>
                <w:szCs w:val="18"/>
              </w:rPr>
            </w:pPr>
            <w:r w:rsidRPr="00F97A40">
              <w:rPr>
                <w:b/>
                <w:bCs/>
              </w:rPr>
              <w:t>Индикаторы для целевого показателя 3: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>Число стран, которые внедрили в отношении всех новых дорог технические стандарты, учитывающие безопасность всех участников дорожного движения или согласующиеся с соответствующими конвенциями ООН, и регулир</w:t>
            </w:r>
            <w:r w:rsidR="00EF2B83">
              <w:t>уют соблюдение таких стандартов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 xml:space="preserve">Число стран, использующих систематические подходы к оценке/аудиту новых дорог </w:t>
            </w:r>
          </w:p>
        </w:tc>
      </w:tr>
      <w:tr w:rsidR="007E7905" w:rsidRPr="00F97A40" w:rsidTr="00BF198C">
        <w:trPr>
          <w:cantSplit/>
          <w:trHeight w:val="1340"/>
        </w:trPr>
        <w:tc>
          <w:tcPr>
            <w:tcW w:w="2610" w:type="dxa"/>
            <w:tcBorders>
              <w:top w:val="nil"/>
            </w:tcBorders>
            <w:shd w:val="clear" w:color="auto" w:fill="auto"/>
          </w:tcPr>
          <w:p w:rsidR="007E7905" w:rsidRPr="00F97A40" w:rsidRDefault="007E7905" w:rsidP="00EF2B83">
            <w:pPr>
              <w:spacing w:before="40" w:after="120" w:line="220" w:lineRule="exact"/>
              <w:ind w:right="113"/>
              <w:rPr>
                <w:rFonts w:eastAsia="SimSun"/>
                <w:b/>
                <w:szCs w:val="18"/>
              </w:rPr>
            </w:pPr>
            <w:r w:rsidRPr="00F97A40">
              <w:rPr>
                <w:b/>
                <w:bCs/>
              </w:rPr>
              <w:lastRenderedPageBreak/>
              <w:t>Целевой показатель 4</w:t>
            </w:r>
            <w:r w:rsidRPr="00F97A40">
              <w:t>: к</w:t>
            </w:r>
            <w:r w:rsidR="00EF2B83">
              <w:t> </w:t>
            </w:r>
            <w:r w:rsidR="00BF198C">
              <w:t>2030 году более 75% </w:t>
            </w:r>
            <w:r w:rsidRPr="00F97A40">
              <w:t>перевозок по существующим дорогам должно осуществляться по дорогам, которые отвечают техническим стандартам для всех участников дорожного движения и обеспечивают безопасность дорожного движения.</w:t>
            </w:r>
          </w:p>
        </w:tc>
        <w:tc>
          <w:tcPr>
            <w:tcW w:w="7110" w:type="dxa"/>
            <w:tcBorders>
              <w:top w:val="nil"/>
            </w:tcBorders>
            <w:shd w:val="clear" w:color="auto" w:fill="auto"/>
          </w:tcPr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/>
                <w:bCs/>
                <w:szCs w:val="18"/>
              </w:rPr>
            </w:pPr>
            <w:r w:rsidRPr="00F97A40">
              <w:rPr>
                <w:b/>
                <w:bCs/>
              </w:rPr>
              <w:t>Индикаторы для целевого показателя 4: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>Число стран, разработавших и реализующих план модернизации существующих дорог с учетом требований безопасности всех участников дорожного движения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>Число стран, использующих систематические подходы к оценке/аудиту существующих дорог</w:t>
            </w:r>
          </w:p>
        </w:tc>
      </w:tr>
      <w:tr w:rsidR="007E7905" w:rsidRPr="00F97A40" w:rsidTr="00842AFE">
        <w:trPr>
          <w:cantSplit/>
          <w:trHeight w:val="1934"/>
        </w:trPr>
        <w:tc>
          <w:tcPr>
            <w:tcW w:w="2610" w:type="dxa"/>
            <w:shd w:val="clear" w:color="auto" w:fill="auto"/>
          </w:tcPr>
          <w:p w:rsidR="007E7905" w:rsidRPr="00F97A40" w:rsidRDefault="007E7905" w:rsidP="00EF2B83">
            <w:pPr>
              <w:spacing w:before="40" w:after="120" w:line="220" w:lineRule="exact"/>
              <w:ind w:right="113"/>
              <w:rPr>
                <w:rFonts w:eastAsia="SimSun"/>
                <w:b/>
                <w:szCs w:val="16"/>
              </w:rPr>
            </w:pPr>
            <w:r w:rsidRPr="00F97A40">
              <w:rPr>
                <w:b/>
                <w:bCs/>
              </w:rPr>
              <w:t>Целевой показатель 5</w:t>
            </w:r>
            <w:r w:rsidRPr="00F97A40">
              <w:t>: к</w:t>
            </w:r>
            <w:r w:rsidR="00EF2B83">
              <w:t> </w:t>
            </w:r>
            <w:r w:rsidRPr="00F97A40">
              <w:t>2030 году 100% новых (определяемых как произведенные, проданные или импортируемые) и подержанных транспортных средств должны отвечать высоким стандартам безопасности, таким как рекомендованные приоритетные Правила ООН, Глобальные технические правила или эквивалентные признанные национальные эксплуатационные требования.</w:t>
            </w:r>
          </w:p>
        </w:tc>
        <w:tc>
          <w:tcPr>
            <w:tcW w:w="7110" w:type="dxa"/>
            <w:shd w:val="clear" w:color="auto" w:fill="auto"/>
          </w:tcPr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/>
                <w:bCs/>
                <w:szCs w:val="18"/>
              </w:rPr>
            </w:pPr>
            <w:r w:rsidRPr="00F97A40">
              <w:rPr>
                <w:b/>
                <w:bCs/>
              </w:rPr>
              <w:t>Индикаторы для целевого показателя 5:</w:t>
            </w:r>
            <w:r w:rsidRPr="00F97A40">
              <w:t xml:space="preserve"> 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trike/>
                <w:szCs w:val="18"/>
              </w:rPr>
            </w:pPr>
            <w:r w:rsidRPr="00F97A40">
              <w:t xml:space="preserve">Число стран, применяющих высокие стандарты безопасности в отношении новых транспортных средств 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>Число стран, использующих систематические подходы к оценке транспортных средств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>Число стран, применяющих высокие стандарты безопасности в отношении экспортируемых подержанных транспортных средств</w:t>
            </w:r>
          </w:p>
        </w:tc>
      </w:tr>
      <w:tr w:rsidR="007E7905" w:rsidRPr="00F97A40" w:rsidTr="00BF198C">
        <w:trPr>
          <w:cantSplit/>
          <w:trHeight w:val="2528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7E7905" w:rsidRPr="00F97A40" w:rsidRDefault="007E7905" w:rsidP="00EF2B83">
            <w:pPr>
              <w:spacing w:before="40" w:after="120" w:line="220" w:lineRule="exact"/>
              <w:ind w:right="113"/>
              <w:rPr>
                <w:rFonts w:eastAsia="SimSun"/>
                <w:b/>
                <w:szCs w:val="18"/>
              </w:rPr>
            </w:pPr>
            <w:r w:rsidRPr="00F97A40">
              <w:rPr>
                <w:b/>
                <w:bCs/>
              </w:rPr>
              <w:t>Целевой показатель 6</w:t>
            </w:r>
            <w:r w:rsidRPr="00F97A40">
              <w:t>: к</w:t>
            </w:r>
            <w:r w:rsidR="00EF2B83">
              <w:t> </w:t>
            </w:r>
            <w:r w:rsidRPr="00F97A40">
              <w:t>2030 году вдвое сократить долю транспортных средств, превышающих установленное ограничение скорости, и добиться сокращения числа травм и случаев смерти, связанных с превышением установленного ограничения скорости.</w:t>
            </w:r>
          </w:p>
        </w:tc>
        <w:tc>
          <w:tcPr>
            <w:tcW w:w="7110" w:type="dxa"/>
            <w:tcBorders>
              <w:bottom w:val="nil"/>
            </w:tcBorders>
            <w:shd w:val="clear" w:color="auto" w:fill="auto"/>
          </w:tcPr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/>
                <w:bCs/>
                <w:szCs w:val="18"/>
              </w:rPr>
            </w:pPr>
            <w:r w:rsidRPr="00F97A40">
              <w:rPr>
                <w:b/>
                <w:bCs/>
              </w:rPr>
              <w:t>Индикаторы для целевого показателя 6: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 xml:space="preserve">Число стран, имеющих законодательство, устанавливающее надлежащие ограничения скорости и эффективные меры по обеспечению правоприменения 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 xml:space="preserve">Число стран, которые сократили вдвое долю транспортных средств, превышающих установленное ограничение скорости 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 xml:space="preserve">Число стран, имеющих национальные и в соответствующих случаях субнациональные системы данных о нарушениях скоростного режима, а также травматизме и смертности, связанных с превышением скорости 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>Число стран, добившихся сокращения числа травм и случаев смерти, связанных с превышением скорости</w:t>
            </w:r>
          </w:p>
        </w:tc>
      </w:tr>
      <w:tr w:rsidR="007E7905" w:rsidRPr="00F97A40" w:rsidTr="00BF198C">
        <w:trPr>
          <w:cantSplit/>
          <w:trHeight w:val="314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</w:tcPr>
          <w:p w:rsidR="007E7905" w:rsidRPr="00F97A40" w:rsidRDefault="007E7905" w:rsidP="00EF2B83">
            <w:pPr>
              <w:spacing w:before="40" w:after="120" w:line="220" w:lineRule="exact"/>
              <w:ind w:right="113"/>
              <w:rPr>
                <w:rFonts w:eastAsia="SimSun"/>
                <w:b/>
                <w:szCs w:val="18"/>
              </w:rPr>
            </w:pPr>
            <w:r w:rsidRPr="00F97A40">
              <w:rPr>
                <w:b/>
                <w:bCs/>
              </w:rPr>
              <w:t>Целевой показатель 7</w:t>
            </w:r>
            <w:r w:rsidRPr="00F97A40">
              <w:t>: к</w:t>
            </w:r>
            <w:r w:rsidR="00EF2B83">
              <w:t> </w:t>
            </w:r>
            <w:r w:rsidRPr="00F97A40">
              <w:t>2030 году увеличить долю мотоциклистов, правильно пользующихся стандартными шлемами, почти до 100%.</w:t>
            </w:r>
          </w:p>
        </w:tc>
        <w:tc>
          <w:tcPr>
            <w:tcW w:w="7110" w:type="dxa"/>
            <w:tcBorders>
              <w:top w:val="nil"/>
              <w:bottom w:val="nil"/>
            </w:tcBorders>
            <w:shd w:val="clear" w:color="auto" w:fill="auto"/>
          </w:tcPr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/>
                <w:bCs/>
                <w:szCs w:val="18"/>
              </w:rPr>
            </w:pPr>
            <w:r w:rsidRPr="00F97A40">
              <w:rPr>
                <w:b/>
                <w:bCs/>
              </w:rPr>
              <w:t>Индикаторы для целевого показателя 7: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>Число стран, имеющих законодательство, требующее от водителей мотоциклов носить правильно застегнутый шлем, отвечающий соответствующим стандартам (СНОСКА: например, Правилам № 22 ООН или эквивалентному национальному стандарту)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>Число стран, обеспечивающих эффективное соблюдение законодательства об использовании шлемов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 xml:space="preserve">Число стран, применяющих правила о безопасности продаваемых шлемов для детей и взрослых 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 xml:space="preserve">Число стран, имеющих национальные и в соответствующих случаях субнациональные системы данных об использовании шлемов 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>Число стран, в которых доля водителей мотоциклов, правильно пользующихся шлемами, приближается к 100%</w:t>
            </w:r>
          </w:p>
        </w:tc>
      </w:tr>
      <w:tr w:rsidR="007E7905" w:rsidRPr="00F97A40" w:rsidTr="00BF198C">
        <w:trPr>
          <w:cantSplit/>
          <w:trHeight w:val="3966"/>
        </w:trPr>
        <w:tc>
          <w:tcPr>
            <w:tcW w:w="2610" w:type="dxa"/>
            <w:tcBorders>
              <w:top w:val="nil"/>
            </w:tcBorders>
            <w:shd w:val="clear" w:color="auto" w:fill="auto"/>
          </w:tcPr>
          <w:p w:rsidR="007E7905" w:rsidRPr="00F97A40" w:rsidRDefault="007E7905" w:rsidP="00EF2B83">
            <w:pPr>
              <w:spacing w:before="40" w:after="120" w:line="220" w:lineRule="exact"/>
              <w:ind w:right="113"/>
              <w:rPr>
                <w:rFonts w:eastAsia="SimSun"/>
                <w:b/>
                <w:szCs w:val="18"/>
              </w:rPr>
            </w:pPr>
            <w:r w:rsidRPr="00F97A40">
              <w:rPr>
                <w:b/>
                <w:bCs/>
              </w:rPr>
              <w:lastRenderedPageBreak/>
              <w:t>Целевой показатель 8</w:t>
            </w:r>
            <w:r w:rsidRPr="00F97A40">
              <w:t>: к</w:t>
            </w:r>
            <w:r w:rsidR="00EF2B83">
              <w:t> </w:t>
            </w:r>
            <w:r w:rsidRPr="00F97A40">
              <w:t>2030 году увеличить долю водителей и пассажиров автотранспортных средств, использующих ремни безопасности или стандартные детские удерживающие системы, почти до 100%.</w:t>
            </w:r>
          </w:p>
        </w:tc>
        <w:tc>
          <w:tcPr>
            <w:tcW w:w="7110" w:type="dxa"/>
            <w:tcBorders>
              <w:top w:val="nil"/>
            </w:tcBorders>
            <w:shd w:val="clear" w:color="auto" w:fill="auto"/>
          </w:tcPr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/>
                <w:bCs/>
                <w:szCs w:val="18"/>
              </w:rPr>
            </w:pPr>
            <w:r w:rsidRPr="00F97A40">
              <w:rPr>
                <w:b/>
                <w:bCs/>
              </w:rPr>
              <w:t>Индикаторы для целевого показателя 8: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>Число стран, имеющих и эффективно применяющих законодательство, требующее использования ремней безопасности всеми лицами, находящимися в автотранспортном средстве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>Число стран, имеющих и эффективно применяющих законодательство, требующее использования детских удерживающих систем, которые отвечают соответствующим стандартам (СНОСКА: например, Правилам № 44 или 129 ООН и Правилам № 145 ООН или эквивалентному национальному стандарту)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>Число стран, в которых доля всех водителей и пассажиров транспортных средств, пользующихся ремнями безопасности, приближается к 100%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>Число стран, в которых доля всех детей, находящихся в автотранспортном средстве и пользующихся стандартными детскими удерживающими системами, приближается к 100%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 xml:space="preserve">Число стран, имеющих и эффективно применяющих правила, касающиеся безопасности продаваемых детских удерживающих систем 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 xml:space="preserve">Число стран, имеющих национальные и в соответствующих случаях субнациональные данные об использовании ремней безопасности, а также о надлежащем использовании детских удерживающих систем </w:t>
            </w:r>
          </w:p>
        </w:tc>
      </w:tr>
      <w:tr w:rsidR="007E7905" w:rsidRPr="00F97A40" w:rsidTr="00842AFE">
        <w:trPr>
          <w:cantSplit/>
          <w:trHeight w:val="2348"/>
        </w:trPr>
        <w:tc>
          <w:tcPr>
            <w:tcW w:w="2610" w:type="dxa"/>
            <w:shd w:val="clear" w:color="auto" w:fill="auto"/>
          </w:tcPr>
          <w:p w:rsidR="007E7905" w:rsidRPr="00F97A40" w:rsidRDefault="007E7905" w:rsidP="00EF2B83">
            <w:pPr>
              <w:spacing w:before="40" w:after="120" w:line="220" w:lineRule="exact"/>
              <w:ind w:right="113"/>
              <w:rPr>
                <w:rFonts w:eastAsia="SimSun"/>
                <w:b/>
                <w:szCs w:val="18"/>
              </w:rPr>
            </w:pPr>
            <w:r w:rsidRPr="00F97A40">
              <w:rPr>
                <w:b/>
                <w:bCs/>
              </w:rPr>
              <w:t>Целевой показатель 9</w:t>
            </w:r>
            <w:r w:rsidRPr="00F97A40">
              <w:t>: к</w:t>
            </w:r>
            <w:r w:rsidR="00EF2B83">
              <w:t> </w:t>
            </w:r>
            <w:r w:rsidRPr="00F97A40">
              <w:t xml:space="preserve">2030 году вдвое сократить число дорожно-транспортных происшествий и случаев смерти, связанных с употреблением водителями алкоголя, и/или добиться сокращения числа происшествий, связанных с другими психоактивными веществами. </w:t>
            </w:r>
          </w:p>
        </w:tc>
        <w:tc>
          <w:tcPr>
            <w:tcW w:w="7110" w:type="dxa"/>
            <w:shd w:val="clear" w:color="auto" w:fill="auto"/>
          </w:tcPr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/>
                <w:bCs/>
                <w:szCs w:val="18"/>
              </w:rPr>
            </w:pPr>
            <w:r w:rsidRPr="00F97A40">
              <w:rPr>
                <w:b/>
                <w:bCs/>
              </w:rPr>
              <w:t>Индикаторы для целевого показателя 9: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szCs w:val="18"/>
              </w:rPr>
            </w:pPr>
            <w:r w:rsidRPr="00F97A40">
              <w:t xml:space="preserve">Число стран, имеющих соответствующее законодательство и эффективные правоприменительные механизмы по борьбе с вождением в нетрезвом состоянии и/или под воздействием других психоактивных веществ 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>Число стран, имеющих национальные и в соответствующих случаях субнациональные системы данных о вождении в нетрезвом состоянии и/или под воздействием психоактивных веществ и связанных с этим случаях смерти и травмирования в результате дорожно-транспортных происшествий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>Число стран, вдвое сокративших число дорожно-транспортных происшествий и случаев смерти, связанных с вождением в нетрезвом состоянии и/или под воздействием других психоактивных веществ</w:t>
            </w:r>
          </w:p>
        </w:tc>
      </w:tr>
      <w:tr w:rsidR="007E7905" w:rsidRPr="00F97A40" w:rsidTr="00BF198C">
        <w:trPr>
          <w:cantSplit/>
          <w:trHeight w:val="1520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7E7905" w:rsidRPr="00F97A40" w:rsidRDefault="007E7905" w:rsidP="00EF2B83">
            <w:pPr>
              <w:spacing w:before="40" w:after="120" w:line="220" w:lineRule="exact"/>
              <w:ind w:right="113"/>
              <w:rPr>
                <w:rFonts w:eastAsia="SimSun"/>
                <w:b/>
                <w:szCs w:val="18"/>
              </w:rPr>
            </w:pPr>
            <w:r w:rsidRPr="00F97A40">
              <w:rPr>
                <w:b/>
                <w:bCs/>
              </w:rPr>
              <w:t>Целевой показатель 10</w:t>
            </w:r>
            <w:r w:rsidRPr="00F97A40">
              <w:t>: к</w:t>
            </w:r>
            <w:r w:rsidR="00EF2B83">
              <w:t> </w:t>
            </w:r>
            <w:r w:rsidRPr="00F97A40">
              <w:t>2030 году все страны должны принять национальные законы, ограничивающие или запрещающие использование мобильных телефонов во время вождения.</w:t>
            </w:r>
          </w:p>
        </w:tc>
        <w:tc>
          <w:tcPr>
            <w:tcW w:w="7110" w:type="dxa"/>
            <w:tcBorders>
              <w:bottom w:val="nil"/>
            </w:tcBorders>
            <w:shd w:val="clear" w:color="auto" w:fill="auto"/>
          </w:tcPr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/>
                <w:bCs/>
                <w:szCs w:val="18"/>
              </w:rPr>
            </w:pPr>
            <w:r w:rsidRPr="00F97A40">
              <w:rPr>
                <w:b/>
                <w:bCs/>
              </w:rPr>
              <w:t>Индикаторы для целевого показателя 10: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 xml:space="preserve">Число стран, имеющих и эффективно применяющих законодательство об ограничении или запрещении использования мобильных телефонов во время вождения 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 xml:space="preserve">Число стран, имеющих национальные и в соответствующих случаях субнациональные системы данных об использовании мобильных телефонов во время вождения </w:t>
            </w:r>
          </w:p>
        </w:tc>
      </w:tr>
      <w:tr w:rsidR="007E7905" w:rsidRPr="00F97A40" w:rsidTr="00BF198C">
        <w:trPr>
          <w:cantSplit/>
          <w:trHeight w:val="1610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</w:tcPr>
          <w:p w:rsidR="007E7905" w:rsidRPr="00F97A40" w:rsidRDefault="007E7905" w:rsidP="00EF2B83">
            <w:pPr>
              <w:spacing w:before="40" w:after="120" w:line="220" w:lineRule="exact"/>
              <w:ind w:right="113"/>
              <w:rPr>
                <w:rFonts w:eastAsia="SimSun"/>
                <w:b/>
                <w:szCs w:val="18"/>
              </w:rPr>
            </w:pPr>
            <w:r w:rsidRPr="00F97A40">
              <w:rPr>
                <w:b/>
                <w:bCs/>
              </w:rPr>
              <w:t>Целевой показатель 11</w:t>
            </w:r>
            <w:r w:rsidRPr="00F97A40">
              <w:t>: к</w:t>
            </w:r>
            <w:r w:rsidR="00EF2B83">
              <w:t> </w:t>
            </w:r>
            <w:r w:rsidRPr="00F97A40">
              <w:t>2030 году все страны должны ввести в действие правила в отношении продолжительности работы и отдыха профессиональных водителей и/или присоединиться к международным/</w:t>
            </w:r>
            <w:r w:rsidR="00EF2B83">
              <w:br/>
            </w:r>
            <w:r w:rsidR="00BF198C">
              <w:t>региональным правилам в </w:t>
            </w:r>
            <w:r w:rsidRPr="00F97A40">
              <w:t>этой области.</w:t>
            </w:r>
          </w:p>
        </w:tc>
        <w:tc>
          <w:tcPr>
            <w:tcW w:w="7110" w:type="dxa"/>
            <w:tcBorders>
              <w:top w:val="nil"/>
              <w:bottom w:val="nil"/>
            </w:tcBorders>
            <w:shd w:val="clear" w:color="auto" w:fill="auto"/>
          </w:tcPr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/>
                <w:bCs/>
                <w:szCs w:val="18"/>
              </w:rPr>
            </w:pPr>
            <w:r w:rsidRPr="00F97A40">
              <w:rPr>
                <w:b/>
                <w:bCs/>
              </w:rPr>
              <w:t>Индикаторы для целевого показателя 11: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>Число стран, присоединившихся к международным/региональным правилам в отношении продолжительности работы и отдыха профессиональных водителей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 xml:space="preserve">Число стран, в которых имеются и эффективно применяются нормативные правила в отношении продолжительности работы и отдыха профессиональных водителей и проводятся соответствующие проверки </w:t>
            </w:r>
          </w:p>
        </w:tc>
      </w:tr>
      <w:tr w:rsidR="007E7905" w:rsidRPr="00F97A40" w:rsidTr="00BF198C">
        <w:trPr>
          <w:cantSplit/>
          <w:trHeight w:val="1709"/>
        </w:trPr>
        <w:tc>
          <w:tcPr>
            <w:tcW w:w="2610" w:type="dxa"/>
            <w:tcBorders>
              <w:top w:val="nil"/>
            </w:tcBorders>
            <w:shd w:val="clear" w:color="auto" w:fill="auto"/>
          </w:tcPr>
          <w:p w:rsidR="007E7905" w:rsidRPr="00F97A40" w:rsidRDefault="007E7905" w:rsidP="00EF2B83">
            <w:pPr>
              <w:spacing w:before="40" w:after="120" w:line="220" w:lineRule="exact"/>
              <w:ind w:right="113"/>
              <w:rPr>
                <w:rFonts w:eastAsia="SimSun"/>
                <w:b/>
                <w:szCs w:val="18"/>
              </w:rPr>
            </w:pPr>
            <w:r w:rsidRPr="00F97A40">
              <w:rPr>
                <w:b/>
                <w:bCs/>
              </w:rPr>
              <w:lastRenderedPageBreak/>
              <w:t>Целевой показатель 12</w:t>
            </w:r>
            <w:r w:rsidRPr="00F97A40">
              <w:t>: к</w:t>
            </w:r>
            <w:r w:rsidR="00EF2B83">
              <w:t> </w:t>
            </w:r>
            <w:r w:rsidRPr="00F97A40">
              <w:t>2030 году все страны должны установить и достичь национальные целевые показатели, с тем чтобы свести к минимуму временной интервал между дорожно-транспортным происшествием и оказанием первой профессиональной неотложной помощи.</w:t>
            </w:r>
          </w:p>
        </w:tc>
        <w:tc>
          <w:tcPr>
            <w:tcW w:w="7110" w:type="dxa"/>
            <w:tcBorders>
              <w:top w:val="nil"/>
            </w:tcBorders>
            <w:shd w:val="clear" w:color="auto" w:fill="auto"/>
          </w:tcPr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/>
                <w:bCs/>
                <w:szCs w:val="18"/>
              </w:rPr>
            </w:pPr>
            <w:r w:rsidRPr="00F97A40">
              <w:rPr>
                <w:b/>
                <w:bCs/>
              </w:rPr>
              <w:t>Индикаторы для целевого показателя 12: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 xml:space="preserve">Число стран, достигших национальных целевых показателей в отношении временного интервала между дорожно-транспортным происшествием, приведшим к серьезным травмам, и оказанием первой профессиональной неотложной помощи </w:t>
            </w:r>
          </w:p>
          <w:p w:rsidR="007E7905" w:rsidRPr="00F97A40" w:rsidRDefault="007E7905" w:rsidP="00F97A40">
            <w:pPr>
              <w:spacing w:before="40" w:after="120" w:line="220" w:lineRule="exact"/>
              <w:ind w:right="113"/>
              <w:rPr>
                <w:rFonts w:eastAsia="SimSun"/>
                <w:bCs/>
                <w:szCs w:val="18"/>
              </w:rPr>
            </w:pPr>
            <w:r w:rsidRPr="00F97A40">
              <w:t>Число стран, назначивших учреждения для эффективной координации деятельности служб экстренной медицинск</w:t>
            </w:r>
            <w:r w:rsidR="00BF198C">
              <w:t>ой помощи до госпитализации и в </w:t>
            </w:r>
            <w:r w:rsidRPr="00F97A40">
              <w:t>медицинских учреждениях</w:t>
            </w:r>
          </w:p>
        </w:tc>
      </w:tr>
    </w:tbl>
    <w:p w:rsidR="00E12C5F" w:rsidRPr="00C7715F" w:rsidRDefault="00C7715F" w:rsidP="00C7715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C7715F" w:rsidSect="007E790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FF" w:rsidRPr="00A312BC" w:rsidRDefault="002719FF" w:rsidP="00A312BC"/>
  </w:endnote>
  <w:endnote w:type="continuationSeparator" w:id="0">
    <w:p w:rsidR="002719FF" w:rsidRPr="00A312BC" w:rsidRDefault="002719F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05" w:rsidRPr="007E7905" w:rsidRDefault="007E7905">
    <w:pPr>
      <w:pStyle w:val="a8"/>
    </w:pPr>
    <w:r w:rsidRPr="007E7905">
      <w:rPr>
        <w:b/>
        <w:sz w:val="18"/>
      </w:rPr>
      <w:fldChar w:fldCharType="begin"/>
    </w:r>
    <w:r w:rsidRPr="007E7905">
      <w:rPr>
        <w:b/>
        <w:sz w:val="18"/>
      </w:rPr>
      <w:instrText xml:space="preserve"> PAGE  \* MERGEFORMAT </w:instrText>
    </w:r>
    <w:r w:rsidRPr="007E7905">
      <w:rPr>
        <w:b/>
        <w:sz w:val="18"/>
      </w:rPr>
      <w:fldChar w:fldCharType="separate"/>
    </w:r>
    <w:r w:rsidR="001B36FA">
      <w:rPr>
        <w:b/>
        <w:noProof/>
        <w:sz w:val="18"/>
      </w:rPr>
      <w:t>10</w:t>
    </w:r>
    <w:r w:rsidRPr="007E7905">
      <w:rPr>
        <w:b/>
        <w:sz w:val="18"/>
      </w:rPr>
      <w:fldChar w:fldCharType="end"/>
    </w:r>
    <w:r>
      <w:rPr>
        <w:b/>
        <w:sz w:val="18"/>
      </w:rPr>
      <w:tab/>
    </w:r>
    <w:r>
      <w:t>GE.18-20545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05" w:rsidRPr="007E7905" w:rsidRDefault="007E7905" w:rsidP="007E7905">
    <w:pPr>
      <w:pStyle w:val="a8"/>
      <w:tabs>
        <w:tab w:val="clear" w:pos="9639"/>
        <w:tab w:val="right" w:pos="9638"/>
      </w:tabs>
      <w:rPr>
        <w:b/>
        <w:sz w:val="18"/>
      </w:rPr>
    </w:pPr>
    <w:r>
      <w:t>GE.18-20545</w:t>
    </w:r>
    <w:r>
      <w:tab/>
    </w:r>
    <w:r w:rsidRPr="007E7905">
      <w:rPr>
        <w:b/>
        <w:sz w:val="18"/>
      </w:rPr>
      <w:fldChar w:fldCharType="begin"/>
    </w:r>
    <w:r w:rsidRPr="007E7905">
      <w:rPr>
        <w:b/>
        <w:sz w:val="18"/>
      </w:rPr>
      <w:instrText xml:space="preserve"> PAGE  \* MERGEFORMAT </w:instrText>
    </w:r>
    <w:r w:rsidRPr="007E7905">
      <w:rPr>
        <w:b/>
        <w:sz w:val="18"/>
      </w:rPr>
      <w:fldChar w:fldCharType="separate"/>
    </w:r>
    <w:r w:rsidR="001B36FA">
      <w:rPr>
        <w:b/>
        <w:noProof/>
        <w:sz w:val="18"/>
      </w:rPr>
      <w:t>9</w:t>
    </w:r>
    <w:r w:rsidRPr="007E79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E7905" w:rsidRDefault="007E7905" w:rsidP="007E790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18-20545  (R)</w:t>
    </w:r>
    <w:r>
      <w:rPr>
        <w:lang w:val="en-US"/>
      </w:rPr>
      <w:t xml:space="preserve">  281218  281218</w:t>
    </w:r>
    <w:r>
      <w:br/>
    </w:r>
    <w:r w:rsidRPr="007E7905">
      <w:rPr>
        <w:rFonts w:ascii="C39T30Lfz" w:hAnsi="C39T30Lfz"/>
        <w:kern w:val="14"/>
        <w:sz w:val="56"/>
      </w:rPr>
      <w:t></w:t>
    </w:r>
    <w:r w:rsidRPr="007E7905">
      <w:rPr>
        <w:rFonts w:ascii="C39T30Lfz" w:hAnsi="C39T30Lfz"/>
        <w:kern w:val="14"/>
        <w:sz w:val="56"/>
      </w:rPr>
      <w:t></w:t>
    </w:r>
    <w:r w:rsidRPr="007E7905">
      <w:rPr>
        <w:rFonts w:ascii="C39T30Lfz" w:hAnsi="C39T30Lfz"/>
        <w:kern w:val="14"/>
        <w:sz w:val="56"/>
      </w:rPr>
      <w:t></w:t>
    </w:r>
    <w:r w:rsidRPr="007E7905">
      <w:rPr>
        <w:rFonts w:ascii="C39T30Lfz" w:hAnsi="C39T30Lfz"/>
        <w:kern w:val="14"/>
        <w:sz w:val="56"/>
      </w:rPr>
      <w:t></w:t>
    </w:r>
    <w:r w:rsidRPr="007E7905">
      <w:rPr>
        <w:rFonts w:ascii="C39T30Lfz" w:hAnsi="C39T30Lfz"/>
        <w:kern w:val="14"/>
        <w:sz w:val="56"/>
      </w:rPr>
      <w:t></w:t>
    </w:r>
    <w:r w:rsidRPr="007E7905">
      <w:rPr>
        <w:rFonts w:ascii="C39T30Lfz" w:hAnsi="C39T30Lfz"/>
        <w:kern w:val="14"/>
        <w:sz w:val="56"/>
      </w:rPr>
      <w:t></w:t>
    </w:r>
    <w:r w:rsidRPr="007E7905">
      <w:rPr>
        <w:rFonts w:ascii="C39T30Lfz" w:hAnsi="C39T30Lfz"/>
        <w:kern w:val="14"/>
        <w:sz w:val="56"/>
      </w:rPr>
      <w:t></w:t>
    </w:r>
    <w:r w:rsidRPr="007E7905">
      <w:rPr>
        <w:rFonts w:ascii="C39T30Lfz" w:hAnsi="C39T30Lfz"/>
        <w:kern w:val="14"/>
        <w:sz w:val="56"/>
      </w:rPr>
      <w:t></w:t>
    </w:r>
    <w:r w:rsidRPr="007E790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9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9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FF" w:rsidRPr="001075E9" w:rsidRDefault="002719F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719FF" w:rsidRDefault="002719F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E7905" w:rsidRPr="00F97A40" w:rsidRDefault="007E7905" w:rsidP="007E7905">
      <w:pPr>
        <w:pStyle w:val="ad"/>
        <w:widowControl w:val="0"/>
      </w:pPr>
      <w:r>
        <w:tab/>
      </w:r>
      <w:r>
        <w:rPr>
          <w:rStyle w:val="aa"/>
        </w:rPr>
        <w:footnoteRef/>
      </w:r>
      <w:r>
        <w:tab/>
        <w:t>Утверждены на совещании государств-членов для доработки добровольных глобальных целевых показателей в отношении факторов риска с точки зрения безопасности дорожного движения и механизмов оказания услуг (Женева</w:t>
      </w:r>
      <w:r w:rsidR="00D1740D">
        <w:t>,</w:t>
      </w:r>
      <w:r>
        <w:t xml:space="preserve"> 20 и 21 ноября 2017 года). См. приложение к докладу о работе со</w:t>
      </w:r>
      <w:r w:rsidR="00F97A40">
        <w:t>вещания, размещенному по адресу</w:t>
      </w:r>
      <w:r>
        <w:t xml:space="preserve"> </w:t>
      </w:r>
      <w:hyperlink r:id="rId1" w:history="1">
        <w:r w:rsidR="00F97A40" w:rsidRPr="00F97A40">
          <w:rPr>
            <w:rStyle w:val="af1"/>
            <w:color w:val="auto"/>
          </w:rPr>
          <w:t>www.who.int/violence_injury_prevention/</w:t>
        </w:r>
        <w:r w:rsidR="00F97A40" w:rsidRPr="00F97A40">
          <w:rPr>
            <w:rStyle w:val="af1"/>
            <w:color w:val="auto"/>
          </w:rPr>
          <w:br/>
          <w:t>road_traffic/Report-of-the-meeting-of-member-states-Annex.pdf?ua=1</w:t>
        </w:r>
      </w:hyperlink>
      <w:r w:rsidR="00F97A40">
        <w:t>.</w:t>
      </w:r>
    </w:p>
  </w:footnote>
  <w:footnote w:id="2">
    <w:p w:rsidR="007E7905" w:rsidRPr="00677462" w:rsidRDefault="007E7905" w:rsidP="007E7905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Приведенные здесь показатели официально не приняты. Документ приводится в том виде, в каком он был представлен на экране в пятницу, 23 февраля 2018 года, в 14 ч 30 мин в ходе неофициальных консультаций государств-членов, созванных ВОЗ (для рассылки).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05" w:rsidRPr="007E7905" w:rsidRDefault="00F10C5A">
    <w:pPr>
      <w:pStyle w:val="a5"/>
    </w:pPr>
    <w:fldSimple w:instr=" TITLE  \* MERGEFORMAT ">
      <w:r w:rsidR="001B36FA">
        <w:t>ECE/TRANS/2019/6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05" w:rsidRPr="007E7905" w:rsidRDefault="00F10C5A" w:rsidP="007E7905">
    <w:pPr>
      <w:pStyle w:val="a5"/>
      <w:jc w:val="right"/>
    </w:pPr>
    <w:fldSimple w:instr=" TITLE  \* MERGEFORMAT ">
      <w:r w:rsidR="001B36FA">
        <w:t>ECE/TRANS/2019/6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E4754"/>
    <w:multiLevelType w:val="hybridMultilevel"/>
    <w:tmpl w:val="6568A17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D1634"/>
    <w:multiLevelType w:val="hybridMultilevel"/>
    <w:tmpl w:val="DF101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D255C"/>
    <w:multiLevelType w:val="hybridMultilevel"/>
    <w:tmpl w:val="D262A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21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4"/>
  </w:num>
  <w:num w:numId="18">
    <w:abstractNumId w:val="17"/>
  </w:num>
  <w:num w:numId="19">
    <w:abstractNumId w:val="19"/>
  </w:num>
  <w:num w:numId="20">
    <w:abstractNumId w:val="14"/>
  </w:num>
  <w:num w:numId="21">
    <w:abstractNumId w:val="17"/>
  </w:num>
  <w:num w:numId="22">
    <w:abstractNumId w:val="18"/>
    <w:lvlOverride w:ilvl="0">
      <w:lvl w:ilvl="0" w:tplc="8C4849AC">
        <w:start w:val="1"/>
        <w:numFmt w:val="bullet"/>
        <w:pStyle w:val="Bullet1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3">
    <w:abstractNumId w:val="10"/>
    <w:lvlOverride w:ilvl="0">
      <w:lvl w:ilvl="0" w:tplc="04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 w:numId="24">
    <w:abstractNumId w:val="13"/>
    <w:lvlOverride w:ilvl="0">
      <w:lvl w:ilvl="0" w:tplc="08090001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>
    <w:abstractNumId w:val="15"/>
    <w:lvlOverride w:ilvl="0">
      <w:lvl w:ilvl="0" w:tplc="04090001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18"/>
    <w:lvlOverride w:ilvl="0">
      <w:lvl w:ilvl="0" w:tplc="8C4849AC">
        <w:start w:val="1"/>
        <w:numFmt w:val="bullet"/>
        <w:pStyle w:val="Bullet1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7">
    <w:abstractNumId w:val="18"/>
    <w:lvlOverride w:ilvl="0">
      <w:lvl w:ilvl="0" w:tplc="8C4849AC">
        <w:start w:val="1"/>
        <w:numFmt w:val="bullet"/>
        <w:pStyle w:val="Bullet1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8">
    <w:abstractNumId w:val="18"/>
    <w:lvlOverride w:ilvl="0">
      <w:lvl w:ilvl="0" w:tplc="8C4849AC">
        <w:start w:val="1"/>
        <w:numFmt w:val="bullet"/>
        <w:pStyle w:val="Bullet1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9">
    <w:abstractNumId w:val="18"/>
    <w:lvlOverride w:ilvl="0">
      <w:lvl w:ilvl="0" w:tplc="8C4849AC">
        <w:start w:val="1"/>
        <w:numFmt w:val="bullet"/>
        <w:pStyle w:val="Bullet1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30">
    <w:abstractNumId w:val="18"/>
    <w:lvlOverride w:ilvl="0">
      <w:lvl w:ilvl="0" w:tplc="8C4849AC">
        <w:start w:val="1"/>
        <w:numFmt w:val="bullet"/>
        <w:pStyle w:val="Bullet1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31">
    <w:abstractNumId w:val="18"/>
    <w:lvlOverride w:ilvl="0">
      <w:lvl w:ilvl="0" w:tplc="8C4849AC">
        <w:start w:val="1"/>
        <w:numFmt w:val="bullet"/>
        <w:pStyle w:val="Bullet1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F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6FA"/>
    <w:rsid w:val="001B3EF6"/>
    <w:rsid w:val="001C7A89"/>
    <w:rsid w:val="001D6E9A"/>
    <w:rsid w:val="00255343"/>
    <w:rsid w:val="0027151D"/>
    <w:rsid w:val="002719FF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682E"/>
    <w:rsid w:val="00472C5C"/>
    <w:rsid w:val="004836B0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7905"/>
    <w:rsid w:val="00806737"/>
    <w:rsid w:val="00825F8D"/>
    <w:rsid w:val="00834B71"/>
    <w:rsid w:val="0086445C"/>
    <w:rsid w:val="00865BE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445B"/>
    <w:rsid w:val="00B10CC7"/>
    <w:rsid w:val="00B36DF7"/>
    <w:rsid w:val="00B539E7"/>
    <w:rsid w:val="00B62458"/>
    <w:rsid w:val="00BC18B2"/>
    <w:rsid w:val="00BD33EE"/>
    <w:rsid w:val="00BE1CC7"/>
    <w:rsid w:val="00BF198C"/>
    <w:rsid w:val="00C106D6"/>
    <w:rsid w:val="00C119AE"/>
    <w:rsid w:val="00C229FA"/>
    <w:rsid w:val="00C60F0C"/>
    <w:rsid w:val="00C7715F"/>
    <w:rsid w:val="00C805C9"/>
    <w:rsid w:val="00C92939"/>
    <w:rsid w:val="00CA1679"/>
    <w:rsid w:val="00CB151C"/>
    <w:rsid w:val="00CE5A1A"/>
    <w:rsid w:val="00CF55F6"/>
    <w:rsid w:val="00D1740D"/>
    <w:rsid w:val="00D33D63"/>
    <w:rsid w:val="00D47BB2"/>
    <w:rsid w:val="00D5253A"/>
    <w:rsid w:val="00D873A8"/>
    <w:rsid w:val="00D90028"/>
    <w:rsid w:val="00D90138"/>
    <w:rsid w:val="00DC7D40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2B83"/>
    <w:rsid w:val="00EF3220"/>
    <w:rsid w:val="00F10C5A"/>
    <w:rsid w:val="00F2523A"/>
    <w:rsid w:val="00F43903"/>
    <w:rsid w:val="00F710B7"/>
    <w:rsid w:val="00F94155"/>
    <w:rsid w:val="00F9783F"/>
    <w:rsid w:val="00F97A4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A04A09"/>
  <w15:docId w15:val="{5C88DAD2-AB2A-4098-ADBD-1E6648EC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R,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R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17A43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a"/>
    <w:link w:val="SingleTxtGChar"/>
    <w:rsid w:val="007E7905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a"/>
    <w:next w:val="a"/>
    <w:link w:val="HChGChar"/>
    <w:rsid w:val="007E790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Bullet1G">
    <w:name w:val="_Bullet 1_G"/>
    <w:basedOn w:val="a"/>
    <w:rsid w:val="007E7905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a"/>
    <w:next w:val="a"/>
    <w:rsid w:val="007E790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rsid w:val="007E7905"/>
    <w:rPr>
      <w:lang w:val="en-GB" w:eastAsia="en-US"/>
    </w:rPr>
  </w:style>
  <w:style w:type="character" w:customStyle="1" w:styleId="HChGChar">
    <w:name w:val="_ H _Ch_G Char"/>
    <w:link w:val="HChG"/>
    <w:rsid w:val="007E7905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.int/violence_injury_prevention/road_traffic/Report-of-the-meeting-of-member-states-Annex.pdf?ua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10</Pages>
  <Words>2798</Words>
  <Characters>20345</Characters>
  <Application>Microsoft Office Word</Application>
  <DocSecurity>0</DocSecurity>
  <Lines>489</Lines>
  <Paragraphs>146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ECE/TRANS/2019/6</vt:lpstr>
      <vt:lpstr>A/</vt:lpstr>
      <vt:lpstr>A/</vt:lpstr>
    </vt:vector>
  </TitlesOfParts>
  <Company>DCM</Company>
  <LinksUpToDate>false</LinksUpToDate>
  <CharactersWithSpaces>23071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ECE/TRANS/2019/6</dc:title>
  <dc:subject/>
  <dc:creator>Tatiana SHARKINA</dc:creator>
  <cp:keywords/>
  <cp:lastModifiedBy>Ioulia Goussarova</cp:lastModifiedBy>
  <cp:revision>3</cp:revision>
  <cp:lastPrinted>2018-12-28T14:53:00Z</cp:lastPrinted>
  <dcterms:created xsi:type="dcterms:W3CDTF">2018-12-28T14:53:00Z</dcterms:created>
  <dcterms:modified xsi:type="dcterms:W3CDTF">2018-12-28T14:53:00Z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