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0223D"/>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0223D" w:rsidP="0030223D">
            <w:pPr>
              <w:jc w:val="right"/>
            </w:pPr>
            <w:r w:rsidRPr="0030223D">
              <w:rPr>
                <w:sz w:val="40"/>
              </w:rPr>
              <w:t>ECE</w:t>
            </w:r>
            <w:r>
              <w:t>/TRANS/2019/1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0223D" w:rsidP="00C97039">
            <w:pPr>
              <w:spacing w:before="240"/>
            </w:pPr>
            <w:proofErr w:type="spellStart"/>
            <w:r>
              <w:t>Distr</w:t>
            </w:r>
            <w:proofErr w:type="spellEnd"/>
            <w:r>
              <w:t>. générale</w:t>
            </w:r>
          </w:p>
          <w:p w:rsidR="0030223D" w:rsidRDefault="0030223D" w:rsidP="0030223D">
            <w:pPr>
              <w:spacing w:line="240" w:lineRule="exact"/>
            </w:pPr>
            <w:r>
              <w:t>10 décembre 2018</w:t>
            </w:r>
          </w:p>
          <w:p w:rsidR="0030223D" w:rsidRDefault="0030223D" w:rsidP="0030223D">
            <w:pPr>
              <w:spacing w:line="240" w:lineRule="exact"/>
            </w:pPr>
            <w:r>
              <w:t>Français</w:t>
            </w:r>
          </w:p>
          <w:p w:rsidR="0030223D" w:rsidRPr="00DB58B5" w:rsidRDefault="0030223D" w:rsidP="0030223D">
            <w:pPr>
              <w:spacing w:line="240" w:lineRule="exact"/>
            </w:pPr>
            <w:r>
              <w:t>Original</w:t>
            </w:r>
            <w:r w:rsidR="00AF5EC3">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B4B5D" w:rsidRPr="00B67FD6" w:rsidRDefault="00AB4B5D" w:rsidP="00AB4B5D">
      <w:pPr>
        <w:kinsoku/>
        <w:overflowPunct/>
        <w:autoSpaceDE/>
        <w:autoSpaceDN/>
        <w:adjustRightInd/>
        <w:snapToGrid/>
        <w:spacing w:before="120"/>
        <w:rPr>
          <w:rFonts w:eastAsia="Times New Roman"/>
          <w:b/>
          <w:bCs/>
          <w:szCs w:val="24"/>
          <w:lang w:val="fr-FR"/>
        </w:rPr>
      </w:pPr>
      <w:r w:rsidRPr="00B67FD6">
        <w:rPr>
          <w:rFonts w:eastAsia="Times New Roman"/>
          <w:b/>
          <w:bCs/>
          <w:szCs w:val="24"/>
          <w:lang w:val="fr-FR"/>
        </w:rPr>
        <w:t>Quatre-vingt-unième session</w:t>
      </w:r>
    </w:p>
    <w:p w:rsidR="00AB4B5D" w:rsidRPr="00B67FD6" w:rsidRDefault="00AB4B5D" w:rsidP="00AB4B5D">
      <w:pPr>
        <w:kinsoku/>
        <w:overflowPunct/>
        <w:autoSpaceDE/>
        <w:autoSpaceDN/>
        <w:adjustRightInd/>
        <w:snapToGrid/>
        <w:rPr>
          <w:rFonts w:eastAsia="Times New Roman"/>
          <w:b/>
          <w:bCs/>
          <w:szCs w:val="24"/>
          <w:lang w:val="fr-FR"/>
        </w:rPr>
      </w:pPr>
      <w:r w:rsidRPr="00B67FD6">
        <w:rPr>
          <w:rFonts w:eastAsia="Times New Roman"/>
          <w:szCs w:val="24"/>
          <w:lang w:val="fr-FR"/>
        </w:rPr>
        <w:t>Genève, 19-22 février 2019</w:t>
      </w:r>
      <w:r w:rsidRPr="00B67FD6">
        <w:rPr>
          <w:rFonts w:eastAsia="Times New Roman"/>
          <w:szCs w:val="24"/>
          <w:lang w:val="fr-FR"/>
        </w:rPr>
        <w:br/>
        <w:t>Point 2 de l</w:t>
      </w:r>
      <w:r>
        <w:rPr>
          <w:rFonts w:eastAsia="Times New Roman"/>
          <w:szCs w:val="24"/>
          <w:lang w:val="fr-FR"/>
        </w:rPr>
        <w:t>’</w:t>
      </w:r>
      <w:r w:rsidRPr="00B67FD6">
        <w:rPr>
          <w:rFonts w:eastAsia="Times New Roman"/>
          <w:szCs w:val="24"/>
          <w:lang w:val="fr-FR"/>
        </w:rPr>
        <w:t>ordre du jour provisoire</w:t>
      </w:r>
      <w:r w:rsidRPr="00B67FD6">
        <w:rPr>
          <w:rFonts w:eastAsia="Times New Roman"/>
          <w:szCs w:val="24"/>
          <w:lang w:val="fr-FR"/>
        </w:rPr>
        <w:br/>
      </w:r>
      <w:r w:rsidRPr="00B67FD6">
        <w:rPr>
          <w:rFonts w:eastAsia="Times New Roman"/>
          <w:b/>
          <w:bCs/>
          <w:szCs w:val="24"/>
          <w:lang w:val="fr-FR"/>
        </w:rPr>
        <w:t>L</w:t>
      </w:r>
      <w:r>
        <w:rPr>
          <w:rFonts w:eastAsia="Times New Roman"/>
          <w:b/>
          <w:bCs/>
          <w:szCs w:val="24"/>
          <w:lang w:val="fr-FR"/>
        </w:rPr>
        <w:t>’</w:t>
      </w:r>
      <w:r w:rsidRPr="00B67FD6">
        <w:rPr>
          <w:rFonts w:eastAsia="Times New Roman"/>
          <w:b/>
          <w:bCs/>
          <w:szCs w:val="24"/>
          <w:lang w:val="fr-FR"/>
        </w:rPr>
        <w:t xml:space="preserve">automatisation dans les transports </w:t>
      </w:r>
    </w:p>
    <w:p w:rsidR="00AB4B5D" w:rsidRPr="00B67FD6" w:rsidRDefault="00AB4B5D" w:rsidP="0017773A">
      <w:pPr>
        <w:pStyle w:val="HChG"/>
        <w:rPr>
          <w:lang w:val="fr-FR"/>
        </w:rPr>
      </w:pPr>
      <w:r w:rsidRPr="00B67FD6">
        <w:rPr>
          <w:lang w:val="fr-FR"/>
        </w:rPr>
        <w:tab/>
      </w:r>
      <w:r w:rsidRPr="00B67FD6">
        <w:rPr>
          <w:lang w:val="fr-FR"/>
        </w:rPr>
        <w:tab/>
        <w:t xml:space="preserve">Projet de document de réflexion pour le débat </w:t>
      </w:r>
      <w:r w:rsidR="00E05D09">
        <w:rPr>
          <w:lang w:val="fr-FR"/>
        </w:rPr>
        <w:br/>
      </w:r>
      <w:r w:rsidRPr="00B67FD6">
        <w:rPr>
          <w:lang w:val="fr-FR"/>
        </w:rPr>
        <w:t xml:space="preserve">de politique générale de haut niveau </w:t>
      </w:r>
      <w:r w:rsidR="0049094C">
        <w:rPr>
          <w:lang w:val="fr-FR"/>
        </w:rPr>
        <w:br/>
      </w:r>
      <w:r w:rsidRPr="00B67FD6">
        <w:rPr>
          <w:lang w:val="fr-FR"/>
        </w:rPr>
        <w:t>sur l</w:t>
      </w:r>
      <w:r>
        <w:rPr>
          <w:lang w:val="fr-FR"/>
        </w:rPr>
        <w:t>’</w:t>
      </w:r>
      <w:r w:rsidRPr="00B67FD6">
        <w:rPr>
          <w:lang w:val="fr-FR"/>
        </w:rPr>
        <w:t xml:space="preserve">automatisation dans les transports </w:t>
      </w:r>
      <w:r w:rsidR="0049094C">
        <w:rPr>
          <w:lang w:val="fr-FR"/>
        </w:rPr>
        <w:br/>
      </w:r>
      <w:r w:rsidRPr="00B67FD6">
        <w:rPr>
          <w:lang w:val="fr-FR"/>
        </w:rPr>
        <w:t xml:space="preserve">et les manifestations parallèles </w:t>
      </w:r>
      <w:r w:rsidR="0039534C">
        <w:rPr>
          <w:lang w:val="fr-FR"/>
        </w:rPr>
        <w:br/>
      </w:r>
      <w:r w:rsidRPr="00B67FD6">
        <w:rPr>
          <w:lang w:val="fr-FR"/>
        </w:rPr>
        <w:t xml:space="preserve">connexes de haut niveau </w:t>
      </w:r>
    </w:p>
    <w:p w:rsidR="00AB4B5D" w:rsidRDefault="00AB4B5D" w:rsidP="0039534C">
      <w:pPr>
        <w:pStyle w:val="H1G"/>
        <w:rPr>
          <w:lang w:val="fr-FR"/>
        </w:rPr>
      </w:pPr>
      <w:r w:rsidRPr="00B67FD6">
        <w:rPr>
          <w:lang w:val="fr-FR"/>
        </w:rPr>
        <w:tab/>
      </w:r>
      <w:r w:rsidRPr="00B67FD6">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39534C">
        <w:trPr>
          <w:jc w:val="center"/>
        </w:trPr>
        <w:tc>
          <w:tcPr>
            <w:tcW w:w="9637" w:type="dxa"/>
            <w:shd w:val="clear" w:color="auto" w:fill="auto"/>
          </w:tcPr>
          <w:p w:rsidR="0039534C" w:rsidRDefault="0039534C">
            <w:pPr>
              <w:spacing w:before="240" w:after="120"/>
              <w:ind w:left="255"/>
              <w:rPr>
                <w:i/>
                <w:sz w:val="24"/>
              </w:rPr>
            </w:pPr>
            <w:r>
              <w:rPr>
                <w:i/>
                <w:sz w:val="24"/>
              </w:rPr>
              <w:t>Résumé</w:t>
            </w:r>
          </w:p>
        </w:tc>
      </w:tr>
      <w:tr w:rsidR="0039534C">
        <w:trPr>
          <w:jc w:val="center"/>
        </w:trPr>
        <w:tc>
          <w:tcPr>
            <w:tcW w:w="9637" w:type="dxa"/>
            <w:shd w:val="clear" w:color="auto" w:fill="auto"/>
          </w:tcPr>
          <w:p w:rsidR="0039534C" w:rsidRDefault="0039534C" w:rsidP="0039534C">
            <w:pPr>
              <w:pStyle w:val="SingleTxtG"/>
              <w:ind w:firstLine="567"/>
            </w:pPr>
            <w:r w:rsidRPr="00B67FD6">
              <w:rPr>
                <w:rFonts w:eastAsia="Times New Roman"/>
                <w:szCs w:val="24"/>
                <w:lang w:val="fr-FR"/>
              </w:rPr>
              <w:t>Le présent document donne un aperçu du contexte, des perspectives, du déroulement prévu et des thèmes principaux du débat de politique générale de haut niveau sur l</w:t>
            </w:r>
            <w:r>
              <w:rPr>
                <w:rFonts w:eastAsia="Times New Roman"/>
                <w:szCs w:val="24"/>
                <w:lang w:val="fr-FR"/>
              </w:rPr>
              <w:t>’</w:t>
            </w:r>
            <w:r w:rsidRPr="00B67FD6">
              <w:rPr>
                <w:rFonts w:eastAsia="Times New Roman"/>
                <w:szCs w:val="24"/>
                <w:lang w:val="fr-FR"/>
              </w:rPr>
              <w:t>automatisation dans les transports qui se tiendra dans le cadre de la quatre-vingt-unième session annuelle du Comité des transports intérieurs. On y trouvera également des informations sur les activités, manifestations parallèles et réceptions prévues à cette occasion. Le point culminant de cette session sera l</w:t>
            </w:r>
            <w:r>
              <w:rPr>
                <w:rFonts w:eastAsia="Times New Roman"/>
                <w:szCs w:val="24"/>
                <w:lang w:val="fr-FR"/>
              </w:rPr>
              <w:t>’</w:t>
            </w:r>
            <w:r w:rsidRPr="00B67FD6">
              <w:rPr>
                <w:rFonts w:eastAsia="Times New Roman"/>
                <w:szCs w:val="24"/>
                <w:lang w:val="fr-FR"/>
              </w:rPr>
              <w:t>adoption de la stratégie du Comité à l</w:t>
            </w:r>
            <w:r>
              <w:rPr>
                <w:rFonts w:eastAsia="Times New Roman"/>
                <w:szCs w:val="24"/>
                <w:lang w:val="fr-FR"/>
              </w:rPr>
              <w:t>’</w:t>
            </w:r>
            <w:r w:rsidRPr="00B67FD6">
              <w:rPr>
                <w:rFonts w:eastAsia="Times New Roman"/>
                <w:szCs w:val="24"/>
                <w:lang w:val="fr-FR"/>
              </w:rPr>
              <w:t>horizon 2030, qui fera date, et de la résolution intitulée « Renforcer la coopération, l</w:t>
            </w:r>
            <w:r>
              <w:rPr>
                <w:rFonts w:eastAsia="Times New Roman"/>
                <w:szCs w:val="24"/>
                <w:lang w:val="fr-FR"/>
              </w:rPr>
              <w:t>’</w:t>
            </w:r>
            <w:r w:rsidRPr="00B67FD6">
              <w:rPr>
                <w:rFonts w:eastAsia="Times New Roman"/>
                <w:szCs w:val="24"/>
                <w:lang w:val="fr-FR"/>
              </w:rPr>
              <w:t>harmonisation et l</w:t>
            </w:r>
            <w:r>
              <w:rPr>
                <w:rFonts w:eastAsia="Times New Roman"/>
                <w:szCs w:val="24"/>
                <w:lang w:val="fr-FR"/>
              </w:rPr>
              <w:t>’</w:t>
            </w:r>
            <w:r w:rsidRPr="00B67FD6">
              <w:rPr>
                <w:rFonts w:eastAsia="Times New Roman"/>
                <w:szCs w:val="24"/>
                <w:lang w:val="fr-FR"/>
              </w:rPr>
              <w:t>intégration à l</w:t>
            </w:r>
            <w:r>
              <w:rPr>
                <w:rFonts w:eastAsia="Times New Roman"/>
                <w:szCs w:val="24"/>
                <w:lang w:val="fr-FR"/>
              </w:rPr>
              <w:t>’</w:t>
            </w:r>
            <w:r w:rsidRPr="00B67FD6">
              <w:rPr>
                <w:rFonts w:eastAsia="Times New Roman"/>
                <w:szCs w:val="24"/>
                <w:lang w:val="fr-FR"/>
              </w:rPr>
              <w:t>ère de l</w:t>
            </w:r>
            <w:r>
              <w:rPr>
                <w:rFonts w:eastAsia="Times New Roman"/>
                <w:szCs w:val="24"/>
                <w:lang w:val="fr-FR"/>
              </w:rPr>
              <w:t>’</w:t>
            </w:r>
            <w:r w:rsidRPr="00B67FD6">
              <w:rPr>
                <w:rFonts w:eastAsia="Times New Roman"/>
                <w:szCs w:val="24"/>
                <w:lang w:val="fr-FR"/>
              </w:rPr>
              <w:t>automatisation dans les transports ».</w:t>
            </w:r>
          </w:p>
        </w:tc>
      </w:tr>
      <w:tr w:rsidR="0039534C">
        <w:trPr>
          <w:jc w:val="center"/>
        </w:trPr>
        <w:tc>
          <w:tcPr>
            <w:tcW w:w="9637" w:type="dxa"/>
            <w:shd w:val="clear" w:color="auto" w:fill="auto"/>
          </w:tcPr>
          <w:p w:rsidR="0039534C" w:rsidRDefault="0039534C"/>
        </w:tc>
      </w:tr>
    </w:tbl>
    <w:p w:rsidR="00AB4B5D" w:rsidRPr="00B67FD6" w:rsidRDefault="0039534C" w:rsidP="0039534C">
      <w:pPr>
        <w:pStyle w:val="HChG"/>
        <w:rPr>
          <w:lang w:val="fr-FR"/>
        </w:rPr>
      </w:pPr>
      <w:r>
        <w:rPr>
          <w:lang w:val="fr-FR"/>
        </w:rPr>
        <w:br w:type="page"/>
      </w:r>
      <w:r w:rsidR="00AB4B5D" w:rsidRPr="00B67FD6">
        <w:rPr>
          <w:lang w:val="fr-FR"/>
        </w:rPr>
        <w:lastRenderedPageBreak/>
        <w:tab/>
        <w:t>I.</w:t>
      </w:r>
      <w:r w:rsidR="00AB4B5D" w:rsidRPr="00B67FD6">
        <w:rPr>
          <w:lang w:val="fr-FR"/>
        </w:rPr>
        <w:tab/>
        <w:t xml:space="preserve">Quatre-vingt-unième session annuelle du Comité </w:t>
      </w:r>
      <w:r>
        <w:rPr>
          <w:lang w:val="fr-FR"/>
        </w:rPr>
        <w:br/>
      </w:r>
      <w:r w:rsidR="00AB4B5D" w:rsidRPr="00B67FD6">
        <w:rPr>
          <w:lang w:val="fr-FR"/>
        </w:rPr>
        <w:t>des transports intérieurs</w:t>
      </w:r>
      <w:r w:rsidR="00AF5EC3">
        <w:rPr>
          <w:lang w:val="fr-FR"/>
        </w:rPr>
        <w:t> :</w:t>
      </w:r>
      <w:r w:rsidR="00AB4B5D" w:rsidRPr="00B67FD6">
        <w:rPr>
          <w:lang w:val="fr-FR"/>
        </w:rPr>
        <w:t xml:space="preserve"> un tournant </w:t>
      </w:r>
      <w:r>
        <w:rPr>
          <w:lang w:val="fr-FR"/>
        </w:rPr>
        <w:br/>
      </w:r>
      <w:r w:rsidR="00AB4B5D" w:rsidRPr="00B67FD6">
        <w:rPr>
          <w:lang w:val="fr-FR"/>
        </w:rPr>
        <w:t>dans l</w:t>
      </w:r>
      <w:r w:rsidR="00AB4B5D">
        <w:rPr>
          <w:lang w:val="fr-FR"/>
        </w:rPr>
        <w:t>’</w:t>
      </w:r>
      <w:r w:rsidR="00AB4B5D" w:rsidRPr="00B67FD6">
        <w:rPr>
          <w:lang w:val="fr-FR"/>
        </w:rPr>
        <w:t xml:space="preserve">histoire du Comité </w:t>
      </w:r>
    </w:p>
    <w:p w:rsidR="00AB4B5D" w:rsidRPr="00B67FD6" w:rsidRDefault="00AB4B5D" w:rsidP="0000657B">
      <w:pPr>
        <w:pStyle w:val="H1G"/>
        <w:rPr>
          <w:lang w:val="fr-FR"/>
        </w:rPr>
      </w:pPr>
      <w:r w:rsidRPr="00B67FD6">
        <w:rPr>
          <w:lang w:val="fr-FR"/>
        </w:rPr>
        <w:tab/>
      </w:r>
      <w:r w:rsidRPr="00B67FD6">
        <w:rPr>
          <w:lang w:val="fr-FR"/>
        </w:rPr>
        <w:tab/>
        <w:t xml:space="preserve">Contexte, perspectives générales et niveau de représentation attendu </w:t>
      </w:r>
    </w:p>
    <w:p w:rsidR="00AB4B5D" w:rsidRPr="00B67FD6" w:rsidRDefault="00AB4B5D" w:rsidP="0000657B">
      <w:pPr>
        <w:pStyle w:val="SingleTxtG"/>
        <w:rPr>
          <w:lang w:val="fr-FR"/>
        </w:rPr>
      </w:pPr>
      <w:r w:rsidRPr="00B67FD6">
        <w:rPr>
          <w:lang w:val="fr-FR"/>
        </w:rPr>
        <w:t>1.</w:t>
      </w:r>
      <w:r w:rsidRPr="00B67FD6">
        <w:rPr>
          <w:lang w:val="fr-FR"/>
        </w:rPr>
        <w:tab/>
        <w:t>La quatre-vingt-unième session annuelle du Comité des transports intérieurs (CTI), qui se tiendra en 2019, devrait marquer un tournant dans l</w:t>
      </w:r>
      <w:r>
        <w:rPr>
          <w:lang w:val="fr-FR"/>
        </w:rPr>
        <w:t>’</w:t>
      </w:r>
      <w:r w:rsidRPr="00B67FD6">
        <w:rPr>
          <w:lang w:val="fr-FR"/>
        </w:rPr>
        <w:t xml:space="preserve">histoire du Comité. En effet, </w:t>
      </w:r>
      <w:r>
        <w:rPr>
          <w:lang w:val="fr-FR"/>
        </w:rPr>
        <w:t>le Comité</w:t>
      </w:r>
      <w:r w:rsidRPr="00B67FD6">
        <w:rPr>
          <w:lang w:val="fr-FR"/>
        </w:rPr>
        <w:t xml:space="preserve"> est appelé à se prononcer sur l</w:t>
      </w:r>
      <w:r>
        <w:rPr>
          <w:lang w:val="fr-FR"/>
        </w:rPr>
        <w:t>’</w:t>
      </w:r>
      <w:r w:rsidRPr="00B67FD6">
        <w:rPr>
          <w:lang w:val="fr-FR"/>
        </w:rPr>
        <w:t>adoption de sa stratégie à l</w:t>
      </w:r>
      <w:r>
        <w:rPr>
          <w:lang w:val="fr-FR"/>
        </w:rPr>
        <w:t>’</w:t>
      </w:r>
      <w:r w:rsidR="00AF5EC3">
        <w:rPr>
          <w:lang w:val="fr-FR"/>
        </w:rPr>
        <w:t xml:space="preserve">horizon </w:t>
      </w:r>
      <w:r w:rsidRPr="00B67FD6">
        <w:rPr>
          <w:lang w:val="fr-FR"/>
        </w:rPr>
        <w:t>2030, et ce, dans la salle (</w:t>
      </w:r>
      <w:r w:rsidR="00AF5EC3">
        <w:rPr>
          <w:lang w:val="fr-FR"/>
        </w:rPr>
        <w:t>s</w:t>
      </w:r>
      <w:r w:rsidRPr="00B67FD6">
        <w:rPr>
          <w:lang w:val="fr-FR"/>
        </w:rPr>
        <w:t xml:space="preserve">alle XVII) où, en 2017, </w:t>
      </w:r>
      <w:r>
        <w:rPr>
          <w:lang w:val="fr-FR"/>
        </w:rPr>
        <w:t>d</w:t>
      </w:r>
      <w:r w:rsidRPr="00B67FD6">
        <w:rPr>
          <w:lang w:val="fr-FR"/>
        </w:rPr>
        <w:t xml:space="preserve">es </w:t>
      </w:r>
      <w:r w:rsidR="00DA602D">
        <w:rPr>
          <w:lang w:val="fr-FR"/>
        </w:rPr>
        <w:t>m</w:t>
      </w:r>
      <w:r w:rsidRPr="00B67FD6">
        <w:rPr>
          <w:lang w:val="fr-FR"/>
        </w:rPr>
        <w:t xml:space="preserve">inistres </w:t>
      </w:r>
      <w:r>
        <w:rPr>
          <w:lang w:val="fr-FR"/>
        </w:rPr>
        <w:t xml:space="preserve">venus </w:t>
      </w:r>
      <w:r w:rsidRPr="00B67FD6">
        <w:rPr>
          <w:lang w:val="fr-FR"/>
        </w:rPr>
        <w:t>du monde entier s</w:t>
      </w:r>
      <w:r>
        <w:rPr>
          <w:lang w:val="fr-FR"/>
        </w:rPr>
        <w:t>’</w:t>
      </w:r>
      <w:r w:rsidRPr="00B67FD6">
        <w:rPr>
          <w:lang w:val="fr-FR"/>
        </w:rPr>
        <w:t>étaient réunis aux côtés de plus de 500 participants afin de célébrer son soixante-dixième anniversaire et avaient demandé qu</w:t>
      </w:r>
      <w:r>
        <w:rPr>
          <w:lang w:val="fr-FR"/>
        </w:rPr>
        <w:t>’</w:t>
      </w:r>
      <w:r w:rsidRPr="00B67FD6">
        <w:rPr>
          <w:lang w:val="fr-FR"/>
        </w:rPr>
        <w:t xml:space="preserve">une nouvelle stratégie soit élaborée et adoptée.  </w:t>
      </w:r>
    </w:p>
    <w:p w:rsidR="00AB4B5D" w:rsidRPr="00B67FD6" w:rsidRDefault="00AB4B5D" w:rsidP="0000657B">
      <w:pPr>
        <w:pStyle w:val="SingleTxtG"/>
        <w:rPr>
          <w:lang w:val="fr-FR"/>
        </w:rPr>
      </w:pPr>
      <w:r w:rsidRPr="00B67FD6">
        <w:rPr>
          <w:lang w:val="fr-FR"/>
        </w:rPr>
        <w:t>2.</w:t>
      </w:r>
      <w:r w:rsidRPr="00B67FD6">
        <w:rPr>
          <w:lang w:val="fr-FR"/>
        </w:rPr>
        <w:tab/>
        <w:t xml:space="preserve">En </w:t>
      </w:r>
      <w:r w:rsidR="00DA602D">
        <w:rPr>
          <w:lang w:val="fr-FR"/>
        </w:rPr>
        <w:t xml:space="preserve">soixante-dix </w:t>
      </w:r>
      <w:r w:rsidRPr="00B67FD6">
        <w:rPr>
          <w:lang w:val="fr-FR"/>
        </w:rPr>
        <w:t>ans, le Comité est devenu l</w:t>
      </w:r>
      <w:r>
        <w:rPr>
          <w:lang w:val="fr-FR"/>
        </w:rPr>
        <w:t>’</w:t>
      </w:r>
      <w:r w:rsidRPr="00B67FD6">
        <w:rPr>
          <w:lang w:val="fr-FR"/>
        </w:rPr>
        <w:t>organe central pour les conventions de l</w:t>
      </w:r>
      <w:r>
        <w:rPr>
          <w:lang w:val="fr-FR"/>
        </w:rPr>
        <w:t>’</w:t>
      </w:r>
      <w:r w:rsidRPr="00B67FD6">
        <w:rPr>
          <w:lang w:val="fr-FR"/>
        </w:rPr>
        <w:t>ONU en matière de transports intérieurs. Reconnaissant l</w:t>
      </w:r>
      <w:r>
        <w:rPr>
          <w:lang w:val="fr-FR"/>
        </w:rPr>
        <w:t>’influence</w:t>
      </w:r>
      <w:r w:rsidRPr="00B67FD6">
        <w:rPr>
          <w:lang w:val="fr-FR"/>
        </w:rPr>
        <w:t xml:space="preserve"> mondiale des travaux de réglementation du Comité, la portée géographique de plus en plus vaste de ses instruments juridiquement contraignants et la nécessité urgente de rendre le cadre mondial qui régit les transports intérieurs plus inclusif et accessible à tous et d</w:t>
      </w:r>
      <w:r>
        <w:rPr>
          <w:lang w:val="fr-FR"/>
        </w:rPr>
        <w:t>’</w:t>
      </w:r>
      <w:r w:rsidRPr="00B67FD6">
        <w:rPr>
          <w:lang w:val="fr-FR"/>
        </w:rPr>
        <w:t xml:space="preserve">appuyer la mise en œuvre des objectifs de développement durable, les </w:t>
      </w:r>
      <w:r w:rsidR="00DA602D">
        <w:rPr>
          <w:lang w:val="fr-FR"/>
        </w:rPr>
        <w:t>m</w:t>
      </w:r>
      <w:r w:rsidRPr="00B67FD6">
        <w:rPr>
          <w:lang w:val="fr-FR"/>
        </w:rPr>
        <w:t xml:space="preserve">inistres ont appelé, dans leur résolution de 2017, à élaborer et à adopter une nouvelle stratégie pour le Comité. En 2018, avec la participation de </w:t>
      </w:r>
      <w:r w:rsidR="00DA602D">
        <w:rPr>
          <w:lang w:val="fr-FR"/>
        </w:rPr>
        <w:t>m</w:t>
      </w:r>
      <w:r w:rsidRPr="00B67FD6">
        <w:rPr>
          <w:lang w:val="fr-FR"/>
        </w:rPr>
        <w:t>inistres d</w:t>
      </w:r>
      <w:r>
        <w:rPr>
          <w:lang w:val="fr-FR"/>
        </w:rPr>
        <w:t>’</w:t>
      </w:r>
      <w:r w:rsidRPr="00B67FD6">
        <w:rPr>
          <w:lang w:val="fr-FR"/>
        </w:rPr>
        <w:t>Afrique, d</w:t>
      </w:r>
      <w:r>
        <w:rPr>
          <w:lang w:val="fr-FR"/>
        </w:rPr>
        <w:t>’</w:t>
      </w:r>
      <w:r w:rsidRPr="00B67FD6">
        <w:rPr>
          <w:lang w:val="fr-FR"/>
        </w:rPr>
        <w:t>Asie, d</w:t>
      </w:r>
      <w:r>
        <w:rPr>
          <w:lang w:val="fr-FR"/>
        </w:rPr>
        <w:t>’</w:t>
      </w:r>
      <w:r w:rsidRPr="00B67FD6">
        <w:rPr>
          <w:lang w:val="fr-FR"/>
        </w:rPr>
        <w:t>Europe et du Moyen-Orient, le Comité a décidé d</w:t>
      </w:r>
      <w:r>
        <w:rPr>
          <w:lang w:val="fr-FR"/>
        </w:rPr>
        <w:t>’</w:t>
      </w:r>
      <w:r w:rsidRPr="00B67FD6">
        <w:rPr>
          <w:lang w:val="fr-FR"/>
        </w:rPr>
        <w:t>examiner et d</w:t>
      </w:r>
      <w:r>
        <w:rPr>
          <w:lang w:val="fr-FR"/>
        </w:rPr>
        <w:t>’</w:t>
      </w:r>
      <w:r w:rsidRPr="00B67FD6">
        <w:rPr>
          <w:lang w:val="fr-FR"/>
        </w:rPr>
        <w:t>adopter sa stratégie à l</w:t>
      </w:r>
      <w:r>
        <w:rPr>
          <w:lang w:val="fr-FR"/>
        </w:rPr>
        <w:t>’</w:t>
      </w:r>
      <w:r w:rsidRPr="00B67FD6">
        <w:rPr>
          <w:lang w:val="fr-FR"/>
        </w:rPr>
        <w:t xml:space="preserve">horizon 2030 à sa quatre-vingt-unième session annuelle en 2019 (19-22 février 2019). </w:t>
      </w:r>
    </w:p>
    <w:p w:rsidR="00AB4B5D" w:rsidRPr="00B67FD6" w:rsidRDefault="00AB4B5D" w:rsidP="0000657B">
      <w:pPr>
        <w:pStyle w:val="SingleTxtG"/>
        <w:rPr>
          <w:lang w:val="fr-FR"/>
        </w:rPr>
      </w:pPr>
      <w:r w:rsidRPr="00B67FD6">
        <w:rPr>
          <w:lang w:val="fr-FR"/>
        </w:rPr>
        <w:t>3.</w:t>
      </w:r>
      <w:r w:rsidRPr="00B67FD6">
        <w:rPr>
          <w:lang w:val="fr-FR"/>
        </w:rPr>
        <w:tab/>
        <w:t>Sur la base de la forte participation des responsables du secteur des transports</w:t>
      </w:r>
      <w:r w:rsidR="00DA602D">
        <w:rPr>
          <w:lang w:val="fr-FR"/>
        </w:rPr>
        <w:t xml:space="preserve"> en </w:t>
      </w:r>
      <w:r w:rsidRPr="00B67FD6">
        <w:rPr>
          <w:lang w:val="fr-FR"/>
        </w:rPr>
        <w:t>2017 et 2018 et au vu des décisions importantes qui seront prises et détermineront l</w:t>
      </w:r>
      <w:r>
        <w:rPr>
          <w:lang w:val="fr-FR"/>
        </w:rPr>
        <w:t>’</w:t>
      </w:r>
      <w:r w:rsidRPr="00B67FD6">
        <w:rPr>
          <w:lang w:val="fr-FR"/>
        </w:rPr>
        <w:t xml:space="preserve">avenir du Comité, il est recommandé que les États se fassent représenter à la quatre-vingt-unième session annuelle par un </w:t>
      </w:r>
      <w:r w:rsidR="00DA602D">
        <w:rPr>
          <w:lang w:val="fr-FR"/>
        </w:rPr>
        <w:t>m</w:t>
      </w:r>
      <w:r w:rsidRPr="00B67FD6">
        <w:rPr>
          <w:lang w:val="fr-FR"/>
        </w:rPr>
        <w:t>inistre</w:t>
      </w:r>
      <w:r>
        <w:rPr>
          <w:lang w:val="fr-FR"/>
        </w:rPr>
        <w:t>,</w:t>
      </w:r>
      <w:r w:rsidRPr="00B67FD6">
        <w:rPr>
          <w:lang w:val="fr-FR"/>
        </w:rPr>
        <w:t xml:space="preserve"> </w:t>
      </w:r>
      <w:r>
        <w:rPr>
          <w:lang w:val="fr-FR"/>
        </w:rPr>
        <w:t>un</w:t>
      </w:r>
      <w:r w:rsidRPr="00B67FD6">
        <w:rPr>
          <w:lang w:val="fr-FR"/>
        </w:rPr>
        <w:t xml:space="preserve"> </w:t>
      </w:r>
      <w:r w:rsidR="00DA602D">
        <w:rPr>
          <w:lang w:val="fr-FR"/>
        </w:rPr>
        <w:t>v</w:t>
      </w:r>
      <w:r w:rsidRPr="00B67FD6">
        <w:rPr>
          <w:lang w:val="fr-FR"/>
        </w:rPr>
        <w:t>ice-</w:t>
      </w:r>
      <w:r w:rsidR="00DA602D">
        <w:rPr>
          <w:lang w:val="fr-FR"/>
        </w:rPr>
        <w:t>m</w:t>
      </w:r>
      <w:r w:rsidRPr="00B67FD6">
        <w:rPr>
          <w:lang w:val="fr-FR"/>
        </w:rPr>
        <w:t xml:space="preserve">inistre </w:t>
      </w:r>
      <w:r>
        <w:rPr>
          <w:lang w:val="fr-FR"/>
        </w:rPr>
        <w:t xml:space="preserve">ou un </w:t>
      </w:r>
      <w:r w:rsidR="00DA602D">
        <w:rPr>
          <w:lang w:val="fr-FR"/>
        </w:rPr>
        <w:t>s</w:t>
      </w:r>
      <w:r>
        <w:rPr>
          <w:lang w:val="fr-FR"/>
        </w:rPr>
        <w:t xml:space="preserve">ecrétaire d’État </w:t>
      </w:r>
      <w:r w:rsidRPr="00B67FD6">
        <w:rPr>
          <w:lang w:val="fr-FR"/>
        </w:rPr>
        <w:t xml:space="preserve">pour les tables rondes et les tours de parole, et par des hauts responsables le reste du temps. En outre, les responsables des principales entreprises et organisations internationales gouvernementales et non gouvernementales </w:t>
      </w:r>
      <w:r>
        <w:rPr>
          <w:lang w:val="fr-FR"/>
        </w:rPr>
        <w:t>du</w:t>
      </w:r>
      <w:r w:rsidRPr="00B67FD6">
        <w:rPr>
          <w:lang w:val="fr-FR"/>
        </w:rPr>
        <w:t xml:space="preserve"> secteur des transports devraient prendre part au débat de politique générale. </w:t>
      </w:r>
    </w:p>
    <w:p w:rsidR="00AB4B5D" w:rsidRPr="00B67FD6" w:rsidRDefault="00AB4B5D" w:rsidP="00AF5EC3">
      <w:pPr>
        <w:pStyle w:val="HChG"/>
        <w:rPr>
          <w:lang w:val="fr-FR"/>
        </w:rPr>
      </w:pPr>
      <w:r w:rsidRPr="00B67FD6">
        <w:rPr>
          <w:lang w:val="fr-FR"/>
        </w:rPr>
        <w:tab/>
        <w:t>II.</w:t>
      </w:r>
      <w:r w:rsidRPr="00B67FD6">
        <w:rPr>
          <w:lang w:val="fr-FR"/>
        </w:rPr>
        <w:tab/>
        <w:t>Débat de politique générale de haut niveau</w:t>
      </w:r>
      <w:r w:rsidR="00AF5EC3">
        <w:rPr>
          <w:lang w:val="fr-FR"/>
        </w:rPr>
        <w:t> :</w:t>
      </w:r>
      <w:r w:rsidRPr="00B67FD6">
        <w:rPr>
          <w:lang w:val="fr-FR"/>
        </w:rPr>
        <w:t xml:space="preserve"> </w:t>
      </w:r>
      <w:r w:rsidR="00AF5EC3">
        <w:rPr>
          <w:lang w:val="fr-FR"/>
        </w:rPr>
        <w:br/>
      </w:r>
      <w:r w:rsidRPr="00B67FD6">
        <w:rPr>
          <w:lang w:val="fr-FR"/>
        </w:rPr>
        <w:t>l</w:t>
      </w:r>
      <w:r>
        <w:rPr>
          <w:lang w:val="fr-FR"/>
        </w:rPr>
        <w:t>’</w:t>
      </w:r>
      <w:r w:rsidRPr="00B67FD6">
        <w:rPr>
          <w:lang w:val="fr-FR"/>
        </w:rPr>
        <w:t xml:space="preserve">automatisation dans les transports </w:t>
      </w:r>
    </w:p>
    <w:p w:rsidR="00AB4B5D" w:rsidRPr="00B67FD6" w:rsidRDefault="00AB4B5D" w:rsidP="0000657B">
      <w:pPr>
        <w:pStyle w:val="SingleTxtG"/>
        <w:rPr>
          <w:lang w:val="fr-FR"/>
        </w:rPr>
      </w:pPr>
      <w:r w:rsidRPr="00B67FD6">
        <w:rPr>
          <w:lang w:val="fr-FR"/>
        </w:rPr>
        <w:t>4.</w:t>
      </w:r>
      <w:r w:rsidRPr="00B67FD6">
        <w:rPr>
          <w:lang w:val="fr-FR"/>
        </w:rPr>
        <w:tab/>
        <w:t>Faisant fond sur les recommandations du Comité et les débats du Bureau, le thème du débat de politique générale de 2019 sera « L</w:t>
      </w:r>
      <w:r>
        <w:rPr>
          <w:lang w:val="fr-FR"/>
        </w:rPr>
        <w:t>’</w:t>
      </w:r>
      <w:r w:rsidRPr="00B67FD6">
        <w:rPr>
          <w:lang w:val="fr-FR"/>
        </w:rPr>
        <w:t>automatis</w:t>
      </w:r>
      <w:r w:rsidR="00581E13">
        <w:rPr>
          <w:lang w:val="fr-FR"/>
        </w:rPr>
        <w:t>ation dans les transports ». Ce </w:t>
      </w:r>
      <w:r w:rsidRPr="00B67FD6">
        <w:rPr>
          <w:lang w:val="fr-FR"/>
        </w:rPr>
        <w:t xml:space="preserve">thème permettra aux participants </w:t>
      </w:r>
      <w:r>
        <w:rPr>
          <w:lang w:val="fr-FR"/>
        </w:rPr>
        <w:t>d’engager une réflexion sur</w:t>
      </w:r>
      <w:r w:rsidRPr="00B67FD6">
        <w:rPr>
          <w:lang w:val="fr-FR"/>
        </w:rPr>
        <w:t xml:space="preserve"> les réalisations passées du Comité, son fonctionnement actuel et sa trajectoire future tout en mettant en avant sa valeur ajoutée et son potentiel pour l</w:t>
      </w:r>
      <w:r>
        <w:rPr>
          <w:lang w:val="fr-FR"/>
        </w:rPr>
        <w:t>’</w:t>
      </w:r>
      <w:r w:rsidRPr="00B67FD6">
        <w:rPr>
          <w:lang w:val="fr-FR"/>
        </w:rPr>
        <w:t xml:space="preserve">avenir.  </w:t>
      </w:r>
    </w:p>
    <w:p w:rsidR="00AB4B5D" w:rsidRPr="00B67FD6" w:rsidRDefault="00AB4B5D" w:rsidP="00AF5EC3">
      <w:pPr>
        <w:pStyle w:val="SingleTxtG"/>
        <w:keepNext/>
        <w:rPr>
          <w:lang w:val="fr-FR"/>
        </w:rPr>
      </w:pPr>
      <w:r w:rsidRPr="00B67FD6">
        <w:rPr>
          <w:lang w:val="fr-FR"/>
        </w:rPr>
        <w:t>5.</w:t>
      </w:r>
      <w:r w:rsidRPr="00B67FD6">
        <w:rPr>
          <w:lang w:val="fr-FR"/>
        </w:rPr>
        <w:tab/>
        <w:t xml:space="preserve">Le projet de programme pour le </w:t>
      </w:r>
      <w:r w:rsidRPr="00B67FD6">
        <w:rPr>
          <w:i/>
          <w:lang w:val="fr-FR"/>
        </w:rPr>
        <w:t xml:space="preserve">mardi 19 février 2019 de 10 heures à 13 heures </w:t>
      </w:r>
      <w:r w:rsidRPr="00B67FD6">
        <w:rPr>
          <w:lang w:val="fr-FR"/>
        </w:rPr>
        <w:t>est le suivant</w:t>
      </w:r>
      <w:r w:rsidR="00AF5EC3">
        <w:rPr>
          <w:lang w:val="fr-FR"/>
        </w:rPr>
        <w:t> :</w:t>
      </w:r>
      <w:r w:rsidRPr="00B67FD6">
        <w:rPr>
          <w:lang w:val="fr-FR"/>
        </w:rPr>
        <w:t xml:space="preserve"> </w:t>
      </w:r>
    </w:p>
    <w:p w:rsidR="00AB4B5D" w:rsidRPr="00B67FD6" w:rsidRDefault="00AB4B5D" w:rsidP="00AF5EC3">
      <w:pPr>
        <w:pStyle w:val="SingleTxtG"/>
        <w:ind w:firstLine="567"/>
        <w:rPr>
          <w:lang w:val="fr-FR"/>
        </w:rPr>
      </w:pPr>
      <w:r w:rsidRPr="00B67FD6">
        <w:rPr>
          <w:lang w:val="fr-FR"/>
        </w:rPr>
        <w:t>a)</w:t>
      </w:r>
      <w:r w:rsidRPr="00B67FD6">
        <w:rPr>
          <w:lang w:val="fr-FR"/>
        </w:rPr>
        <w:tab/>
        <w:t>Allocutions de bienvenue</w:t>
      </w:r>
      <w:r w:rsidR="00AF5EC3">
        <w:rPr>
          <w:lang w:val="fr-FR"/>
        </w:rPr>
        <w:t> ;</w:t>
      </w:r>
    </w:p>
    <w:p w:rsidR="00AB4B5D" w:rsidRPr="00B67FD6" w:rsidRDefault="00AB4B5D" w:rsidP="00AF5EC3">
      <w:pPr>
        <w:pStyle w:val="SingleTxtG"/>
        <w:ind w:firstLine="567"/>
        <w:rPr>
          <w:lang w:val="fr-FR"/>
        </w:rPr>
      </w:pPr>
      <w:r w:rsidRPr="00B67FD6">
        <w:rPr>
          <w:lang w:val="fr-FR"/>
        </w:rPr>
        <w:t>b)</w:t>
      </w:r>
      <w:r w:rsidRPr="00B67FD6">
        <w:rPr>
          <w:lang w:val="fr-FR"/>
        </w:rPr>
        <w:tab/>
        <w:t>Une ou deux interventions liminaires sur l</w:t>
      </w:r>
      <w:r>
        <w:rPr>
          <w:lang w:val="fr-FR"/>
        </w:rPr>
        <w:t>’</w:t>
      </w:r>
      <w:r w:rsidRPr="00B67FD6">
        <w:rPr>
          <w:lang w:val="fr-FR"/>
        </w:rPr>
        <w:t>importance de l</w:t>
      </w:r>
      <w:r>
        <w:rPr>
          <w:lang w:val="fr-FR"/>
        </w:rPr>
        <w:t>’</w:t>
      </w:r>
      <w:r w:rsidRPr="00B67FD6">
        <w:rPr>
          <w:lang w:val="fr-FR"/>
        </w:rPr>
        <w:t>automatisation et de la numérisation dans le secteur des transports intérieurs pour l</w:t>
      </w:r>
      <w:r>
        <w:rPr>
          <w:lang w:val="fr-FR"/>
        </w:rPr>
        <w:t>’</w:t>
      </w:r>
      <w:r w:rsidRPr="00B67FD6">
        <w:rPr>
          <w:lang w:val="fr-FR"/>
        </w:rPr>
        <w:t>avenir de la mobilité et sur le rôle du Comité </w:t>
      </w:r>
      <w:r>
        <w:rPr>
          <w:lang w:val="fr-FR"/>
        </w:rPr>
        <w:t>à cet égard</w:t>
      </w:r>
      <w:r w:rsidR="00AF5EC3">
        <w:rPr>
          <w:lang w:val="fr-FR"/>
        </w:rPr>
        <w:t> ;</w:t>
      </w:r>
    </w:p>
    <w:p w:rsidR="00AB4B5D" w:rsidRPr="00B67FD6" w:rsidRDefault="00AB4B5D" w:rsidP="00AF5EC3">
      <w:pPr>
        <w:pStyle w:val="SingleTxtG"/>
        <w:ind w:firstLine="567"/>
        <w:rPr>
          <w:lang w:val="fr-FR"/>
        </w:rPr>
      </w:pPr>
      <w:r w:rsidRPr="00B67FD6">
        <w:rPr>
          <w:lang w:val="fr-FR"/>
        </w:rPr>
        <w:t>c)</w:t>
      </w:r>
      <w:r w:rsidRPr="00B67FD6">
        <w:rPr>
          <w:lang w:val="fr-FR"/>
        </w:rPr>
        <w:tab/>
        <w:t>Deux tables rondes consécutives réunissant chacune jusqu</w:t>
      </w:r>
      <w:r>
        <w:rPr>
          <w:lang w:val="fr-FR"/>
        </w:rPr>
        <w:t>’</w:t>
      </w:r>
      <w:r w:rsidRPr="00B67FD6">
        <w:rPr>
          <w:lang w:val="fr-FR"/>
        </w:rPr>
        <w:t>à cinq participants et suivies de trois interventions </w:t>
      </w:r>
      <w:r>
        <w:rPr>
          <w:lang w:val="fr-FR"/>
        </w:rPr>
        <w:t>programmées de la salle</w:t>
      </w:r>
      <w:r w:rsidR="00AF5EC3">
        <w:rPr>
          <w:lang w:val="fr-FR"/>
        </w:rPr>
        <w:t> ;</w:t>
      </w:r>
      <w:r w:rsidRPr="00B67FD6">
        <w:rPr>
          <w:lang w:val="fr-FR"/>
        </w:rPr>
        <w:t xml:space="preserve"> </w:t>
      </w:r>
    </w:p>
    <w:p w:rsidR="00AB4B5D" w:rsidRPr="00B67FD6" w:rsidRDefault="00AB4B5D" w:rsidP="00AF5EC3">
      <w:pPr>
        <w:pStyle w:val="SingleTxtG"/>
        <w:ind w:firstLine="567"/>
        <w:rPr>
          <w:rFonts w:eastAsia="Times New Roman"/>
          <w:szCs w:val="24"/>
          <w:lang w:val="fr-FR"/>
        </w:rPr>
      </w:pPr>
      <w:r w:rsidRPr="00B67FD6">
        <w:rPr>
          <w:rFonts w:eastAsia="Times New Roman"/>
          <w:szCs w:val="24"/>
          <w:lang w:val="fr-FR"/>
        </w:rPr>
        <w:t>d)</w:t>
      </w:r>
      <w:r w:rsidRPr="00B67FD6">
        <w:rPr>
          <w:rFonts w:eastAsia="Times New Roman"/>
          <w:szCs w:val="24"/>
          <w:lang w:val="fr-FR"/>
        </w:rPr>
        <w:tab/>
        <w:t xml:space="preserve">Adoption </w:t>
      </w:r>
      <w:bookmarkStart w:id="0" w:name="_Hlk531880860"/>
      <w:r w:rsidRPr="00B67FD6">
        <w:rPr>
          <w:rFonts w:eastAsia="Times New Roman"/>
          <w:szCs w:val="24"/>
          <w:lang w:val="fr-FR"/>
        </w:rPr>
        <w:t xml:space="preserve">de la résolution intitulée </w:t>
      </w:r>
      <w:bookmarkEnd w:id="0"/>
      <w:r w:rsidRPr="00B67FD6">
        <w:rPr>
          <w:rFonts w:eastAsia="Times New Roman"/>
          <w:szCs w:val="24"/>
          <w:lang w:val="fr-FR"/>
        </w:rPr>
        <w:t>« Renforcer la coopération, l</w:t>
      </w:r>
      <w:r>
        <w:rPr>
          <w:rFonts w:eastAsia="Times New Roman"/>
          <w:szCs w:val="24"/>
          <w:lang w:val="fr-FR"/>
        </w:rPr>
        <w:t>’</w:t>
      </w:r>
      <w:r w:rsidRPr="00B67FD6">
        <w:rPr>
          <w:rFonts w:eastAsia="Times New Roman"/>
          <w:szCs w:val="24"/>
          <w:lang w:val="fr-FR"/>
        </w:rPr>
        <w:t>harmonisation et l</w:t>
      </w:r>
      <w:r>
        <w:rPr>
          <w:rFonts w:eastAsia="Times New Roman"/>
          <w:szCs w:val="24"/>
          <w:lang w:val="fr-FR"/>
        </w:rPr>
        <w:t>’</w:t>
      </w:r>
      <w:r w:rsidRPr="00B67FD6">
        <w:rPr>
          <w:rFonts w:eastAsia="Times New Roman"/>
          <w:szCs w:val="24"/>
          <w:lang w:val="fr-FR"/>
        </w:rPr>
        <w:t>intégration à l</w:t>
      </w:r>
      <w:r>
        <w:rPr>
          <w:rFonts w:eastAsia="Times New Roman"/>
          <w:szCs w:val="24"/>
          <w:lang w:val="fr-FR"/>
        </w:rPr>
        <w:t>’</w:t>
      </w:r>
      <w:r w:rsidRPr="00B67FD6">
        <w:rPr>
          <w:rFonts w:eastAsia="Times New Roman"/>
          <w:szCs w:val="24"/>
          <w:lang w:val="fr-FR"/>
        </w:rPr>
        <w:t>ère de l</w:t>
      </w:r>
      <w:r>
        <w:rPr>
          <w:rFonts w:eastAsia="Times New Roman"/>
          <w:szCs w:val="24"/>
          <w:lang w:val="fr-FR"/>
        </w:rPr>
        <w:t>’</w:t>
      </w:r>
      <w:r w:rsidRPr="00B67FD6">
        <w:rPr>
          <w:rFonts w:eastAsia="Times New Roman"/>
          <w:szCs w:val="24"/>
          <w:lang w:val="fr-FR"/>
        </w:rPr>
        <w:t>automatisation dans les transports », qui sera le point culminant de la réunion.</w:t>
      </w:r>
    </w:p>
    <w:p w:rsidR="00AB4B5D" w:rsidRPr="00B67FD6" w:rsidRDefault="00AB4B5D" w:rsidP="00D0133F">
      <w:pPr>
        <w:pStyle w:val="H1G"/>
        <w:rPr>
          <w:lang w:val="fr-FR"/>
        </w:rPr>
      </w:pPr>
      <w:r w:rsidRPr="00B67FD6">
        <w:rPr>
          <w:lang w:val="fr-FR"/>
        </w:rPr>
        <w:lastRenderedPageBreak/>
        <w:tab/>
        <w:t>A.</w:t>
      </w:r>
      <w:r w:rsidRPr="00B67FD6">
        <w:rPr>
          <w:lang w:val="fr-FR"/>
        </w:rPr>
        <w:tab/>
        <w:t xml:space="preserve">Allocutions de bienvenue et interventions liminaires </w:t>
      </w:r>
    </w:p>
    <w:p w:rsidR="00AB4B5D" w:rsidRPr="00B67FD6" w:rsidRDefault="00AB4B5D" w:rsidP="00C1320A">
      <w:pPr>
        <w:pStyle w:val="SingleTxtG"/>
        <w:rPr>
          <w:lang w:val="fr-FR"/>
        </w:rPr>
      </w:pPr>
      <w:r w:rsidRPr="00B67FD6">
        <w:rPr>
          <w:lang w:val="fr-FR"/>
        </w:rPr>
        <w:t>6.</w:t>
      </w:r>
      <w:r w:rsidRPr="00B67FD6">
        <w:rPr>
          <w:lang w:val="fr-FR"/>
        </w:rPr>
        <w:tab/>
        <w:t>Après les allocutions de bienvenue, une intervention liminaire sur l</w:t>
      </w:r>
      <w:r>
        <w:rPr>
          <w:lang w:val="fr-FR"/>
        </w:rPr>
        <w:t>’</w:t>
      </w:r>
      <w:r w:rsidRPr="00B67FD6">
        <w:rPr>
          <w:lang w:val="fr-FR"/>
        </w:rPr>
        <w:t>importance de l</w:t>
      </w:r>
      <w:r>
        <w:rPr>
          <w:lang w:val="fr-FR"/>
        </w:rPr>
        <w:t>’</w:t>
      </w:r>
      <w:r w:rsidRPr="00B67FD6">
        <w:rPr>
          <w:lang w:val="fr-FR"/>
        </w:rPr>
        <w:t>automatisation et de l</w:t>
      </w:r>
      <w:r>
        <w:rPr>
          <w:lang w:val="fr-FR"/>
        </w:rPr>
        <w:t>’</w:t>
      </w:r>
      <w:r w:rsidRPr="00B67FD6">
        <w:rPr>
          <w:lang w:val="fr-FR"/>
        </w:rPr>
        <w:t>harmonisation pour renforcer la viabilité des transports intérieurs à l</w:t>
      </w:r>
      <w:r>
        <w:rPr>
          <w:lang w:val="fr-FR"/>
        </w:rPr>
        <w:t>’</w:t>
      </w:r>
      <w:r w:rsidRPr="00B67FD6">
        <w:rPr>
          <w:lang w:val="fr-FR"/>
        </w:rPr>
        <w:t>échelle mondiale abordera les obstacles qui se dresseront sur la voie de l</w:t>
      </w:r>
      <w:r>
        <w:rPr>
          <w:lang w:val="fr-FR"/>
        </w:rPr>
        <w:t>’</w:t>
      </w:r>
      <w:r w:rsidRPr="00B67FD6">
        <w:rPr>
          <w:lang w:val="fr-FR"/>
        </w:rPr>
        <w:t>automatisation ainsi que le rôle stratégique du Comité en tant qu</w:t>
      </w:r>
      <w:r>
        <w:rPr>
          <w:lang w:val="fr-FR"/>
        </w:rPr>
        <w:t>’</w:t>
      </w:r>
      <w:r w:rsidRPr="00B67FD6">
        <w:rPr>
          <w:lang w:val="fr-FR"/>
        </w:rPr>
        <w:t>instance globale de coopération permettant d</w:t>
      </w:r>
      <w:r>
        <w:rPr>
          <w:lang w:val="fr-FR"/>
        </w:rPr>
        <w:t>’</w:t>
      </w:r>
      <w:r w:rsidRPr="00B67FD6">
        <w:rPr>
          <w:lang w:val="fr-FR"/>
        </w:rPr>
        <w:t>élaborer des solutions harmonisées et de renforcer la coopération internationale. L</w:t>
      </w:r>
      <w:r>
        <w:rPr>
          <w:lang w:val="fr-FR"/>
        </w:rPr>
        <w:t>’</w:t>
      </w:r>
      <w:r w:rsidRPr="00B67FD6">
        <w:rPr>
          <w:lang w:val="fr-FR"/>
        </w:rPr>
        <w:t xml:space="preserve">automatisation dans les transports est essentielle </w:t>
      </w:r>
      <w:r>
        <w:rPr>
          <w:lang w:val="fr-FR"/>
        </w:rPr>
        <w:t>à l’</w:t>
      </w:r>
      <w:r w:rsidRPr="00B67FD6">
        <w:rPr>
          <w:lang w:val="fr-FR"/>
        </w:rPr>
        <w:t>abouti</w:t>
      </w:r>
      <w:r>
        <w:rPr>
          <w:lang w:val="fr-FR"/>
        </w:rPr>
        <w:t>ssement d</w:t>
      </w:r>
      <w:r w:rsidRPr="00B67FD6">
        <w:rPr>
          <w:lang w:val="fr-FR"/>
        </w:rPr>
        <w:t xml:space="preserve">es efforts accomplis </w:t>
      </w:r>
      <w:r>
        <w:rPr>
          <w:lang w:val="fr-FR"/>
        </w:rPr>
        <w:t xml:space="preserve">dans le monde pour </w:t>
      </w:r>
      <w:r w:rsidRPr="00B67FD6">
        <w:rPr>
          <w:lang w:val="fr-FR"/>
        </w:rPr>
        <w:t>assurer l</w:t>
      </w:r>
      <w:r>
        <w:rPr>
          <w:lang w:val="fr-FR"/>
        </w:rPr>
        <w:t>’</w:t>
      </w:r>
      <w:r w:rsidRPr="00B67FD6">
        <w:rPr>
          <w:lang w:val="fr-FR"/>
        </w:rPr>
        <w:t>accès de tous à la mobilité durable et atteindre les objectifs de développement durable d</w:t>
      </w:r>
      <w:r>
        <w:rPr>
          <w:lang w:val="fr-FR"/>
        </w:rPr>
        <w:t>’</w:t>
      </w:r>
      <w:r w:rsidRPr="00B67FD6">
        <w:rPr>
          <w:lang w:val="fr-FR"/>
        </w:rPr>
        <w:t xml:space="preserve">ici à 2030. Les résultats obtenus par le Comité au cours des </w:t>
      </w:r>
      <w:r w:rsidR="00D0133F">
        <w:rPr>
          <w:lang w:val="fr-FR"/>
        </w:rPr>
        <w:t xml:space="preserve">soixante-dix </w:t>
      </w:r>
      <w:r w:rsidRPr="00B67FD6">
        <w:rPr>
          <w:lang w:val="fr-FR"/>
        </w:rPr>
        <w:t>dernières années sont la preuve que ses travaux de réglementation ont une incidence directe sur l</w:t>
      </w:r>
      <w:r>
        <w:rPr>
          <w:lang w:val="fr-FR"/>
        </w:rPr>
        <w:t>’</w:t>
      </w:r>
      <w:r w:rsidRPr="00B67FD6">
        <w:rPr>
          <w:lang w:val="fr-FR"/>
        </w:rPr>
        <w:t>offre et la prestation de services des entreprises et du secteur à l</w:t>
      </w:r>
      <w:r>
        <w:rPr>
          <w:lang w:val="fr-FR"/>
        </w:rPr>
        <w:t>’</w:t>
      </w:r>
      <w:r w:rsidRPr="00B67FD6">
        <w:rPr>
          <w:lang w:val="fr-FR"/>
        </w:rPr>
        <w:t>échelle mondiale et, par ricochet, contribuent à améliorer considérablement la vie quotidienne des populations et des communautés partout dans le monde. Les nombreuses réalisations du Comité, qui forment un tout cohérent, constituent une base solide pour le rôle qu</w:t>
      </w:r>
      <w:r>
        <w:rPr>
          <w:lang w:val="fr-FR"/>
        </w:rPr>
        <w:t>’</w:t>
      </w:r>
      <w:r w:rsidRPr="00B67FD6">
        <w:rPr>
          <w:lang w:val="fr-FR"/>
        </w:rPr>
        <w:t>il joue et sera appelé à jouer dans le renforcement de la coopération, de l</w:t>
      </w:r>
      <w:r>
        <w:rPr>
          <w:lang w:val="fr-FR"/>
        </w:rPr>
        <w:t>’</w:t>
      </w:r>
      <w:r w:rsidRPr="00B67FD6">
        <w:rPr>
          <w:lang w:val="fr-FR"/>
        </w:rPr>
        <w:t>harmonisation et de l</w:t>
      </w:r>
      <w:r>
        <w:rPr>
          <w:lang w:val="fr-FR"/>
        </w:rPr>
        <w:t>’</w:t>
      </w:r>
      <w:r w:rsidRPr="00B67FD6">
        <w:rPr>
          <w:lang w:val="fr-FR"/>
        </w:rPr>
        <w:t>intégration à l</w:t>
      </w:r>
      <w:r>
        <w:rPr>
          <w:lang w:val="fr-FR"/>
        </w:rPr>
        <w:t>’</w:t>
      </w:r>
      <w:r w:rsidRPr="00B67FD6">
        <w:rPr>
          <w:lang w:val="fr-FR"/>
        </w:rPr>
        <w:t>ère de l</w:t>
      </w:r>
      <w:r>
        <w:rPr>
          <w:lang w:val="fr-FR"/>
        </w:rPr>
        <w:t>’</w:t>
      </w:r>
      <w:r w:rsidRPr="00B67FD6">
        <w:rPr>
          <w:lang w:val="fr-FR"/>
        </w:rPr>
        <w:t xml:space="preserve">automatisation dans les transports.  </w:t>
      </w:r>
    </w:p>
    <w:p w:rsidR="00AB4B5D" w:rsidRPr="00B67FD6" w:rsidRDefault="00AB4B5D" w:rsidP="00C1320A">
      <w:pPr>
        <w:pStyle w:val="H1G"/>
        <w:rPr>
          <w:lang w:val="fr-FR"/>
        </w:rPr>
      </w:pPr>
      <w:r w:rsidRPr="00B67FD6">
        <w:rPr>
          <w:lang w:val="fr-FR"/>
        </w:rPr>
        <w:tab/>
        <w:t>B.</w:t>
      </w:r>
      <w:r w:rsidRPr="00B67FD6">
        <w:rPr>
          <w:lang w:val="fr-FR"/>
        </w:rPr>
        <w:tab/>
        <w:t xml:space="preserve">Tables rondes </w:t>
      </w:r>
    </w:p>
    <w:p w:rsidR="00AB4B5D" w:rsidRPr="00B67FD6" w:rsidRDefault="00AB4B5D" w:rsidP="00C1320A">
      <w:pPr>
        <w:pStyle w:val="SingleTxtG"/>
        <w:keepNext/>
        <w:rPr>
          <w:lang w:val="fr-FR"/>
        </w:rPr>
      </w:pPr>
      <w:r w:rsidRPr="00B67FD6">
        <w:rPr>
          <w:lang w:val="fr-FR"/>
        </w:rPr>
        <w:t>7.</w:t>
      </w:r>
      <w:r w:rsidRPr="00B67FD6">
        <w:rPr>
          <w:lang w:val="fr-FR"/>
        </w:rPr>
        <w:tab/>
        <w:t xml:space="preserve">Deux tables rondes seront ensuite organisées sur des questions transversales capitales </w:t>
      </w:r>
      <w:r>
        <w:rPr>
          <w:lang w:val="fr-FR"/>
        </w:rPr>
        <w:t xml:space="preserve">qui </w:t>
      </w:r>
      <w:r w:rsidRPr="00B67FD6">
        <w:rPr>
          <w:lang w:val="fr-FR"/>
        </w:rPr>
        <w:t>intéress</w:t>
      </w:r>
      <w:r>
        <w:rPr>
          <w:lang w:val="fr-FR"/>
        </w:rPr>
        <w:t>ent</w:t>
      </w:r>
      <w:r w:rsidRPr="00B67FD6">
        <w:rPr>
          <w:lang w:val="fr-FR"/>
        </w:rPr>
        <w:t xml:space="preserve"> directement l</w:t>
      </w:r>
      <w:r>
        <w:rPr>
          <w:lang w:val="fr-FR"/>
        </w:rPr>
        <w:t>’</w:t>
      </w:r>
      <w:r w:rsidRPr="00B67FD6">
        <w:rPr>
          <w:lang w:val="fr-FR"/>
        </w:rPr>
        <w:t>avenir de l</w:t>
      </w:r>
      <w:r>
        <w:rPr>
          <w:lang w:val="fr-FR"/>
        </w:rPr>
        <w:t>’</w:t>
      </w:r>
      <w:r w:rsidRPr="00B67FD6">
        <w:rPr>
          <w:lang w:val="fr-FR"/>
        </w:rPr>
        <w:t>automatisation dans les transports ainsi que les travaux du Comité et de ses organes subsidiaires. Les thèmes sont les suivants</w:t>
      </w:r>
      <w:r w:rsidR="00AF5EC3">
        <w:rPr>
          <w:lang w:val="fr-FR"/>
        </w:rPr>
        <w:t> :</w:t>
      </w:r>
    </w:p>
    <w:p w:rsidR="00AB4B5D" w:rsidRPr="00B67FD6" w:rsidRDefault="00AB4B5D" w:rsidP="00C1320A">
      <w:pPr>
        <w:pStyle w:val="SingleTxtG"/>
        <w:ind w:firstLine="567"/>
        <w:rPr>
          <w:rFonts w:eastAsia="Times New Roman"/>
          <w:szCs w:val="24"/>
          <w:lang w:val="fr-FR"/>
        </w:rPr>
      </w:pPr>
      <w:r w:rsidRPr="00B67FD6">
        <w:rPr>
          <w:rFonts w:eastAsia="Times New Roman"/>
          <w:szCs w:val="24"/>
          <w:lang w:val="fr-FR"/>
        </w:rPr>
        <w:t>a)</w:t>
      </w:r>
      <w:r w:rsidRPr="00B67FD6">
        <w:rPr>
          <w:rFonts w:eastAsia="Times New Roman"/>
          <w:szCs w:val="24"/>
          <w:lang w:val="fr-FR"/>
        </w:rPr>
        <w:tab/>
      </w:r>
      <w:bookmarkStart w:id="1" w:name="_Hlk522787704"/>
      <w:r w:rsidRPr="00B67FD6">
        <w:rPr>
          <w:rFonts w:eastAsia="Times New Roman"/>
          <w:szCs w:val="24"/>
          <w:lang w:val="fr-FR"/>
        </w:rPr>
        <w:t>Table ronde I</w:t>
      </w:r>
      <w:r w:rsidR="00AF5EC3">
        <w:rPr>
          <w:rFonts w:eastAsia="Times New Roman"/>
          <w:szCs w:val="24"/>
          <w:lang w:val="fr-FR"/>
        </w:rPr>
        <w:t> :</w:t>
      </w:r>
      <w:r w:rsidRPr="00B67FD6">
        <w:rPr>
          <w:rFonts w:eastAsia="Times New Roman"/>
          <w:szCs w:val="24"/>
          <w:lang w:val="fr-FR"/>
        </w:rPr>
        <w:t xml:space="preserve"> Rôle et tendances de l</w:t>
      </w:r>
      <w:r>
        <w:rPr>
          <w:rFonts w:eastAsia="Times New Roman"/>
          <w:szCs w:val="24"/>
          <w:lang w:val="fr-FR"/>
        </w:rPr>
        <w:t>’</w:t>
      </w:r>
      <w:r w:rsidRPr="00B67FD6">
        <w:rPr>
          <w:rFonts w:eastAsia="Times New Roman"/>
          <w:szCs w:val="24"/>
          <w:lang w:val="fr-FR"/>
        </w:rPr>
        <w:t>automatisation dans les transports</w:t>
      </w:r>
      <w:r w:rsidR="00AF5EC3">
        <w:rPr>
          <w:rFonts w:eastAsia="Times New Roman"/>
          <w:szCs w:val="24"/>
          <w:lang w:val="fr-FR"/>
        </w:rPr>
        <w:t> :</w:t>
      </w:r>
      <w:r w:rsidRPr="00B67FD6">
        <w:rPr>
          <w:rFonts w:eastAsia="Times New Roman"/>
          <w:szCs w:val="24"/>
          <w:lang w:val="fr-FR"/>
        </w:rPr>
        <w:t xml:space="preserve"> </w:t>
      </w:r>
      <w:bookmarkEnd w:id="1"/>
      <w:r w:rsidRPr="00B67FD6">
        <w:rPr>
          <w:rFonts w:eastAsia="Times New Roman"/>
          <w:szCs w:val="24"/>
          <w:lang w:val="fr-FR"/>
        </w:rPr>
        <w:t>sécurité, efficacité et viabilité</w:t>
      </w:r>
      <w:r w:rsidR="00AF5EC3">
        <w:rPr>
          <w:rFonts w:eastAsia="Times New Roman"/>
          <w:szCs w:val="24"/>
          <w:lang w:val="fr-FR"/>
        </w:rPr>
        <w:t> ;</w:t>
      </w:r>
    </w:p>
    <w:p w:rsidR="00AB4B5D" w:rsidRPr="00B67FD6" w:rsidRDefault="00AB4B5D" w:rsidP="00C1320A">
      <w:pPr>
        <w:pStyle w:val="SingleTxtG"/>
        <w:ind w:firstLine="567"/>
        <w:rPr>
          <w:rFonts w:eastAsia="Times New Roman"/>
          <w:szCs w:val="24"/>
          <w:lang w:val="fr-FR"/>
        </w:rPr>
      </w:pPr>
      <w:r w:rsidRPr="00B67FD6">
        <w:rPr>
          <w:rFonts w:eastAsia="Times New Roman"/>
          <w:szCs w:val="24"/>
          <w:lang w:val="fr-FR"/>
        </w:rPr>
        <w:t>b)</w:t>
      </w:r>
      <w:r w:rsidRPr="00B67FD6">
        <w:rPr>
          <w:rFonts w:eastAsia="Times New Roman"/>
          <w:szCs w:val="24"/>
          <w:lang w:val="fr-FR"/>
        </w:rPr>
        <w:tab/>
        <w:t>Table ronde II</w:t>
      </w:r>
      <w:r w:rsidR="00AF5EC3">
        <w:rPr>
          <w:rFonts w:eastAsia="Times New Roman"/>
          <w:szCs w:val="24"/>
          <w:lang w:val="fr-FR"/>
        </w:rPr>
        <w:t> :</w:t>
      </w:r>
      <w:r w:rsidRPr="00B67FD6">
        <w:rPr>
          <w:rFonts w:eastAsia="Times New Roman"/>
          <w:szCs w:val="24"/>
          <w:lang w:val="fr-FR"/>
        </w:rPr>
        <w:t xml:space="preserve"> Promotion de l</w:t>
      </w:r>
      <w:r>
        <w:rPr>
          <w:rFonts w:eastAsia="Times New Roman"/>
          <w:szCs w:val="24"/>
          <w:lang w:val="fr-FR"/>
        </w:rPr>
        <w:t>’</w:t>
      </w:r>
      <w:r w:rsidRPr="00B67FD6">
        <w:rPr>
          <w:rFonts w:eastAsia="Times New Roman"/>
          <w:szCs w:val="24"/>
          <w:lang w:val="fr-FR"/>
        </w:rPr>
        <w:t>automatisation dans tous les modes de transport</w:t>
      </w:r>
      <w:r w:rsidR="00AF5EC3">
        <w:rPr>
          <w:rFonts w:eastAsia="Times New Roman"/>
          <w:szCs w:val="24"/>
          <w:lang w:val="fr-FR"/>
        </w:rPr>
        <w:t> :</w:t>
      </w:r>
      <w:r w:rsidRPr="00B67FD6">
        <w:rPr>
          <w:rFonts w:eastAsia="Times New Roman"/>
          <w:szCs w:val="24"/>
          <w:lang w:val="fr-FR"/>
        </w:rPr>
        <w:t xml:space="preserve"> obstacles et effets de synergie.</w:t>
      </w:r>
    </w:p>
    <w:p w:rsidR="00AB4B5D" w:rsidRPr="00B67FD6" w:rsidRDefault="00AB4B5D" w:rsidP="00C1320A">
      <w:pPr>
        <w:pStyle w:val="SingleTxtG"/>
        <w:rPr>
          <w:lang w:val="fr-FR"/>
        </w:rPr>
      </w:pPr>
      <w:r w:rsidRPr="00B67FD6">
        <w:rPr>
          <w:lang w:val="fr-FR"/>
        </w:rPr>
        <w:t>8.</w:t>
      </w:r>
      <w:r w:rsidRPr="00B67FD6">
        <w:rPr>
          <w:lang w:val="fr-FR"/>
        </w:rPr>
        <w:tab/>
        <w:t xml:space="preserve">Chaque table ronde réunira au maximum cinq participants de haut niveau. </w:t>
      </w:r>
    </w:p>
    <w:p w:rsidR="00AB4B5D" w:rsidRPr="00B67FD6" w:rsidRDefault="00AB4B5D" w:rsidP="00C1320A">
      <w:pPr>
        <w:pStyle w:val="SingleTxtG"/>
        <w:rPr>
          <w:lang w:val="fr-FR"/>
        </w:rPr>
      </w:pPr>
      <w:r w:rsidRPr="00B67FD6">
        <w:rPr>
          <w:lang w:val="fr-FR"/>
        </w:rPr>
        <w:t>9.</w:t>
      </w:r>
      <w:r w:rsidRPr="00B67FD6">
        <w:rPr>
          <w:lang w:val="fr-FR"/>
        </w:rPr>
        <w:tab/>
        <w:t xml:space="preserve">Chaque débat sera </w:t>
      </w:r>
      <w:r>
        <w:rPr>
          <w:lang w:val="fr-FR"/>
        </w:rPr>
        <w:t xml:space="preserve">conduit par un </w:t>
      </w:r>
      <w:r w:rsidRPr="00B67FD6">
        <w:rPr>
          <w:lang w:val="fr-FR"/>
        </w:rPr>
        <w:t>anim</w:t>
      </w:r>
      <w:r>
        <w:rPr>
          <w:lang w:val="fr-FR"/>
        </w:rPr>
        <w:t>ateur</w:t>
      </w:r>
      <w:r w:rsidRPr="00B67FD6">
        <w:rPr>
          <w:lang w:val="fr-FR"/>
        </w:rPr>
        <w:t xml:space="preserve">, durera </w:t>
      </w:r>
      <w:r w:rsidR="00D0133F">
        <w:rPr>
          <w:lang w:val="fr-FR"/>
        </w:rPr>
        <w:t xml:space="preserve">quarante-cinq </w:t>
      </w:r>
      <w:r w:rsidRPr="00B67FD6">
        <w:rPr>
          <w:lang w:val="fr-FR"/>
        </w:rPr>
        <w:t>minutes et débutera par de brèves déclarations des participants (cinq à sept minutes). Ces déclarations seront suivies d</w:t>
      </w:r>
      <w:r>
        <w:rPr>
          <w:lang w:val="fr-FR"/>
        </w:rPr>
        <w:t>’</w:t>
      </w:r>
      <w:r w:rsidRPr="00B67FD6">
        <w:rPr>
          <w:lang w:val="fr-FR"/>
        </w:rPr>
        <w:t>interventions programmées (trois minutes maximum chacune) puis d</w:t>
      </w:r>
      <w:r>
        <w:rPr>
          <w:lang w:val="fr-FR"/>
        </w:rPr>
        <w:t>’</w:t>
      </w:r>
      <w:r w:rsidRPr="00B67FD6">
        <w:rPr>
          <w:lang w:val="fr-FR"/>
        </w:rPr>
        <w:t xml:space="preserve">un débat ouvert. </w:t>
      </w:r>
    </w:p>
    <w:p w:rsidR="00AB4B5D" w:rsidRPr="00B67FD6" w:rsidRDefault="00AB4B5D" w:rsidP="00C1320A">
      <w:pPr>
        <w:pStyle w:val="H1G"/>
        <w:rPr>
          <w:lang w:val="fr-FR"/>
        </w:rPr>
      </w:pPr>
      <w:r w:rsidRPr="00B67FD6">
        <w:rPr>
          <w:lang w:val="fr-FR"/>
        </w:rPr>
        <w:tab/>
        <w:t>C.</w:t>
      </w:r>
      <w:r w:rsidRPr="00B67FD6">
        <w:rPr>
          <w:lang w:val="fr-FR"/>
        </w:rPr>
        <w:tab/>
        <w:t>Adoption de la résolution intitulée « Renforcer la coopération, l</w:t>
      </w:r>
      <w:r>
        <w:rPr>
          <w:lang w:val="fr-FR"/>
        </w:rPr>
        <w:t>’</w:t>
      </w:r>
      <w:r w:rsidRPr="00B67FD6">
        <w:rPr>
          <w:lang w:val="fr-FR"/>
        </w:rPr>
        <w:t>harmonisation et l</w:t>
      </w:r>
      <w:r>
        <w:rPr>
          <w:lang w:val="fr-FR"/>
        </w:rPr>
        <w:t>’</w:t>
      </w:r>
      <w:r w:rsidRPr="00B67FD6">
        <w:rPr>
          <w:lang w:val="fr-FR"/>
        </w:rPr>
        <w:t>intégration à l</w:t>
      </w:r>
      <w:r>
        <w:rPr>
          <w:lang w:val="fr-FR"/>
        </w:rPr>
        <w:t>’</w:t>
      </w:r>
      <w:r w:rsidRPr="00B67FD6">
        <w:rPr>
          <w:lang w:val="fr-FR"/>
        </w:rPr>
        <w:t>ère de l</w:t>
      </w:r>
      <w:r>
        <w:rPr>
          <w:lang w:val="fr-FR"/>
        </w:rPr>
        <w:t>’</w:t>
      </w:r>
      <w:r w:rsidRPr="00B67FD6">
        <w:rPr>
          <w:lang w:val="fr-FR"/>
        </w:rPr>
        <w:t xml:space="preserve">automatisation </w:t>
      </w:r>
      <w:r w:rsidR="00C1320A">
        <w:rPr>
          <w:lang w:val="fr-FR"/>
        </w:rPr>
        <w:br/>
      </w:r>
      <w:r w:rsidRPr="00B67FD6">
        <w:rPr>
          <w:lang w:val="fr-FR"/>
        </w:rPr>
        <w:t>dans les transports »</w:t>
      </w:r>
    </w:p>
    <w:p w:rsidR="00AB4B5D" w:rsidRPr="00B67FD6" w:rsidRDefault="00AB4B5D" w:rsidP="006069A8">
      <w:pPr>
        <w:pStyle w:val="SingleTxtG"/>
        <w:rPr>
          <w:lang w:val="fr-FR"/>
        </w:rPr>
      </w:pPr>
      <w:r w:rsidRPr="00B67FD6">
        <w:rPr>
          <w:lang w:val="fr-FR"/>
        </w:rPr>
        <w:t>10.</w:t>
      </w:r>
      <w:r w:rsidRPr="00B67FD6">
        <w:rPr>
          <w:lang w:val="fr-FR"/>
        </w:rPr>
        <w:tab/>
        <w:t>À l</w:t>
      </w:r>
      <w:r>
        <w:rPr>
          <w:lang w:val="fr-FR"/>
        </w:rPr>
        <w:t>’</w:t>
      </w:r>
      <w:r w:rsidRPr="00B67FD6">
        <w:rPr>
          <w:lang w:val="fr-FR"/>
        </w:rPr>
        <w:t xml:space="preserve">issue de la réunion, les </w:t>
      </w:r>
      <w:r w:rsidR="00D0133F">
        <w:rPr>
          <w:lang w:val="fr-FR"/>
        </w:rPr>
        <w:t>m</w:t>
      </w:r>
      <w:r w:rsidRPr="00B67FD6">
        <w:rPr>
          <w:lang w:val="fr-FR"/>
        </w:rPr>
        <w:t xml:space="preserve">inistres et </w:t>
      </w:r>
      <w:r>
        <w:rPr>
          <w:lang w:val="fr-FR"/>
        </w:rPr>
        <w:t xml:space="preserve">les </w:t>
      </w:r>
      <w:r w:rsidR="00D0133F">
        <w:rPr>
          <w:lang w:val="fr-FR"/>
        </w:rPr>
        <w:t>c</w:t>
      </w:r>
      <w:r w:rsidRPr="00B67FD6">
        <w:rPr>
          <w:lang w:val="fr-FR"/>
        </w:rPr>
        <w:t>hefs de délégation seront invités à adopter la résolution intitulée « Renforcer la coopération, l</w:t>
      </w:r>
      <w:r>
        <w:rPr>
          <w:lang w:val="fr-FR"/>
        </w:rPr>
        <w:t>’</w:t>
      </w:r>
      <w:r w:rsidRPr="00B67FD6">
        <w:rPr>
          <w:lang w:val="fr-FR"/>
        </w:rPr>
        <w:t>harmonisation et l</w:t>
      </w:r>
      <w:r>
        <w:rPr>
          <w:lang w:val="fr-FR"/>
        </w:rPr>
        <w:t>’</w:t>
      </w:r>
      <w:r w:rsidRPr="00B67FD6">
        <w:rPr>
          <w:lang w:val="fr-FR"/>
        </w:rPr>
        <w:t>intégration à l</w:t>
      </w:r>
      <w:r>
        <w:rPr>
          <w:lang w:val="fr-FR"/>
        </w:rPr>
        <w:t>’</w:t>
      </w:r>
      <w:r w:rsidRPr="00B67FD6">
        <w:rPr>
          <w:lang w:val="fr-FR"/>
        </w:rPr>
        <w:t>ère de l</w:t>
      </w:r>
      <w:r>
        <w:rPr>
          <w:lang w:val="fr-FR"/>
        </w:rPr>
        <w:t>’</w:t>
      </w:r>
      <w:r w:rsidRPr="00B67FD6">
        <w:rPr>
          <w:lang w:val="fr-FR"/>
        </w:rPr>
        <w:t>automatisation dans les transports », soulignant ainsi que le Comité est tout indiqué pour veiller à ce que l</w:t>
      </w:r>
      <w:r>
        <w:rPr>
          <w:lang w:val="fr-FR"/>
        </w:rPr>
        <w:t>’</w:t>
      </w:r>
      <w:r w:rsidRPr="00B67FD6">
        <w:rPr>
          <w:lang w:val="fr-FR"/>
        </w:rPr>
        <w:t>accélération de l</w:t>
      </w:r>
      <w:r>
        <w:rPr>
          <w:lang w:val="fr-FR"/>
        </w:rPr>
        <w:t>’</w:t>
      </w:r>
      <w:r w:rsidRPr="00B67FD6">
        <w:rPr>
          <w:lang w:val="fr-FR"/>
        </w:rPr>
        <w:t>innovation en matière d</w:t>
      </w:r>
      <w:r>
        <w:rPr>
          <w:lang w:val="fr-FR"/>
        </w:rPr>
        <w:t>’</w:t>
      </w:r>
      <w:r w:rsidRPr="00B67FD6">
        <w:rPr>
          <w:lang w:val="fr-FR"/>
        </w:rPr>
        <w:t>automatisation et de numérisation dans les transports soit marquée par l</w:t>
      </w:r>
      <w:r>
        <w:rPr>
          <w:lang w:val="fr-FR"/>
        </w:rPr>
        <w:t>’</w:t>
      </w:r>
      <w:r w:rsidRPr="00B67FD6">
        <w:rPr>
          <w:lang w:val="fr-FR"/>
        </w:rPr>
        <w:t>harmonisation, l</w:t>
      </w:r>
      <w:r>
        <w:rPr>
          <w:lang w:val="fr-FR"/>
        </w:rPr>
        <w:t>’</w:t>
      </w:r>
      <w:r w:rsidRPr="00B67FD6">
        <w:rPr>
          <w:lang w:val="fr-FR"/>
        </w:rPr>
        <w:t>interopérabilité, la sécurité, l</w:t>
      </w:r>
      <w:r>
        <w:rPr>
          <w:lang w:val="fr-FR"/>
        </w:rPr>
        <w:t>’</w:t>
      </w:r>
      <w:r w:rsidRPr="00B67FD6">
        <w:rPr>
          <w:lang w:val="fr-FR"/>
        </w:rPr>
        <w:t>accès équitable et l</w:t>
      </w:r>
      <w:r>
        <w:rPr>
          <w:lang w:val="fr-FR"/>
        </w:rPr>
        <w:t>’</w:t>
      </w:r>
      <w:r w:rsidRPr="00B67FD6">
        <w:rPr>
          <w:lang w:val="fr-FR"/>
        </w:rPr>
        <w:t>intégration intermodale, qui sont autant de conditions essentielles à la réalisation du Programme de développement durable à l</w:t>
      </w:r>
      <w:r>
        <w:rPr>
          <w:lang w:val="fr-FR"/>
        </w:rPr>
        <w:t>’</w:t>
      </w:r>
      <w:r w:rsidRPr="00B67FD6">
        <w:rPr>
          <w:lang w:val="fr-FR"/>
        </w:rPr>
        <w:t>horizon 2030. Dans l</w:t>
      </w:r>
      <w:r>
        <w:rPr>
          <w:lang w:val="fr-FR"/>
        </w:rPr>
        <w:t>’</w:t>
      </w:r>
      <w:r w:rsidRPr="00B67FD6">
        <w:rPr>
          <w:lang w:val="fr-FR"/>
        </w:rPr>
        <w:t>ensemble, la résolution portera sur la nécessité de renforcer la coopération dans le domaine de l</w:t>
      </w:r>
      <w:r>
        <w:rPr>
          <w:lang w:val="fr-FR"/>
        </w:rPr>
        <w:t>’</w:t>
      </w:r>
      <w:r w:rsidRPr="00B67FD6">
        <w:rPr>
          <w:lang w:val="fr-FR"/>
        </w:rPr>
        <w:t>automatisation des transports, afin de partager aussi largement que possible les avantages ainsi obtenus et d</w:t>
      </w:r>
      <w:r>
        <w:rPr>
          <w:lang w:val="fr-FR"/>
        </w:rPr>
        <w:t>’</w:t>
      </w:r>
      <w:r w:rsidRPr="00B67FD6">
        <w:rPr>
          <w:lang w:val="fr-FR"/>
        </w:rPr>
        <w:t>éviter l</w:t>
      </w:r>
      <w:r>
        <w:rPr>
          <w:lang w:val="fr-FR"/>
        </w:rPr>
        <w:t>’</w:t>
      </w:r>
      <w:r w:rsidRPr="00B67FD6">
        <w:rPr>
          <w:lang w:val="fr-FR"/>
        </w:rPr>
        <w:t xml:space="preserve">émergence de systèmes fragmentés qui ne sont pas interopérables. </w:t>
      </w:r>
    </w:p>
    <w:p w:rsidR="00AB4B5D" w:rsidRPr="00B67FD6" w:rsidRDefault="00AB4B5D" w:rsidP="006069A8">
      <w:pPr>
        <w:pStyle w:val="HChG"/>
        <w:rPr>
          <w:lang w:val="fr-FR"/>
        </w:rPr>
      </w:pPr>
      <w:r w:rsidRPr="00B67FD6">
        <w:rPr>
          <w:lang w:val="fr-FR"/>
        </w:rPr>
        <w:lastRenderedPageBreak/>
        <w:tab/>
        <w:t>III.</w:t>
      </w:r>
      <w:r w:rsidRPr="00B67FD6">
        <w:rPr>
          <w:lang w:val="fr-FR"/>
        </w:rPr>
        <w:tab/>
        <w:t xml:space="preserve">Manifestations parallèles de haut niveau prévues </w:t>
      </w:r>
    </w:p>
    <w:p w:rsidR="00AB4B5D" w:rsidRPr="00B67FD6" w:rsidRDefault="00AB4B5D" w:rsidP="006069A8">
      <w:pPr>
        <w:pStyle w:val="H1G"/>
        <w:rPr>
          <w:lang w:val="fr-FR"/>
        </w:rPr>
      </w:pPr>
      <w:r w:rsidRPr="00B67FD6">
        <w:rPr>
          <w:lang w:val="fr-FR"/>
        </w:rPr>
        <w:tab/>
        <w:t>A.</w:t>
      </w:r>
      <w:r w:rsidRPr="00B67FD6">
        <w:rPr>
          <w:lang w:val="fr-FR"/>
        </w:rPr>
        <w:tab/>
        <w:t>Expositions et démonstrations</w:t>
      </w:r>
    </w:p>
    <w:p w:rsidR="00AB4B5D" w:rsidRPr="00B67FD6" w:rsidRDefault="00AB4B5D" w:rsidP="00690CA8">
      <w:pPr>
        <w:pStyle w:val="SingleTxtG"/>
        <w:keepNext/>
        <w:rPr>
          <w:lang w:val="fr-FR"/>
        </w:rPr>
      </w:pPr>
      <w:r w:rsidRPr="00B67FD6">
        <w:rPr>
          <w:lang w:val="fr-FR"/>
        </w:rPr>
        <w:t>11.</w:t>
      </w:r>
      <w:r w:rsidRPr="00B67FD6">
        <w:rPr>
          <w:lang w:val="fr-FR"/>
        </w:rPr>
        <w:tab/>
        <w:t>Le débat de politique générale de haut niveau sera accompagné d</w:t>
      </w:r>
      <w:r>
        <w:rPr>
          <w:lang w:val="fr-FR"/>
        </w:rPr>
        <w:t>’</w:t>
      </w:r>
      <w:r w:rsidRPr="00B67FD6">
        <w:rPr>
          <w:lang w:val="fr-FR"/>
        </w:rPr>
        <w:t>expositions et de démonstrations sur des nouvelles technologies liées à l</w:t>
      </w:r>
      <w:r>
        <w:rPr>
          <w:lang w:val="fr-FR"/>
        </w:rPr>
        <w:t>’</w:t>
      </w:r>
      <w:r w:rsidRPr="00B67FD6">
        <w:rPr>
          <w:lang w:val="fr-FR"/>
        </w:rPr>
        <w:t>automatisation dans les transports, notamment</w:t>
      </w:r>
      <w:r w:rsidR="00AF5EC3">
        <w:rPr>
          <w:lang w:val="fr-FR"/>
        </w:rPr>
        <w:t> :</w:t>
      </w:r>
    </w:p>
    <w:p w:rsidR="00AB4B5D" w:rsidRPr="00B67FD6" w:rsidRDefault="00AB4B5D" w:rsidP="006069A8">
      <w:pPr>
        <w:pStyle w:val="Bullet1G"/>
        <w:rPr>
          <w:lang w:val="fr-FR"/>
        </w:rPr>
      </w:pPr>
      <w:r w:rsidRPr="00B67FD6">
        <w:rPr>
          <w:lang w:val="fr-FR"/>
        </w:rPr>
        <w:t>Le transfert des participants dans des navettes et véhicules automatisés</w:t>
      </w:r>
      <w:r w:rsidR="00AF5EC3">
        <w:rPr>
          <w:lang w:val="fr-FR"/>
        </w:rPr>
        <w:t> ;</w:t>
      </w:r>
    </w:p>
    <w:p w:rsidR="00AB4B5D" w:rsidRPr="00B67FD6" w:rsidRDefault="00AB4B5D" w:rsidP="006069A8">
      <w:pPr>
        <w:pStyle w:val="Bullet1G"/>
        <w:rPr>
          <w:lang w:val="fr-FR"/>
        </w:rPr>
      </w:pPr>
      <w:r w:rsidRPr="00B67FD6">
        <w:rPr>
          <w:lang w:val="fr-FR"/>
        </w:rPr>
        <w:t>Des démonstrations de conduite automatisée et autonome</w:t>
      </w:r>
      <w:r w:rsidR="00AF5EC3">
        <w:rPr>
          <w:lang w:val="fr-FR"/>
        </w:rPr>
        <w:t> ;</w:t>
      </w:r>
    </w:p>
    <w:p w:rsidR="00AB4B5D" w:rsidRPr="00B67FD6" w:rsidRDefault="00AB4B5D" w:rsidP="006069A8">
      <w:pPr>
        <w:pStyle w:val="Bullet1G"/>
        <w:rPr>
          <w:lang w:val="fr-FR"/>
        </w:rPr>
      </w:pPr>
      <w:r w:rsidRPr="00B67FD6">
        <w:rPr>
          <w:lang w:val="fr-FR"/>
        </w:rPr>
        <w:t>Des simulateurs de conduite.</w:t>
      </w:r>
    </w:p>
    <w:p w:rsidR="00AB4B5D" w:rsidRPr="00B67FD6" w:rsidRDefault="00AB4B5D" w:rsidP="00690CA8">
      <w:pPr>
        <w:pStyle w:val="H1G"/>
        <w:rPr>
          <w:lang w:val="fr-FR"/>
        </w:rPr>
      </w:pPr>
      <w:r w:rsidRPr="00B67FD6">
        <w:rPr>
          <w:lang w:val="fr-FR"/>
        </w:rPr>
        <w:tab/>
        <w:t>B.</w:t>
      </w:r>
      <w:r w:rsidRPr="00B67FD6">
        <w:rPr>
          <w:lang w:val="fr-FR"/>
        </w:rPr>
        <w:tab/>
        <w:t>Manifestation parallèle intitulée « L</w:t>
      </w:r>
      <w:r>
        <w:rPr>
          <w:lang w:val="fr-FR"/>
        </w:rPr>
        <w:t>’</w:t>
      </w:r>
      <w:r w:rsidRPr="00B67FD6">
        <w:rPr>
          <w:lang w:val="fr-FR"/>
        </w:rPr>
        <w:t xml:space="preserve">automatisation </w:t>
      </w:r>
      <w:r w:rsidR="00690CA8">
        <w:rPr>
          <w:lang w:val="fr-FR"/>
        </w:rPr>
        <w:br/>
      </w:r>
      <w:r w:rsidRPr="00B67FD6">
        <w:rPr>
          <w:lang w:val="fr-FR"/>
        </w:rPr>
        <w:t>dans les transports</w:t>
      </w:r>
      <w:r w:rsidR="00AF5EC3">
        <w:rPr>
          <w:lang w:val="fr-FR"/>
        </w:rPr>
        <w:t> :</w:t>
      </w:r>
      <w:r w:rsidRPr="00B67FD6">
        <w:rPr>
          <w:lang w:val="fr-FR"/>
        </w:rPr>
        <w:t xml:space="preserve"> faire circuler des véhicules </w:t>
      </w:r>
      <w:r w:rsidR="00690CA8">
        <w:rPr>
          <w:lang w:val="fr-FR"/>
        </w:rPr>
        <w:br/>
      </w:r>
      <w:r w:rsidRPr="00B67FD6">
        <w:rPr>
          <w:lang w:val="fr-FR"/>
        </w:rPr>
        <w:t>automatisés en toute sécurité » (18 février 2019)</w:t>
      </w:r>
    </w:p>
    <w:p w:rsidR="00AB4B5D" w:rsidRPr="00B67FD6" w:rsidRDefault="00AB4B5D" w:rsidP="00690CA8">
      <w:pPr>
        <w:pStyle w:val="SingleTxtG"/>
        <w:rPr>
          <w:lang w:val="fr-FR"/>
        </w:rPr>
      </w:pPr>
      <w:r w:rsidRPr="00B67FD6">
        <w:rPr>
          <w:lang w:val="fr-FR"/>
        </w:rPr>
        <w:t>12.</w:t>
      </w:r>
      <w:r w:rsidRPr="00B67FD6">
        <w:rPr>
          <w:lang w:val="fr-FR"/>
        </w:rPr>
        <w:tab/>
        <w:t>Cette manifestation durera toute la journée et sera organisée conjointement par le Forum mondial de la sécurité routière (WP.1) et le Forum mondial de l</w:t>
      </w:r>
      <w:r>
        <w:rPr>
          <w:lang w:val="fr-FR"/>
        </w:rPr>
        <w:t>’</w:t>
      </w:r>
      <w:r w:rsidRPr="00B67FD6">
        <w:rPr>
          <w:lang w:val="fr-FR"/>
        </w:rPr>
        <w:t>harmonisation des Règlements concernant les véhicules (WP.29), en application d</w:t>
      </w:r>
      <w:r>
        <w:rPr>
          <w:lang w:val="fr-FR"/>
        </w:rPr>
        <w:t>’</w:t>
      </w:r>
      <w:r w:rsidRPr="00B67FD6">
        <w:rPr>
          <w:lang w:val="fr-FR"/>
        </w:rPr>
        <w:t>une décision prise par le Comité (</w:t>
      </w:r>
      <w:hyperlink r:id="rId8" w:history="1">
        <w:r w:rsidRPr="00B67FD6">
          <w:rPr>
            <w:lang w:val="fr-FR"/>
          </w:rPr>
          <w:t>ECE/TRANS/274</w:t>
        </w:r>
      </w:hyperlink>
      <w:r w:rsidR="00FD5A4C">
        <w:rPr>
          <w:lang w:val="fr-FR"/>
        </w:rPr>
        <w:t>, par</w:t>
      </w:r>
      <w:r w:rsidRPr="00B67FD6">
        <w:rPr>
          <w:lang w:val="fr-FR"/>
        </w:rPr>
        <w:t>. 37).</w:t>
      </w:r>
    </w:p>
    <w:p w:rsidR="00AB4B5D" w:rsidRPr="00B67FD6" w:rsidRDefault="00AB4B5D" w:rsidP="00690CA8">
      <w:pPr>
        <w:pStyle w:val="H1G"/>
        <w:rPr>
          <w:lang w:val="fr-FR"/>
        </w:rPr>
      </w:pPr>
      <w:r w:rsidRPr="00B67FD6">
        <w:rPr>
          <w:lang w:val="fr-FR"/>
        </w:rPr>
        <w:tab/>
        <w:t>C.</w:t>
      </w:r>
      <w:r w:rsidRPr="00B67FD6">
        <w:rPr>
          <w:lang w:val="fr-FR"/>
        </w:rPr>
        <w:tab/>
        <w:t>« L</w:t>
      </w:r>
      <w:r>
        <w:rPr>
          <w:lang w:val="fr-FR"/>
        </w:rPr>
        <w:t>’</w:t>
      </w:r>
      <w:r w:rsidRPr="00B67FD6">
        <w:rPr>
          <w:lang w:val="fr-FR"/>
        </w:rPr>
        <w:t>automatisation dans les transports</w:t>
      </w:r>
      <w:r w:rsidR="00AF5EC3">
        <w:rPr>
          <w:lang w:val="fr-FR"/>
        </w:rPr>
        <w:t> :</w:t>
      </w:r>
      <w:r w:rsidRPr="00B67FD6">
        <w:rPr>
          <w:lang w:val="fr-FR"/>
        </w:rPr>
        <w:t xml:space="preserve"> la numérisation </w:t>
      </w:r>
      <w:r w:rsidR="00690CA8">
        <w:rPr>
          <w:lang w:val="fr-FR"/>
        </w:rPr>
        <w:br/>
      </w:r>
      <w:r w:rsidRPr="00B67FD6">
        <w:rPr>
          <w:lang w:val="fr-FR"/>
        </w:rPr>
        <w:t xml:space="preserve">et les documents électroniques comme facteurs de croissance </w:t>
      </w:r>
      <w:r w:rsidR="00690CA8">
        <w:rPr>
          <w:lang w:val="fr-FR"/>
        </w:rPr>
        <w:br/>
      </w:r>
      <w:r w:rsidRPr="00B67FD6">
        <w:rPr>
          <w:lang w:val="fr-FR"/>
        </w:rPr>
        <w:t>et de développement » (après-midi du 19 février 2019)</w:t>
      </w:r>
    </w:p>
    <w:p w:rsidR="00AB4B5D" w:rsidRPr="00B67FD6" w:rsidRDefault="00AB4B5D" w:rsidP="00690CA8">
      <w:pPr>
        <w:pStyle w:val="SingleTxtG"/>
        <w:rPr>
          <w:lang w:val="fr-FR"/>
        </w:rPr>
      </w:pPr>
      <w:r w:rsidRPr="00B67FD6">
        <w:rPr>
          <w:lang w:val="fr-FR"/>
        </w:rPr>
        <w:t>13.</w:t>
      </w:r>
      <w:r w:rsidRPr="00B67FD6">
        <w:rPr>
          <w:lang w:val="fr-FR"/>
        </w:rPr>
        <w:tab/>
        <w:t>Une réunion d</w:t>
      </w:r>
      <w:r>
        <w:rPr>
          <w:lang w:val="fr-FR"/>
        </w:rPr>
        <w:t>’</w:t>
      </w:r>
      <w:r w:rsidRPr="00B67FD6">
        <w:rPr>
          <w:lang w:val="fr-FR"/>
        </w:rPr>
        <w:t>une demi-journée sur le thème « L</w:t>
      </w:r>
      <w:r>
        <w:rPr>
          <w:lang w:val="fr-FR"/>
        </w:rPr>
        <w:t>’</w:t>
      </w:r>
      <w:r w:rsidRPr="00B67FD6">
        <w:rPr>
          <w:lang w:val="fr-FR"/>
        </w:rPr>
        <w:t>automatisation dans les transports</w:t>
      </w:r>
      <w:r w:rsidR="00AF5EC3">
        <w:rPr>
          <w:lang w:val="fr-FR"/>
        </w:rPr>
        <w:t> :</w:t>
      </w:r>
      <w:r w:rsidRPr="00B67FD6">
        <w:rPr>
          <w:lang w:val="fr-FR"/>
        </w:rPr>
        <w:t xml:space="preserve"> la numérisation et les documents électroniques comme facteurs de croissance et de développement » se tiendra en même temps que la session restreinte du Comité sur l</w:t>
      </w:r>
      <w:r>
        <w:rPr>
          <w:lang w:val="fr-FR"/>
        </w:rPr>
        <w:t>’</w:t>
      </w:r>
      <w:r w:rsidRPr="00B67FD6">
        <w:rPr>
          <w:lang w:val="fr-FR"/>
        </w:rPr>
        <w:t>adoption de sa stratégie à l</w:t>
      </w:r>
      <w:r>
        <w:rPr>
          <w:lang w:val="fr-FR"/>
        </w:rPr>
        <w:t>’</w:t>
      </w:r>
      <w:r w:rsidRPr="00B67FD6">
        <w:rPr>
          <w:lang w:val="fr-FR"/>
        </w:rPr>
        <w:t>horizon 2030. Cette concomitance permettra aux participants de haut niveau qui ne sont pas des représentants de gouvernement, et ne peuvent donc pas assister à la séance restreinte, ainsi qu</w:t>
      </w:r>
      <w:r>
        <w:rPr>
          <w:lang w:val="fr-FR"/>
        </w:rPr>
        <w:t>’</w:t>
      </w:r>
      <w:r w:rsidRPr="00B67FD6">
        <w:rPr>
          <w:lang w:val="fr-FR"/>
        </w:rPr>
        <w:t>aux plus grandes délégations</w:t>
      </w:r>
      <w:r w:rsidR="009247D2">
        <w:rPr>
          <w:lang w:val="fr-FR"/>
        </w:rPr>
        <w:t>,</w:t>
      </w:r>
      <w:r w:rsidRPr="00B67FD6">
        <w:rPr>
          <w:lang w:val="fr-FR"/>
        </w:rPr>
        <w:t xml:space="preserve"> de prendre part à un dialogue constructif sur les avantages de la numérisation, dans le cadre des projets </w:t>
      </w:r>
      <w:proofErr w:type="spellStart"/>
      <w:r w:rsidRPr="00B67FD6">
        <w:rPr>
          <w:lang w:val="fr-FR"/>
        </w:rPr>
        <w:t>eTIR</w:t>
      </w:r>
      <w:proofErr w:type="spellEnd"/>
      <w:r w:rsidRPr="00B67FD6">
        <w:rPr>
          <w:lang w:val="fr-FR"/>
        </w:rPr>
        <w:t xml:space="preserve"> et </w:t>
      </w:r>
      <w:proofErr w:type="spellStart"/>
      <w:r w:rsidRPr="00B67FD6">
        <w:rPr>
          <w:lang w:val="fr-FR"/>
        </w:rPr>
        <w:t>eCMR</w:t>
      </w:r>
      <w:proofErr w:type="spellEnd"/>
      <w:r w:rsidRPr="00B67FD6">
        <w:t xml:space="preserve"> par exemple</w:t>
      </w:r>
      <w:r w:rsidRPr="00B67FD6">
        <w:rPr>
          <w:lang w:val="fr-FR"/>
        </w:rPr>
        <w:t>, pour le commerce, la croissance et le développement, et d</w:t>
      </w:r>
      <w:r>
        <w:rPr>
          <w:lang w:val="fr-FR"/>
        </w:rPr>
        <w:t>’</w:t>
      </w:r>
      <w:r w:rsidRPr="00B67FD6">
        <w:rPr>
          <w:lang w:val="fr-FR"/>
        </w:rPr>
        <w:t xml:space="preserve">aborder les points de blocage actuels sur les plans réglementaire, stratégique et technique.  </w:t>
      </w:r>
    </w:p>
    <w:p w:rsidR="00AB4B5D" w:rsidRPr="00690CA8" w:rsidRDefault="00AB4B5D" w:rsidP="00690CA8">
      <w:pPr>
        <w:pStyle w:val="HChG"/>
        <w:rPr>
          <w:lang w:val="fr-FR"/>
        </w:rPr>
      </w:pPr>
      <w:r w:rsidRPr="00B67FD6">
        <w:rPr>
          <w:lang w:val="fr-FR"/>
        </w:rPr>
        <w:br w:type="page"/>
      </w:r>
      <w:r w:rsidRPr="00B67FD6">
        <w:rPr>
          <w:lang w:val="fr-FR"/>
        </w:rPr>
        <w:lastRenderedPageBreak/>
        <w:t>Annexe I</w:t>
      </w:r>
    </w:p>
    <w:p w:rsidR="00AB4B5D" w:rsidRPr="00B67FD6" w:rsidRDefault="00AB4B5D" w:rsidP="00690CA8">
      <w:pPr>
        <w:pStyle w:val="HChG"/>
        <w:rPr>
          <w:lang w:val="fr-FR"/>
        </w:rPr>
      </w:pPr>
      <w:r w:rsidRPr="00B67FD6">
        <w:rPr>
          <w:lang w:val="fr-FR"/>
        </w:rPr>
        <w:tab/>
      </w:r>
      <w:r w:rsidRPr="00B67FD6">
        <w:rPr>
          <w:lang w:val="fr-FR"/>
        </w:rPr>
        <w:tab/>
        <w:t>Projet de programme (18-22 février 2019)</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7"/>
        <w:gridCol w:w="1448"/>
        <w:gridCol w:w="3929"/>
        <w:gridCol w:w="2793"/>
        <w:gridCol w:w="422"/>
      </w:tblGrid>
      <w:tr w:rsidR="009179E5" w:rsidRPr="00B67FD6" w:rsidTr="00933D39">
        <w:trPr>
          <w:jc w:val="center"/>
        </w:trPr>
        <w:tc>
          <w:tcPr>
            <w:tcW w:w="543" w:type="pct"/>
            <w:shd w:val="clear" w:color="auto" w:fill="auto"/>
            <w:vAlign w:val="center"/>
            <w:hideMark/>
          </w:tcPr>
          <w:p w:rsidR="00AB4B5D" w:rsidRPr="00B67FD6" w:rsidRDefault="00AB4B5D"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sidRPr="00B67FD6">
              <w:rPr>
                <w:rFonts w:eastAsia="Times New Roman"/>
                <w:b/>
                <w:bCs/>
                <w:color w:val="000000"/>
                <w:szCs w:val="24"/>
                <w:lang w:val="fr-FR" w:eastAsia="zh-CN"/>
              </w:rPr>
              <w:t xml:space="preserve">Lundi </w:t>
            </w:r>
            <w:r w:rsidRPr="00B67FD6">
              <w:rPr>
                <w:rFonts w:eastAsia="Times New Roman"/>
                <w:b/>
                <w:bCs/>
                <w:color w:val="000000"/>
                <w:szCs w:val="24"/>
                <w:lang w:val="fr-FR" w:eastAsia="zh-CN"/>
              </w:rPr>
              <w:br/>
              <w:t>18 février</w:t>
            </w:r>
          </w:p>
        </w:tc>
        <w:tc>
          <w:tcPr>
            <w:tcW w:w="751" w:type="pct"/>
            <w:shd w:val="clear" w:color="auto" w:fill="auto"/>
            <w:vAlign w:val="center"/>
            <w:hideMark/>
          </w:tcPr>
          <w:p w:rsidR="00AB4B5D" w:rsidRPr="00B67FD6" w:rsidRDefault="00B075C7"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Pr>
                <w:rFonts w:eastAsia="Times New Roman"/>
                <w:b/>
                <w:bCs/>
                <w:color w:val="000000"/>
                <w:szCs w:val="24"/>
                <w:lang w:val="fr-FR" w:eastAsia="zh-CN"/>
              </w:rPr>
              <w:t>10 h</w:t>
            </w:r>
            <w:r w:rsidR="009179E5">
              <w:rPr>
                <w:rFonts w:eastAsia="Times New Roman"/>
                <w:b/>
                <w:bCs/>
                <w:color w:val="000000"/>
                <w:szCs w:val="24"/>
                <w:lang w:val="fr-FR" w:eastAsia="zh-CN"/>
              </w:rPr>
              <w:t> 00</w:t>
            </w:r>
            <w:r>
              <w:rPr>
                <w:rFonts w:eastAsia="Times New Roman"/>
                <w:b/>
                <w:bCs/>
                <w:color w:val="000000"/>
                <w:szCs w:val="24"/>
                <w:lang w:val="fr-FR" w:eastAsia="zh-CN"/>
              </w:rPr>
              <w:t>-18 h</w:t>
            </w:r>
            <w:r w:rsidR="009179E5">
              <w:rPr>
                <w:rFonts w:eastAsia="Times New Roman"/>
                <w:b/>
                <w:bCs/>
                <w:color w:val="000000"/>
                <w:szCs w:val="24"/>
                <w:lang w:val="fr-FR" w:eastAsia="zh-CN"/>
              </w:rPr>
              <w:t> 00</w:t>
            </w:r>
          </w:p>
        </w:tc>
        <w:tc>
          <w:tcPr>
            <w:tcW w:w="2038" w:type="pct"/>
            <w:shd w:val="clear" w:color="000000" w:fill="FFC7CE"/>
            <w:vAlign w:val="center"/>
            <w:hideMark/>
          </w:tcPr>
          <w:p w:rsidR="00AB4B5D" w:rsidRPr="00B67FD6" w:rsidRDefault="00AB4B5D" w:rsidP="00AA1F64">
            <w:pPr>
              <w:suppressAutoHyphens w:val="0"/>
              <w:kinsoku/>
              <w:overflowPunct/>
              <w:autoSpaceDE/>
              <w:autoSpaceDN/>
              <w:adjustRightInd/>
              <w:snapToGrid/>
              <w:spacing w:before="60" w:after="60" w:line="240" w:lineRule="auto"/>
              <w:jc w:val="center"/>
              <w:rPr>
                <w:rFonts w:eastAsia="Times New Roman"/>
                <w:b/>
                <w:bCs/>
                <w:szCs w:val="24"/>
                <w:lang w:val="fr-FR" w:eastAsia="zh-CN"/>
              </w:rPr>
            </w:pPr>
            <w:r w:rsidRPr="00B67FD6">
              <w:rPr>
                <w:rFonts w:eastAsia="Times New Roman"/>
                <w:b/>
                <w:bCs/>
                <w:szCs w:val="24"/>
                <w:lang w:val="fr-FR" w:eastAsia="zh-CN"/>
              </w:rPr>
              <w:t>Manifestation parallèle 1</w:t>
            </w:r>
            <w:r w:rsidR="00AF5EC3">
              <w:rPr>
                <w:rFonts w:eastAsia="Times New Roman"/>
                <w:b/>
                <w:bCs/>
                <w:szCs w:val="24"/>
                <w:lang w:val="fr-FR" w:eastAsia="zh-CN"/>
              </w:rPr>
              <w:t> :</w:t>
            </w:r>
            <w:r w:rsidRPr="00B67FD6">
              <w:rPr>
                <w:rFonts w:eastAsia="Times New Roman"/>
                <w:b/>
                <w:bCs/>
                <w:szCs w:val="24"/>
                <w:lang w:val="fr-FR" w:eastAsia="zh-CN"/>
              </w:rPr>
              <w:t xml:space="preserve"> manifestation conjointe au WP.1 et au WP.29</w:t>
            </w:r>
            <w:r w:rsidRPr="00AA1F64">
              <w:rPr>
                <w:rFonts w:eastAsia="Times New Roman"/>
                <w:bCs/>
                <w:szCs w:val="24"/>
                <w:lang w:val="fr-FR" w:eastAsia="zh-CN"/>
              </w:rPr>
              <w:t>*</w:t>
            </w:r>
            <w:r w:rsidRPr="00B67FD6">
              <w:rPr>
                <w:rFonts w:eastAsia="Times New Roman"/>
                <w:b/>
                <w:bCs/>
                <w:szCs w:val="24"/>
                <w:lang w:val="fr-FR" w:eastAsia="zh-CN"/>
              </w:rPr>
              <w:br/>
            </w:r>
            <w:r w:rsidRPr="00B67FD6">
              <w:rPr>
                <w:rFonts w:eastAsia="Times New Roman"/>
                <w:b/>
                <w:bCs/>
                <w:color w:val="000000"/>
                <w:szCs w:val="24"/>
                <w:lang w:val="fr-FR" w:eastAsia="zh-CN"/>
              </w:rPr>
              <w:t>Salle</w:t>
            </w:r>
            <w:r w:rsidRPr="00B67FD6">
              <w:rPr>
                <w:rFonts w:eastAsia="Times New Roman"/>
                <w:b/>
                <w:bCs/>
                <w:szCs w:val="24"/>
                <w:lang w:val="fr-FR" w:eastAsia="zh-CN"/>
              </w:rPr>
              <w:t xml:space="preserve"> XVII</w:t>
            </w:r>
          </w:p>
        </w:tc>
        <w:tc>
          <w:tcPr>
            <w:tcW w:w="1449" w:type="pct"/>
            <w:shd w:val="clear" w:color="000000" w:fill="92D050"/>
            <w:vAlign w:val="center"/>
            <w:hideMark/>
          </w:tcPr>
          <w:p w:rsidR="00AB4B5D" w:rsidRPr="00B67FD6" w:rsidRDefault="00AB4B5D"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sidRPr="00B67FD6">
              <w:rPr>
                <w:rFonts w:eastAsia="Times New Roman"/>
                <w:b/>
                <w:bCs/>
                <w:color w:val="000000"/>
                <w:szCs w:val="24"/>
                <w:lang w:val="fr-FR" w:eastAsia="zh-CN"/>
              </w:rPr>
              <w:t>Réunion du Bureau du CTI</w:t>
            </w:r>
            <w:r w:rsidRPr="00AA1F64">
              <w:rPr>
                <w:rFonts w:eastAsia="Times New Roman"/>
                <w:bCs/>
                <w:color w:val="000000"/>
                <w:szCs w:val="24"/>
                <w:lang w:val="fr-FR" w:eastAsia="zh-CN"/>
              </w:rPr>
              <w:t>*</w:t>
            </w:r>
            <w:r w:rsidRPr="00B67FD6">
              <w:rPr>
                <w:rFonts w:eastAsia="Times New Roman"/>
                <w:b/>
                <w:bCs/>
                <w:color w:val="000000"/>
                <w:szCs w:val="24"/>
                <w:lang w:val="fr-FR" w:eastAsia="zh-CN"/>
              </w:rPr>
              <w:br/>
              <w:t>Salle VII</w:t>
            </w:r>
          </w:p>
        </w:tc>
        <w:tc>
          <w:tcPr>
            <w:tcW w:w="219" w:type="pct"/>
            <w:vMerge w:val="restart"/>
            <w:shd w:val="clear" w:color="000000" w:fill="FFF2CC"/>
            <w:textDirection w:val="tbRl"/>
            <w:vAlign w:val="center"/>
            <w:hideMark/>
          </w:tcPr>
          <w:p w:rsidR="00AB4B5D" w:rsidRPr="00B67FD6" w:rsidRDefault="00AB4B5D" w:rsidP="00FC315A">
            <w:pPr>
              <w:suppressAutoHyphens w:val="0"/>
              <w:kinsoku/>
              <w:overflowPunct/>
              <w:autoSpaceDE/>
              <w:autoSpaceDN/>
              <w:adjustRightInd/>
              <w:snapToGrid/>
              <w:spacing w:before="60" w:after="60" w:line="240" w:lineRule="auto"/>
              <w:ind w:left="113" w:right="113"/>
              <w:jc w:val="center"/>
              <w:rPr>
                <w:rFonts w:eastAsia="Times New Roman"/>
                <w:b/>
                <w:bCs/>
                <w:color w:val="000000"/>
                <w:szCs w:val="24"/>
                <w:lang w:val="fr-FR" w:eastAsia="zh-CN"/>
              </w:rPr>
            </w:pPr>
            <w:r w:rsidRPr="00B67FD6">
              <w:rPr>
                <w:rFonts w:eastAsia="Times New Roman"/>
                <w:b/>
                <w:bCs/>
                <w:color w:val="000000"/>
                <w:szCs w:val="24"/>
                <w:lang w:val="fr-FR" w:eastAsia="zh-CN"/>
              </w:rPr>
              <w:t>Expositions et démonstrations 2019</w:t>
            </w:r>
          </w:p>
        </w:tc>
      </w:tr>
      <w:tr w:rsidR="005B75DE" w:rsidRPr="00B67FD6" w:rsidTr="00933D39">
        <w:trPr>
          <w:jc w:val="center"/>
        </w:trPr>
        <w:tc>
          <w:tcPr>
            <w:tcW w:w="543" w:type="pct"/>
            <w:vMerge w:val="restart"/>
            <w:shd w:val="clear" w:color="auto" w:fill="auto"/>
            <w:vAlign w:val="center"/>
            <w:hideMark/>
          </w:tcPr>
          <w:p w:rsidR="00AB4B5D" w:rsidRPr="00B67FD6" w:rsidRDefault="00AB4B5D"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sidRPr="00B67FD6">
              <w:rPr>
                <w:rFonts w:eastAsia="Times New Roman"/>
                <w:b/>
                <w:bCs/>
                <w:color w:val="000000"/>
                <w:szCs w:val="24"/>
                <w:lang w:val="fr-FR" w:eastAsia="zh-CN"/>
              </w:rPr>
              <w:t xml:space="preserve">Mardi </w:t>
            </w:r>
            <w:r w:rsidRPr="00B67FD6">
              <w:rPr>
                <w:rFonts w:eastAsia="Times New Roman"/>
                <w:b/>
                <w:bCs/>
                <w:color w:val="000000"/>
                <w:szCs w:val="24"/>
                <w:lang w:val="fr-FR" w:eastAsia="zh-CN"/>
              </w:rPr>
              <w:br/>
              <w:t>19 février</w:t>
            </w:r>
          </w:p>
        </w:tc>
        <w:tc>
          <w:tcPr>
            <w:tcW w:w="751" w:type="pct"/>
            <w:shd w:val="clear" w:color="auto" w:fill="auto"/>
            <w:vAlign w:val="center"/>
            <w:hideMark/>
          </w:tcPr>
          <w:p w:rsidR="00AB4B5D" w:rsidRPr="00B67FD6" w:rsidRDefault="00EA653E"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Pr>
                <w:rFonts w:eastAsia="Times New Roman"/>
                <w:b/>
                <w:bCs/>
                <w:color w:val="000000"/>
                <w:szCs w:val="24"/>
                <w:lang w:val="fr-FR" w:eastAsia="zh-CN"/>
              </w:rPr>
              <w:t>10 h</w:t>
            </w:r>
            <w:r w:rsidR="009179E5">
              <w:rPr>
                <w:rFonts w:eastAsia="Times New Roman"/>
                <w:b/>
                <w:bCs/>
                <w:color w:val="000000"/>
                <w:szCs w:val="24"/>
                <w:lang w:val="fr-FR" w:eastAsia="zh-CN"/>
              </w:rPr>
              <w:t> 00</w:t>
            </w:r>
            <w:r>
              <w:rPr>
                <w:rFonts w:eastAsia="Times New Roman"/>
                <w:b/>
                <w:bCs/>
                <w:color w:val="000000"/>
                <w:szCs w:val="24"/>
                <w:lang w:val="fr-FR" w:eastAsia="zh-CN"/>
              </w:rPr>
              <w:t>-1</w:t>
            </w:r>
            <w:r>
              <w:rPr>
                <w:rFonts w:eastAsia="Times New Roman"/>
                <w:b/>
                <w:bCs/>
                <w:color w:val="000000"/>
                <w:szCs w:val="24"/>
                <w:lang w:val="fr-FR" w:eastAsia="zh-CN"/>
              </w:rPr>
              <w:t>3</w:t>
            </w:r>
            <w:r>
              <w:rPr>
                <w:rFonts w:eastAsia="Times New Roman"/>
                <w:b/>
                <w:bCs/>
                <w:color w:val="000000"/>
                <w:szCs w:val="24"/>
                <w:lang w:val="fr-FR" w:eastAsia="zh-CN"/>
              </w:rPr>
              <w:t> h</w:t>
            </w:r>
            <w:r w:rsidR="009179E5">
              <w:rPr>
                <w:rFonts w:eastAsia="Times New Roman"/>
                <w:b/>
                <w:bCs/>
                <w:color w:val="000000"/>
                <w:szCs w:val="24"/>
                <w:lang w:val="fr-FR" w:eastAsia="zh-CN"/>
              </w:rPr>
              <w:t> 00</w:t>
            </w:r>
          </w:p>
        </w:tc>
        <w:tc>
          <w:tcPr>
            <w:tcW w:w="3487" w:type="pct"/>
            <w:gridSpan w:val="2"/>
            <w:shd w:val="clear" w:color="000000" w:fill="9BC2E6"/>
            <w:vAlign w:val="center"/>
            <w:hideMark/>
          </w:tcPr>
          <w:p w:rsidR="00AB4B5D" w:rsidRPr="00B67FD6" w:rsidRDefault="00AB4B5D"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sidRPr="00B67FD6">
              <w:rPr>
                <w:rFonts w:eastAsia="Times New Roman"/>
                <w:b/>
                <w:bCs/>
                <w:color w:val="000000"/>
                <w:szCs w:val="24"/>
                <w:lang w:val="fr-FR" w:eastAsia="zh-CN"/>
              </w:rPr>
              <w:t>Débat de politique générale de haut niveau du CTI</w:t>
            </w:r>
            <w:r w:rsidRPr="00290DE2">
              <w:rPr>
                <w:rFonts w:eastAsia="Times New Roman"/>
                <w:bCs/>
                <w:color w:val="000000"/>
                <w:szCs w:val="24"/>
                <w:lang w:val="fr-FR" w:eastAsia="zh-CN"/>
              </w:rPr>
              <w:t>*</w:t>
            </w:r>
            <w:r w:rsidRPr="00290DE2">
              <w:rPr>
                <w:rFonts w:eastAsia="Times New Roman"/>
                <w:bCs/>
                <w:color w:val="000000"/>
                <w:szCs w:val="24"/>
                <w:lang w:val="fr-FR" w:eastAsia="zh-CN"/>
              </w:rPr>
              <w:br/>
            </w:r>
            <w:r w:rsidRPr="00B67FD6">
              <w:rPr>
                <w:rFonts w:eastAsia="Times New Roman"/>
                <w:b/>
                <w:bCs/>
                <w:color w:val="000000"/>
                <w:szCs w:val="24"/>
                <w:lang w:val="fr-FR" w:eastAsia="zh-CN"/>
              </w:rPr>
              <w:t>Salle XVII</w:t>
            </w:r>
          </w:p>
        </w:tc>
        <w:tc>
          <w:tcPr>
            <w:tcW w:w="219" w:type="pct"/>
            <w:vMerge/>
            <w:textDirection w:val="tbRl"/>
            <w:vAlign w:val="center"/>
            <w:hideMark/>
          </w:tcPr>
          <w:p w:rsidR="00AB4B5D" w:rsidRPr="00B67FD6" w:rsidRDefault="00AB4B5D" w:rsidP="00FC315A">
            <w:pPr>
              <w:suppressAutoHyphens w:val="0"/>
              <w:kinsoku/>
              <w:overflowPunct/>
              <w:autoSpaceDE/>
              <w:autoSpaceDN/>
              <w:adjustRightInd/>
              <w:snapToGrid/>
              <w:spacing w:before="60" w:after="60" w:line="240" w:lineRule="auto"/>
              <w:ind w:left="113" w:right="113"/>
              <w:jc w:val="center"/>
              <w:rPr>
                <w:rFonts w:eastAsia="Times New Roman"/>
                <w:b/>
                <w:bCs/>
                <w:color w:val="000000"/>
                <w:szCs w:val="24"/>
                <w:lang w:val="fr-FR" w:eastAsia="zh-CN"/>
              </w:rPr>
            </w:pPr>
          </w:p>
        </w:tc>
      </w:tr>
      <w:tr w:rsidR="005B75DE" w:rsidRPr="00B67FD6" w:rsidTr="00933D39">
        <w:trPr>
          <w:jc w:val="center"/>
        </w:trPr>
        <w:tc>
          <w:tcPr>
            <w:tcW w:w="543" w:type="pct"/>
            <w:vMerge/>
            <w:vAlign w:val="center"/>
            <w:hideMark/>
          </w:tcPr>
          <w:p w:rsidR="00AB4B5D" w:rsidRPr="00B67FD6" w:rsidRDefault="00AB4B5D" w:rsidP="00AA1F64">
            <w:pPr>
              <w:suppressAutoHyphens w:val="0"/>
              <w:kinsoku/>
              <w:overflowPunct/>
              <w:autoSpaceDE/>
              <w:autoSpaceDN/>
              <w:adjustRightInd/>
              <w:snapToGrid/>
              <w:spacing w:before="60" w:after="60" w:line="240" w:lineRule="auto"/>
              <w:rPr>
                <w:rFonts w:eastAsia="Times New Roman"/>
                <w:b/>
                <w:bCs/>
                <w:color w:val="000000"/>
                <w:szCs w:val="24"/>
                <w:lang w:val="fr-FR" w:eastAsia="zh-CN"/>
              </w:rPr>
            </w:pPr>
          </w:p>
        </w:tc>
        <w:tc>
          <w:tcPr>
            <w:tcW w:w="751" w:type="pct"/>
            <w:shd w:val="clear" w:color="auto" w:fill="auto"/>
            <w:vAlign w:val="center"/>
            <w:hideMark/>
          </w:tcPr>
          <w:p w:rsidR="00AB4B5D" w:rsidRPr="00B67FD6" w:rsidRDefault="00EA653E"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Pr>
                <w:rFonts w:eastAsia="Times New Roman"/>
                <w:b/>
                <w:bCs/>
                <w:color w:val="000000"/>
                <w:szCs w:val="24"/>
                <w:lang w:val="fr-FR" w:eastAsia="zh-CN"/>
              </w:rPr>
              <w:t>13 h</w:t>
            </w:r>
            <w:r w:rsidR="009179E5">
              <w:rPr>
                <w:rFonts w:eastAsia="Times New Roman"/>
                <w:b/>
                <w:bCs/>
                <w:color w:val="000000"/>
                <w:szCs w:val="24"/>
                <w:lang w:val="fr-FR" w:eastAsia="zh-CN"/>
              </w:rPr>
              <w:t> 00</w:t>
            </w:r>
            <w:r>
              <w:rPr>
                <w:rFonts w:eastAsia="Times New Roman"/>
                <w:b/>
                <w:bCs/>
                <w:color w:val="000000"/>
                <w:szCs w:val="24"/>
                <w:lang w:val="fr-FR" w:eastAsia="zh-CN"/>
              </w:rPr>
              <w:t>-15 h</w:t>
            </w:r>
            <w:r w:rsidR="009179E5">
              <w:rPr>
                <w:rFonts w:eastAsia="Times New Roman"/>
                <w:b/>
                <w:bCs/>
                <w:color w:val="000000"/>
                <w:szCs w:val="24"/>
                <w:lang w:val="fr-FR" w:eastAsia="zh-CN"/>
              </w:rPr>
              <w:t> 00</w:t>
            </w:r>
          </w:p>
        </w:tc>
        <w:tc>
          <w:tcPr>
            <w:tcW w:w="3487" w:type="pct"/>
            <w:gridSpan w:val="2"/>
            <w:shd w:val="clear" w:color="auto" w:fill="auto"/>
            <w:vAlign w:val="center"/>
            <w:hideMark/>
          </w:tcPr>
          <w:p w:rsidR="00AB4B5D" w:rsidRPr="00B67FD6" w:rsidRDefault="00AB4B5D"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sidRPr="00B67FD6">
              <w:rPr>
                <w:rFonts w:eastAsia="Times New Roman"/>
                <w:b/>
                <w:bCs/>
                <w:color w:val="000000"/>
                <w:szCs w:val="24"/>
                <w:lang w:val="fr-FR" w:eastAsia="zh-CN"/>
              </w:rPr>
              <w:t>Pause-déjeuner</w:t>
            </w:r>
          </w:p>
        </w:tc>
        <w:tc>
          <w:tcPr>
            <w:tcW w:w="219" w:type="pct"/>
            <w:vMerge/>
            <w:textDirection w:val="tbRl"/>
            <w:vAlign w:val="center"/>
            <w:hideMark/>
          </w:tcPr>
          <w:p w:rsidR="00AB4B5D" w:rsidRPr="00B67FD6" w:rsidRDefault="00AB4B5D" w:rsidP="00FC315A">
            <w:pPr>
              <w:suppressAutoHyphens w:val="0"/>
              <w:kinsoku/>
              <w:overflowPunct/>
              <w:autoSpaceDE/>
              <w:autoSpaceDN/>
              <w:adjustRightInd/>
              <w:snapToGrid/>
              <w:spacing w:before="60" w:after="60" w:line="240" w:lineRule="auto"/>
              <w:ind w:left="113" w:right="113"/>
              <w:jc w:val="center"/>
              <w:rPr>
                <w:rFonts w:eastAsia="Times New Roman"/>
                <w:b/>
                <w:bCs/>
                <w:color w:val="000000"/>
                <w:szCs w:val="24"/>
                <w:lang w:val="fr-FR" w:eastAsia="zh-CN"/>
              </w:rPr>
            </w:pPr>
          </w:p>
        </w:tc>
      </w:tr>
      <w:tr w:rsidR="009179E5" w:rsidRPr="00B67FD6" w:rsidTr="00933D39">
        <w:trPr>
          <w:jc w:val="center"/>
        </w:trPr>
        <w:tc>
          <w:tcPr>
            <w:tcW w:w="543" w:type="pct"/>
            <w:vMerge/>
            <w:vAlign w:val="center"/>
            <w:hideMark/>
          </w:tcPr>
          <w:p w:rsidR="00AB4B5D" w:rsidRPr="00B67FD6" w:rsidRDefault="00AB4B5D" w:rsidP="00AA1F64">
            <w:pPr>
              <w:suppressAutoHyphens w:val="0"/>
              <w:kinsoku/>
              <w:overflowPunct/>
              <w:autoSpaceDE/>
              <w:autoSpaceDN/>
              <w:adjustRightInd/>
              <w:snapToGrid/>
              <w:spacing w:before="60" w:after="60" w:line="240" w:lineRule="auto"/>
              <w:rPr>
                <w:rFonts w:eastAsia="Times New Roman"/>
                <w:b/>
                <w:bCs/>
                <w:color w:val="000000"/>
                <w:szCs w:val="24"/>
                <w:lang w:val="fr-FR" w:eastAsia="zh-CN"/>
              </w:rPr>
            </w:pPr>
          </w:p>
        </w:tc>
        <w:tc>
          <w:tcPr>
            <w:tcW w:w="751" w:type="pct"/>
            <w:shd w:val="clear" w:color="auto" w:fill="auto"/>
            <w:vAlign w:val="center"/>
            <w:hideMark/>
          </w:tcPr>
          <w:p w:rsidR="00AB4B5D" w:rsidRPr="00B67FD6" w:rsidRDefault="00EA653E"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Pr>
                <w:rFonts w:eastAsia="Times New Roman"/>
                <w:b/>
                <w:bCs/>
                <w:color w:val="000000"/>
                <w:szCs w:val="24"/>
                <w:lang w:val="fr-FR" w:eastAsia="zh-CN"/>
              </w:rPr>
              <w:t>15 h</w:t>
            </w:r>
            <w:r w:rsidR="009179E5">
              <w:rPr>
                <w:rFonts w:eastAsia="Times New Roman"/>
                <w:b/>
                <w:bCs/>
                <w:color w:val="000000"/>
                <w:szCs w:val="24"/>
                <w:lang w:val="fr-FR" w:eastAsia="zh-CN"/>
              </w:rPr>
              <w:t> 00</w:t>
            </w:r>
            <w:r>
              <w:rPr>
                <w:rFonts w:eastAsia="Times New Roman"/>
                <w:b/>
                <w:bCs/>
                <w:color w:val="000000"/>
                <w:szCs w:val="24"/>
                <w:lang w:val="fr-FR" w:eastAsia="zh-CN"/>
              </w:rPr>
              <w:t>-18 h</w:t>
            </w:r>
            <w:r w:rsidR="009179E5">
              <w:rPr>
                <w:rFonts w:eastAsia="Times New Roman"/>
                <w:b/>
                <w:bCs/>
                <w:color w:val="000000"/>
                <w:szCs w:val="24"/>
                <w:lang w:val="fr-FR" w:eastAsia="zh-CN"/>
              </w:rPr>
              <w:t> 00</w:t>
            </w:r>
          </w:p>
        </w:tc>
        <w:tc>
          <w:tcPr>
            <w:tcW w:w="2038" w:type="pct"/>
            <w:shd w:val="clear" w:color="000000" w:fill="9BC2E6"/>
            <w:vAlign w:val="center"/>
            <w:hideMark/>
          </w:tcPr>
          <w:p w:rsidR="00AB4B5D" w:rsidRPr="00B67FD6" w:rsidRDefault="00AB4B5D"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sidRPr="00B67FD6">
              <w:rPr>
                <w:rFonts w:eastAsia="Times New Roman"/>
                <w:b/>
                <w:bCs/>
                <w:color w:val="000000"/>
                <w:szCs w:val="24"/>
                <w:lang w:val="fr-FR" w:eastAsia="zh-CN"/>
              </w:rPr>
              <w:t xml:space="preserve">Session annuelle du CTI </w:t>
            </w:r>
            <w:r w:rsidR="008D5326">
              <w:rPr>
                <w:rFonts w:eastAsia="Times New Roman"/>
                <w:b/>
                <w:bCs/>
                <w:color w:val="000000"/>
                <w:szCs w:val="24"/>
                <w:lang w:val="fr-FR" w:eastAsia="zh-CN"/>
              </w:rPr>
              <w:t>−</w:t>
            </w:r>
            <w:r w:rsidRPr="00B67FD6">
              <w:rPr>
                <w:rFonts w:eastAsia="Times New Roman"/>
                <w:b/>
                <w:bCs/>
                <w:color w:val="000000"/>
                <w:szCs w:val="24"/>
                <w:lang w:val="fr-FR" w:eastAsia="zh-CN"/>
              </w:rPr>
              <w:t xml:space="preserve"> Session restreinte</w:t>
            </w:r>
            <w:r w:rsidRPr="00AA1F64">
              <w:rPr>
                <w:rFonts w:eastAsia="Times New Roman"/>
                <w:bCs/>
                <w:color w:val="000000"/>
                <w:szCs w:val="24"/>
                <w:lang w:val="fr-FR" w:eastAsia="zh-CN"/>
              </w:rPr>
              <w:t>*</w:t>
            </w:r>
            <w:r w:rsidRPr="00B67FD6">
              <w:rPr>
                <w:rFonts w:eastAsia="Times New Roman"/>
                <w:b/>
                <w:bCs/>
                <w:color w:val="000000"/>
                <w:szCs w:val="24"/>
                <w:lang w:val="fr-FR" w:eastAsia="zh-CN"/>
              </w:rPr>
              <w:t xml:space="preserve"> aux représentants de </w:t>
            </w:r>
            <w:r w:rsidR="009247D2">
              <w:rPr>
                <w:rFonts w:eastAsia="Times New Roman"/>
                <w:b/>
                <w:bCs/>
                <w:color w:val="000000"/>
                <w:szCs w:val="24"/>
                <w:lang w:val="fr-FR" w:eastAsia="zh-CN"/>
              </w:rPr>
              <w:t>g</w:t>
            </w:r>
            <w:r w:rsidRPr="00B67FD6">
              <w:rPr>
                <w:rFonts w:eastAsia="Times New Roman"/>
                <w:b/>
                <w:bCs/>
                <w:color w:val="000000"/>
                <w:szCs w:val="24"/>
                <w:lang w:val="fr-FR" w:eastAsia="zh-CN"/>
              </w:rPr>
              <w:t xml:space="preserve">ouvernements </w:t>
            </w:r>
            <w:r w:rsidRPr="00B67FD6">
              <w:rPr>
                <w:rFonts w:eastAsia="Times New Roman"/>
                <w:b/>
                <w:bCs/>
                <w:color w:val="000000"/>
                <w:szCs w:val="24"/>
                <w:lang w:val="fr-FR" w:eastAsia="zh-CN"/>
              </w:rPr>
              <w:br/>
              <w:t>Salle XVII</w:t>
            </w:r>
          </w:p>
        </w:tc>
        <w:tc>
          <w:tcPr>
            <w:tcW w:w="1449" w:type="pct"/>
            <w:shd w:val="clear" w:color="000000" w:fill="FFFF00"/>
            <w:vAlign w:val="center"/>
            <w:hideMark/>
          </w:tcPr>
          <w:p w:rsidR="00AB4B5D" w:rsidRPr="00B67FD6" w:rsidRDefault="00AB4B5D"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sidRPr="00B67FD6">
              <w:rPr>
                <w:rFonts w:eastAsia="Times New Roman"/>
                <w:b/>
                <w:bCs/>
                <w:color w:val="000000"/>
                <w:szCs w:val="24"/>
                <w:lang w:val="fr-FR" w:eastAsia="zh-CN"/>
              </w:rPr>
              <w:t>Manifestation parallèle 2</w:t>
            </w:r>
            <w:r w:rsidR="00AF5EC3">
              <w:rPr>
                <w:rFonts w:eastAsia="Times New Roman"/>
                <w:b/>
                <w:bCs/>
                <w:color w:val="000000"/>
                <w:szCs w:val="24"/>
                <w:lang w:val="fr-FR" w:eastAsia="zh-CN"/>
              </w:rPr>
              <w:t> :</w:t>
            </w:r>
            <w:r w:rsidRPr="00B67FD6">
              <w:rPr>
                <w:rFonts w:eastAsia="Times New Roman"/>
                <w:b/>
                <w:bCs/>
                <w:color w:val="000000"/>
                <w:szCs w:val="24"/>
                <w:lang w:val="fr-FR" w:eastAsia="zh-CN"/>
              </w:rPr>
              <w:t xml:space="preserve"> Numérisation et documents électroniques</w:t>
            </w:r>
            <w:r w:rsidRPr="00AA1F64">
              <w:rPr>
                <w:rFonts w:eastAsia="Times New Roman"/>
                <w:bCs/>
                <w:color w:val="000000"/>
                <w:szCs w:val="24"/>
                <w:lang w:val="fr-FR" w:eastAsia="zh-CN"/>
              </w:rPr>
              <w:t>*</w:t>
            </w:r>
            <w:r w:rsidRPr="00B67FD6">
              <w:rPr>
                <w:rFonts w:eastAsia="Times New Roman"/>
                <w:b/>
                <w:bCs/>
                <w:color w:val="000000"/>
                <w:szCs w:val="24"/>
                <w:lang w:val="fr-FR" w:eastAsia="zh-CN"/>
              </w:rPr>
              <w:t xml:space="preserve"> </w:t>
            </w:r>
            <w:r w:rsidR="00290DE2">
              <w:rPr>
                <w:rFonts w:eastAsia="Times New Roman"/>
                <w:b/>
                <w:bCs/>
                <w:color w:val="000000"/>
                <w:szCs w:val="24"/>
                <w:lang w:val="fr-FR" w:eastAsia="zh-CN"/>
              </w:rPr>
              <w:t>−</w:t>
            </w:r>
            <w:r w:rsidRPr="00B67FD6">
              <w:rPr>
                <w:rFonts w:eastAsia="Times New Roman"/>
                <w:b/>
                <w:bCs/>
                <w:color w:val="000000"/>
                <w:szCs w:val="24"/>
                <w:lang w:val="fr-FR" w:eastAsia="zh-CN"/>
              </w:rPr>
              <w:t xml:space="preserve"> Salle VII</w:t>
            </w:r>
          </w:p>
        </w:tc>
        <w:tc>
          <w:tcPr>
            <w:tcW w:w="219" w:type="pct"/>
            <w:vMerge/>
            <w:textDirection w:val="tbRl"/>
            <w:vAlign w:val="center"/>
            <w:hideMark/>
          </w:tcPr>
          <w:p w:rsidR="00AB4B5D" w:rsidRPr="00B67FD6" w:rsidRDefault="00AB4B5D" w:rsidP="00FC315A">
            <w:pPr>
              <w:suppressAutoHyphens w:val="0"/>
              <w:kinsoku/>
              <w:overflowPunct/>
              <w:autoSpaceDE/>
              <w:autoSpaceDN/>
              <w:adjustRightInd/>
              <w:snapToGrid/>
              <w:spacing w:before="60" w:after="60" w:line="240" w:lineRule="auto"/>
              <w:ind w:left="113" w:right="113"/>
              <w:jc w:val="center"/>
              <w:rPr>
                <w:rFonts w:eastAsia="Times New Roman"/>
                <w:b/>
                <w:bCs/>
                <w:color w:val="000000"/>
                <w:szCs w:val="24"/>
                <w:lang w:val="fr-FR" w:eastAsia="zh-CN"/>
              </w:rPr>
            </w:pPr>
          </w:p>
        </w:tc>
      </w:tr>
      <w:tr w:rsidR="005B75DE" w:rsidRPr="00B67FD6" w:rsidTr="00933D39">
        <w:trPr>
          <w:jc w:val="center"/>
        </w:trPr>
        <w:tc>
          <w:tcPr>
            <w:tcW w:w="543" w:type="pct"/>
            <w:vMerge/>
            <w:vAlign w:val="center"/>
            <w:hideMark/>
          </w:tcPr>
          <w:p w:rsidR="00AB4B5D" w:rsidRPr="00B67FD6" w:rsidRDefault="00AB4B5D" w:rsidP="00AA1F64">
            <w:pPr>
              <w:suppressAutoHyphens w:val="0"/>
              <w:kinsoku/>
              <w:overflowPunct/>
              <w:autoSpaceDE/>
              <w:autoSpaceDN/>
              <w:adjustRightInd/>
              <w:snapToGrid/>
              <w:spacing w:before="60" w:after="60" w:line="240" w:lineRule="auto"/>
              <w:rPr>
                <w:rFonts w:eastAsia="Times New Roman"/>
                <w:b/>
                <w:bCs/>
                <w:color w:val="000000"/>
                <w:szCs w:val="24"/>
                <w:lang w:val="fr-FR" w:eastAsia="zh-CN"/>
              </w:rPr>
            </w:pPr>
          </w:p>
        </w:tc>
        <w:tc>
          <w:tcPr>
            <w:tcW w:w="751" w:type="pct"/>
            <w:shd w:val="clear" w:color="auto" w:fill="auto"/>
            <w:vAlign w:val="center"/>
            <w:hideMark/>
          </w:tcPr>
          <w:p w:rsidR="00AB4B5D" w:rsidRPr="00B67FD6" w:rsidRDefault="00EA653E"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Pr>
                <w:rFonts w:eastAsia="Times New Roman"/>
                <w:b/>
                <w:bCs/>
                <w:color w:val="000000"/>
                <w:szCs w:val="24"/>
                <w:lang w:val="fr-FR" w:eastAsia="zh-CN"/>
              </w:rPr>
              <w:t>18 h</w:t>
            </w:r>
            <w:r w:rsidR="009179E5">
              <w:rPr>
                <w:rFonts w:eastAsia="Times New Roman"/>
                <w:b/>
                <w:bCs/>
                <w:color w:val="000000"/>
                <w:szCs w:val="24"/>
                <w:lang w:val="fr-FR" w:eastAsia="zh-CN"/>
              </w:rPr>
              <w:t> 00</w:t>
            </w:r>
            <w:r>
              <w:rPr>
                <w:rFonts w:eastAsia="Times New Roman"/>
                <w:b/>
                <w:bCs/>
                <w:color w:val="000000"/>
                <w:szCs w:val="24"/>
                <w:lang w:val="fr-FR" w:eastAsia="zh-CN"/>
              </w:rPr>
              <w:t>-20 h</w:t>
            </w:r>
            <w:r w:rsidR="009179E5">
              <w:rPr>
                <w:rFonts w:eastAsia="Times New Roman"/>
                <w:b/>
                <w:bCs/>
                <w:color w:val="000000"/>
                <w:szCs w:val="24"/>
                <w:lang w:val="fr-FR" w:eastAsia="zh-CN"/>
              </w:rPr>
              <w:t> 00</w:t>
            </w:r>
          </w:p>
        </w:tc>
        <w:tc>
          <w:tcPr>
            <w:tcW w:w="3487" w:type="pct"/>
            <w:gridSpan w:val="2"/>
            <w:shd w:val="clear" w:color="auto" w:fill="auto"/>
            <w:vAlign w:val="center"/>
            <w:hideMark/>
          </w:tcPr>
          <w:p w:rsidR="00AB4B5D" w:rsidRPr="00B67FD6" w:rsidRDefault="00AB4B5D"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sidRPr="00B67FD6">
              <w:rPr>
                <w:rFonts w:eastAsia="Times New Roman"/>
                <w:b/>
                <w:bCs/>
                <w:color w:val="000000"/>
                <w:szCs w:val="24"/>
                <w:lang w:val="fr-FR" w:eastAsia="zh-CN"/>
              </w:rPr>
              <w:t>Cocktail/Réception (Palais des Nations)</w:t>
            </w:r>
          </w:p>
        </w:tc>
        <w:tc>
          <w:tcPr>
            <w:tcW w:w="219" w:type="pct"/>
            <w:vMerge/>
            <w:textDirection w:val="tbRl"/>
            <w:vAlign w:val="center"/>
            <w:hideMark/>
          </w:tcPr>
          <w:p w:rsidR="00AB4B5D" w:rsidRPr="00B67FD6" w:rsidRDefault="00AB4B5D" w:rsidP="00FC315A">
            <w:pPr>
              <w:suppressAutoHyphens w:val="0"/>
              <w:kinsoku/>
              <w:overflowPunct/>
              <w:autoSpaceDE/>
              <w:autoSpaceDN/>
              <w:adjustRightInd/>
              <w:snapToGrid/>
              <w:spacing w:before="60" w:after="60" w:line="240" w:lineRule="auto"/>
              <w:ind w:left="113" w:right="113"/>
              <w:jc w:val="center"/>
              <w:rPr>
                <w:rFonts w:eastAsia="Times New Roman"/>
                <w:b/>
                <w:bCs/>
                <w:color w:val="000000"/>
                <w:szCs w:val="24"/>
                <w:lang w:val="fr-FR" w:eastAsia="zh-CN"/>
              </w:rPr>
            </w:pPr>
          </w:p>
        </w:tc>
      </w:tr>
      <w:tr w:rsidR="005B75DE" w:rsidRPr="00B67FD6" w:rsidTr="00933D39">
        <w:trPr>
          <w:jc w:val="center"/>
        </w:trPr>
        <w:tc>
          <w:tcPr>
            <w:tcW w:w="543" w:type="pct"/>
            <w:vMerge w:val="restart"/>
            <w:shd w:val="clear" w:color="auto" w:fill="auto"/>
            <w:vAlign w:val="center"/>
            <w:hideMark/>
          </w:tcPr>
          <w:p w:rsidR="00EA653E" w:rsidRPr="00B67FD6" w:rsidRDefault="00EA653E"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sidRPr="00B67FD6">
              <w:rPr>
                <w:rFonts w:eastAsia="Times New Roman"/>
                <w:b/>
                <w:bCs/>
                <w:color w:val="000000"/>
                <w:szCs w:val="24"/>
                <w:lang w:val="fr-FR" w:eastAsia="zh-CN"/>
              </w:rPr>
              <w:t>Mercredi</w:t>
            </w:r>
            <w:r w:rsidRPr="00B67FD6">
              <w:rPr>
                <w:rFonts w:eastAsia="Times New Roman"/>
                <w:b/>
                <w:bCs/>
                <w:color w:val="000000"/>
                <w:szCs w:val="24"/>
                <w:lang w:val="fr-FR" w:eastAsia="zh-CN"/>
              </w:rPr>
              <w:br/>
              <w:t>20 février</w:t>
            </w:r>
          </w:p>
        </w:tc>
        <w:tc>
          <w:tcPr>
            <w:tcW w:w="751" w:type="pct"/>
            <w:shd w:val="clear" w:color="auto" w:fill="auto"/>
            <w:vAlign w:val="center"/>
            <w:hideMark/>
          </w:tcPr>
          <w:p w:rsidR="00EA653E" w:rsidRPr="00B67FD6" w:rsidRDefault="00EA653E"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Pr>
                <w:rFonts w:eastAsia="Times New Roman"/>
                <w:b/>
                <w:bCs/>
                <w:color w:val="000000"/>
                <w:szCs w:val="24"/>
                <w:lang w:val="fr-FR" w:eastAsia="zh-CN"/>
              </w:rPr>
              <w:t>10 h</w:t>
            </w:r>
            <w:r w:rsidR="009179E5">
              <w:rPr>
                <w:rFonts w:eastAsia="Times New Roman"/>
                <w:b/>
                <w:bCs/>
                <w:color w:val="000000"/>
                <w:szCs w:val="24"/>
                <w:lang w:val="fr-FR" w:eastAsia="zh-CN"/>
              </w:rPr>
              <w:t> 00</w:t>
            </w:r>
            <w:r>
              <w:rPr>
                <w:rFonts w:eastAsia="Times New Roman"/>
                <w:b/>
                <w:bCs/>
                <w:color w:val="000000"/>
                <w:szCs w:val="24"/>
                <w:lang w:val="fr-FR" w:eastAsia="zh-CN"/>
              </w:rPr>
              <w:t>-13 h</w:t>
            </w:r>
            <w:r w:rsidR="009179E5">
              <w:rPr>
                <w:rFonts w:eastAsia="Times New Roman"/>
                <w:b/>
                <w:bCs/>
                <w:color w:val="000000"/>
                <w:szCs w:val="24"/>
                <w:lang w:val="fr-FR" w:eastAsia="zh-CN"/>
              </w:rPr>
              <w:t> 00</w:t>
            </w:r>
          </w:p>
        </w:tc>
        <w:tc>
          <w:tcPr>
            <w:tcW w:w="3487" w:type="pct"/>
            <w:gridSpan w:val="2"/>
            <w:shd w:val="clear" w:color="000000" w:fill="9BC2E6"/>
            <w:vAlign w:val="center"/>
            <w:hideMark/>
          </w:tcPr>
          <w:p w:rsidR="00EA653E" w:rsidRPr="00B67FD6" w:rsidRDefault="00290DE2"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Pr>
                <w:rFonts w:eastAsia="Times New Roman"/>
                <w:b/>
                <w:bCs/>
                <w:color w:val="000000"/>
                <w:szCs w:val="24"/>
                <w:lang w:val="fr-FR" w:eastAsia="zh-CN"/>
              </w:rPr>
              <w:t>Session annuelle du CTI</w:t>
            </w:r>
            <w:r w:rsidR="00EA653E" w:rsidRPr="00290DE2">
              <w:rPr>
                <w:rFonts w:eastAsia="Times New Roman"/>
                <w:bCs/>
                <w:color w:val="000000"/>
                <w:szCs w:val="24"/>
                <w:lang w:val="fr-FR" w:eastAsia="zh-CN"/>
              </w:rPr>
              <w:t>*</w:t>
            </w:r>
            <w:r w:rsidR="00EA653E" w:rsidRPr="00B67FD6">
              <w:rPr>
                <w:rFonts w:eastAsia="Times New Roman"/>
                <w:b/>
                <w:bCs/>
                <w:color w:val="000000"/>
                <w:szCs w:val="24"/>
                <w:lang w:val="fr-FR" w:eastAsia="zh-CN"/>
              </w:rPr>
              <w:t xml:space="preserve"> </w:t>
            </w:r>
            <w:r w:rsidR="00EA653E" w:rsidRPr="00B67FD6">
              <w:rPr>
                <w:rFonts w:eastAsia="Times New Roman"/>
                <w:b/>
                <w:bCs/>
                <w:color w:val="000000"/>
                <w:szCs w:val="24"/>
                <w:lang w:val="fr-FR" w:eastAsia="zh-CN"/>
              </w:rPr>
              <w:br/>
              <w:t>Session ordinaire</w:t>
            </w:r>
            <w:r w:rsidR="00EA653E" w:rsidRPr="00B67FD6">
              <w:rPr>
                <w:rFonts w:eastAsia="Times New Roman"/>
                <w:b/>
                <w:bCs/>
                <w:color w:val="000000"/>
                <w:szCs w:val="24"/>
                <w:lang w:val="fr-FR" w:eastAsia="zh-CN"/>
              </w:rPr>
              <w:br/>
              <w:t>Salle XVII</w:t>
            </w:r>
          </w:p>
        </w:tc>
        <w:tc>
          <w:tcPr>
            <w:tcW w:w="219" w:type="pct"/>
            <w:vMerge/>
            <w:textDirection w:val="tbRl"/>
            <w:vAlign w:val="center"/>
            <w:hideMark/>
          </w:tcPr>
          <w:p w:rsidR="00EA653E" w:rsidRPr="00B67FD6" w:rsidRDefault="00EA653E" w:rsidP="00FC315A">
            <w:pPr>
              <w:suppressAutoHyphens w:val="0"/>
              <w:kinsoku/>
              <w:overflowPunct/>
              <w:autoSpaceDE/>
              <w:autoSpaceDN/>
              <w:adjustRightInd/>
              <w:snapToGrid/>
              <w:spacing w:before="60" w:after="60" w:line="240" w:lineRule="auto"/>
              <w:ind w:left="113" w:right="113"/>
              <w:jc w:val="center"/>
              <w:rPr>
                <w:rFonts w:eastAsia="Times New Roman"/>
                <w:b/>
                <w:bCs/>
                <w:color w:val="000000"/>
                <w:szCs w:val="24"/>
                <w:lang w:val="fr-FR" w:eastAsia="zh-CN"/>
              </w:rPr>
            </w:pPr>
          </w:p>
        </w:tc>
      </w:tr>
      <w:tr w:rsidR="005B75DE" w:rsidRPr="00B67FD6" w:rsidTr="00933D39">
        <w:trPr>
          <w:jc w:val="center"/>
        </w:trPr>
        <w:tc>
          <w:tcPr>
            <w:tcW w:w="543" w:type="pct"/>
            <w:vMerge/>
            <w:vAlign w:val="center"/>
            <w:hideMark/>
          </w:tcPr>
          <w:p w:rsidR="00EA653E" w:rsidRPr="00B67FD6" w:rsidRDefault="00EA653E" w:rsidP="00AA1F64">
            <w:pPr>
              <w:suppressAutoHyphens w:val="0"/>
              <w:kinsoku/>
              <w:overflowPunct/>
              <w:autoSpaceDE/>
              <w:autoSpaceDN/>
              <w:adjustRightInd/>
              <w:snapToGrid/>
              <w:spacing w:before="60" w:after="60" w:line="240" w:lineRule="auto"/>
              <w:rPr>
                <w:rFonts w:eastAsia="Times New Roman"/>
                <w:b/>
                <w:bCs/>
                <w:color w:val="000000"/>
                <w:szCs w:val="24"/>
                <w:lang w:val="fr-FR" w:eastAsia="zh-CN"/>
              </w:rPr>
            </w:pPr>
          </w:p>
        </w:tc>
        <w:tc>
          <w:tcPr>
            <w:tcW w:w="751" w:type="pct"/>
            <w:shd w:val="clear" w:color="auto" w:fill="auto"/>
            <w:vAlign w:val="center"/>
            <w:hideMark/>
          </w:tcPr>
          <w:p w:rsidR="00EA653E" w:rsidRPr="00B67FD6" w:rsidRDefault="00EA653E"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Pr>
                <w:rFonts w:eastAsia="Times New Roman"/>
                <w:b/>
                <w:bCs/>
                <w:color w:val="000000"/>
                <w:szCs w:val="24"/>
                <w:lang w:val="fr-FR" w:eastAsia="zh-CN"/>
              </w:rPr>
              <w:t>13 h</w:t>
            </w:r>
            <w:r w:rsidR="009179E5">
              <w:rPr>
                <w:rFonts w:eastAsia="Times New Roman"/>
                <w:b/>
                <w:bCs/>
                <w:color w:val="000000"/>
                <w:szCs w:val="24"/>
                <w:lang w:val="fr-FR" w:eastAsia="zh-CN"/>
              </w:rPr>
              <w:t> 00</w:t>
            </w:r>
            <w:r>
              <w:rPr>
                <w:rFonts w:eastAsia="Times New Roman"/>
                <w:b/>
                <w:bCs/>
                <w:color w:val="000000"/>
                <w:szCs w:val="24"/>
                <w:lang w:val="fr-FR" w:eastAsia="zh-CN"/>
              </w:rPr>
              <w:t>-15 h</w:t>
            </w:r>
            <w:r w:rsidR="009179E5">
              <w:rPr>
                <w:rFonts w:eastAsia="Times New Roman"/>
                <w:b/>
                <w:bCs/>
                <w:color w:val="000000"/>
                <w:szCs w:val="24"/>
                <w:lang w:val="fr-FR" w:eastAsia="zh-CN"/>
              </w:rPr>
              <w:t> 00</w:t>
            </w:r>
          </w:p>
        </w:tc>
        <w:tc>
          <w:tcPr>
            <w:tcW w:w="3487" w:type="pct"/>
            <w:gridSpan w:val="2"/>
            <w:shd w:val="clear" w:color="auto" w:fill="auto"/>
            <w:vAlign w:val="center"/>
            <w:hideMark/>
          </w:tcPr>
          <w:p w:rsidR="00EA653E" w:rsidRPr="00B67FD6" w:rsidRDefault="00EA653E" w:rsidP="00AA1F64">
            <w:pPr>
              <w:suppressAutoHyphens w:val="0"/>
              <w:kinsoku/>
              <w:overflowPunct/>
              <w:autoSpaceDE/>
              <w:autoSpaceDN/>
              <w:adjustRightInd/>
              <w:snapToGrid/>
              <w:spacing w:before="60" w:after="60" w:line="240" w:lineRule="auto"/>
              <w:jc w:val="center"/>
              <w:rPr>
                <w:rFonts w:eastAsia="Times New Roman"/>
                <w:b/>
                <w:bCs/>
                <w:i/>
                <w:iCs/>
                <w:color w:val="000000"/>
                <w:szCs w:val="24"/>
                <w:lang w:val="fr-FR" w:eastAsia="zh-CN"/>
              </w:rPr>
            </w:pPr>
            <w:r w:rsidRPr="00B67FD6">
              <w:rPr>
                <w:rFonts w:eastAsia="Times New Roman"/>
                <w:b/>
                <w:bCs/>
                <w:i/>
                <w:iCs/>
                <w:color w:val="000000"/>
                <w:szCs w:val="24"/>
                <w:lang w:val="fr-FR" w:eastAsia="zh-CN"/>
              </w:rPr>
              <w:t xml:space="preserve">Pause </w:t>
            </w:r>
          </w:p>
        </w:tc>
        <w:tc>
          <w:tcPr>
            <w:tcW w:w="219" w:type="pct"/>
            <w:vMerge/>
            <w:textDirection w:val="tbRl"/>
            <w:vAlign w:val="center"/>
            <w:hideMark/>
          </w:tcPr>
          <w:p w:rsidR="00EA653E" w:rsidRPr="00B67FD6" w:rsidRDefault="00EA653E" w:rsidP="00FC315A">
            <w:pPr>
              <w:suppressAutoHyphens w:val="0"/>
              <w:kinsoku/>
              <w:overflowPunct/>
              <w:autoSpaceDE/>
              <w:autoSpaceDN/>
              <w:adjustRightInd/>
              <w:snapToGrid/>
              <w:spacing w:before="60" w:after="60" w:line="240" w:lineRule="auto"/>
              <w:ind w:left="113" w:right="113"/>
              <w:jc w:val="center"/>
              <w:rPr>
                <w:rFonts w:eastAsia="Times New Roman"/>
                <w:b/>
                <w:bCs/>
                <w:color w:val="000000"/>
                <w:szCs w:val="24"/>
                <w:lang w:val="fr-FR" w:eastAsia="zh-CN"/>
              </w:rPr>
            </w:pPr>
          </w:p>
        </w:tc>
      </w:tr>
      <w:tr w:rsidR="005B75DE" w:rsidRPr="00B67FD6" w:rsidTr="00933D39">
        <w:trPr>
          <w:jc w:val="center"/>
        </w:trPr>
        <w:tc>
          <w:tcPr>
            <w:tcW w:w="543" w:type="pct"/>
            <w:vMerge/>
            <w:vAlign w:val="center"/>
            <w:hideMark/>
          </w:tcPr>
          <w:p w:rsidR="00EA653E" w:rsidRPr="00B67FD6" w:rsidRDefault="00EA653E" w:rsidP="00AA1F64">
            <w:pPr>
              <w:suppressAutoHyphens w:val="0"/>
              <w:kinsoku/>
              <w:overflowPunct/>
              <w:autoSpaceDE/>
              <w:autoSpaceDN/>
              <w:adjustRightInd/>
              <w:snapToGrid/>
              <w:spacing w:before="60" w:after="60" w:line="240" w:lineRule="auto"/>
              <w:rPr>
                <w:rFonts w:eastAsia="Times New Roman"/>
                <w:b/>
                <w:bCs/>
                <w:color w:val="000000"/>
                <w:szCs w:val="24"/>
                <w:lang w:val="fr-FR" w:eastAsia="zh-CN"/>
              </w:rPr>
            </w:pPr>
          </w:p>
        </w:tc>
        <w:tc>
          <w:tcPr>
            <w:tcW w:w="751" w:type="pct"/>
            <w:shd w:val="clear" w:color="auto" w:fill="auto"/>
            <w:vAlign w:val="center"/>
            <w:hideMark/>
          </w:tcPr>
          <w:p w:rsidR="00EA653E" w:rsidRPr="00B67FD6" w:rsidRDefault="00EA653E"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Pr>
                <w:rFonts w:eastAsia="Times New Roman"/>
                <w:b/>
                <w:bCs/>
                <w:color w:val="000000"/>
                <w:szCs w:val="24"/>
                <w:lang w:val="fr-FR" w:eastAsia="zh-CN"/>
              </w:rPr>
              <w:t>15 h</w:t>
            </w:r>
            <w:r w:rsidR="009179E5">
              <w:rPr>
                <w:rFonts w:eastAsia="Times New Roman"/>
                <w:b/>
                <w:bCs/>
                <w:color w:val="000000"/>
                <w:szCs w:val="24"/>
                <w:lang w:val="fr-FR" w:eastAsia="zh-CN"/>
              </w:rPr>
              <w:t> 00</w:t>
            </w:r>
            <w:r>
              <w:rPr>
                <w:rFonts w:eastAsia="Times New Roman"/>
                <w:b/>
                <w:bCs/>
                <w:color w:val="000000"/>
                <w:szCs w:val="24"/>
                <w:lang w:val="fr-FR" w:eastAsia="zh-CN"/>
              </w:rPr>
              <w:t>-18 h</w:t>
            </w:r>
            <w:r w:rsidR="009179E5">
              <w:rPr>
                <w:rFonts w:eastAsia="Times New Roman"/>
                <w:b/>
                <w:bCs/>
                <w:color w:val="000000"/>
                <w:szCs w:val="24"/>
                <w:lang w:val="fr-FR" w:eastAsia="zh-CN"/>
              </w:rPr>
              <w:t> 00</w:t>
            </w:r>
          </w:p>
        </w:tc>
        <w:tc>
          <w:tcPr>
            <w:tcW w:w="3487" w:type="pct"/>
            <w:gridSpan w:val="2"/>
            <w:shd w:val="clear" w:color="000000" w:fill="9BC2E6"/>
            <w:vAlign w:val="center"/>
            <w:hideMark/>
          </w:tcPr>
          <w:p w:rsidR="00EA653E" w:rsidRPr="00B67FD6" w:rsidRDefault="00290DE2"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Pr>
                <w:rFonts w:eastAsia="Times New Roman"/>
                <w:b/>
                <w:bCs/>
                <w:color w:val="000000"/>
                <w:szCs w:val="24"/>
                <w:lang w:val="fr-FR" w:eastAsia="zh-CN"/>
              </w:rPr>
              <w:t>Session annuelle du CTI</w:t>
            </w:r>
            <w:r w:rsidR="00EA653E" w:rsidRPr="00290DE2">
              <w:rPr>
                <w:rFonts w:eastAsia="Times New Roman"/>
                <w:bCs/>
                <w:color w:val="000000"/>
                <w:szCs w:val="24"/>
                <w:lang w:val="fr-FR" w:eastAsia="zh-CN"/>
              </w:rPr>
              <w:t>*</w:t>
            </w:r>
            <w:r w:rsidR="00EA653E" w:rsidRPr="00B67FD6">
              <w:rPr>
                <w:rFonts w:eastAsia="Times New Roman"/>
                <w:b/>
                <w:bCs/>
                <w:color w:val="000000"/>
                <w:szCs w:val="24"/>
                <w:lang w:val="fr-FR" w:eastAsia="zh-CN"/>
              </w:rPr>
              <w:t xml:space="preserve"> </w:t>
            </w:r>
            <w:r w:rsidR="00EA653E" w:rsidRPr="00B67FD6">
              <w:rPr>
                <w:rFonts w:eastAsia="Times New Roman"/>
                <w:b/>
                <w:bCs/>
                <w:color w:val="000000"/>
                <w:szCs w:val="24"/>
                <w:lang w:val="fr-FR" w:eastAsia="zh-CN"/>
              </w:rPr>
              <w:br/>
              <w:t>Session ordinaire (</w:t>
            </w:r>
            <w:r w:rsidR="00EA653E" w:rsidRPr="00290DE2">
              <w:rPr>
                <w:rFonts w:eastAsia="Times New Roman"/>
                <w:b/>
                <w:bCs/>
                <w:i/>
                <w:color w:val="000000"/>
                <w:szCs w:val="24"/>
                <w:lang w:val="fr-FR" w:eastAsia="zh-CN"/>
              </w:rPr>
              <w:t>suite</w:t>
            </w:r>
            <w:r w:rsidR="00EA653E" w:rsidRPr="00B67FD6">
              <w:rPr>
                <w:rFonts w:eastAsia="Times New Roman"/>
                <w:b/>
                <w:bCs/>
                <w:color w:val="000000"/>
                <w:szCs w:val="24"/>
                <w:lang w:val="fr-FR" w:eastAsia="zh-CN"/>
              </w:rPr>
              <w:t>)</w:t>
            </w:r>
            <w:r w:rsidR="00EA653E" w:rsidRPr="00B67FD6">
              <w:rPr>
                <w:rFonts w:eastAsia="Times New Roman"/>
                <w:b/>
                <w:bCs/>
                <w:color w:val="000000"/>
                <w:szCs w:val="24"/>
                <w:lang w:val="fr-FR" w:eastAsia="zh-CN"/>
              </w:rPr>
              <w:br/>
              <w:t>Salle XVII</w:t>
            </w:r>
          </w:p>
        </w:tc>
        <w:tc>
          <w:tcPr>
            <w:tcW w:w="219" w:type="pct"/>
            <w:vMerge/>
            <w:textDirection w:val="tbRl"/>
            <w:vAlign w:val="center"/>
            <w:hideMark/>
          </w:tcPr>
          <w:p w:rsidR="00EA653E" w:rsidRPr="00B67FD6" w:rsidRDefault="00EA653E" w:rsidP="00FC315A">
            <w:pPr>
              <w:suppressAutoHyphens w:val="0"/>
              <w:kinsoku/>
              <w:overflowPunct/>
              <w:autoSpaceDE/>
              <w:autoSpaceDN/>
              <w:adjustRightInd/>
              <w:snapToGrid/>
              <w:spacing w:before="60" w:after="60" w:line="240" w:lineRule="auto"/>
              <w:ind w:left="113" w:right="113"/>
              <w:jc w:val="center"/>
              <w:rPr>
                <w:rFonts w:eastAsia="Times New Roman"/>
                <w:b/>
                <w:bCs/>
                <w:color w:val="000000"/>
                <w:szCs w:val="24"/>
                <w:lang w:val="fr-FR" w:eastAsia="zh-CN"/>
              </w:rPr>
            </w:pPr>
          </w:p>
        </w:tc>
      </w:tr>
      <w:tr w:rsidR="005B75DE" w:rsidRPr="00B67FD6" w:rsidTr="00933D39">
        <w:trPr>
          <w:jc w:val="center"/>
        </w:trPr>
        <w:tc>
          <w:tcPr>
            <w:tcW w:w="543" w:type="pct"/>
            <w:vMerge w:val="restart"/>
            <w:shd w:val="clear" w:color="auto" w:fill="auto"/>
            <w:vAlign w:val="center"/>
            <w:hideMark/>
          </w:tcPr>
          <w:p w:rsidR="00AA1F64" w:rsidRPr="00B67FD6" w:rsidRDefault="00AA1F64"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sidRPr="00B67FD6">
              <w:rPr>
                <w:rFonts w:eastAsia="Times New Roman"/>
                <w:b/>
                <w:bCs/>
                <w:color w:val="000000"/>
                <w:szCs w:val="24"/>
                <w:lang w:val="fr-FR" w:eastAsia="zh-CN"/>
              </w:rPr>
              <w:t>Jeudi</w:t>
            </w:r>
            <w:r w:rsidRPr="00B67FD6">
              <w:rPr>
                <w:rFonts w:eastAsia="Times New Roman"/>
                <w:b/>
                <w:bCs/>
                <w:color w:val="000000"/>
                <w:szCs w:val="24"/>
                <w:lang w:val="fr-FR" w:eastAsia="zh-CN"/>
              </w:rPr>
              <w:br/>
              <w:t>21 février</w:t>
            </w:r>
          </w:p>
        </w:tc>
        <w:tc>
          <w:tcPr>
            <w:tcW w:w="751" w:type="pct"/>
            <w:shd w:val="clear" w:color="auto" w:fill="auto"/>
            <w:vAlign w:val="center"/>
            <w:hideMark/>
          </w:tcPr>
          <w:p w:rsidR="00AA1F64" w:rsidRPr="00B67FD6" w:rsidRDefault="00AA1F64"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Pr>
                <w:rFonts w:eastAsia="Times New Roman"/>
                <w:b/>
                <w:bCs/>
                <w:color w:val="000000"/>
                <w:szCs w:val="24"/>
                <w:lang w:val="fr-FR" w:eastAsia="zh-CN"/>
              </w:rPr>
              <w:t>10 h</w:t>
            </w:r>
            <w:r w:rsidR="009179E5">
              <w:rPr>
                <w:rFonts w:eastAsia="Times New Roman"/>
                <w:b/>
                <w:bCs/>
                <w:color w:val="000000"/>
                <w:szCs w:val="24"/>
                <w:lang w:val="fr-FR" w:eastAsia="zh-CN"/>
              </w:rPr>
              <w:t> 00</w:t>
            </w:r>
            <w:r>
              <w:rPr>
                <w:rFonts w:eastAsia="Times New Roman"/>
                <w:b/>
                <w:bCs/>
                <w:color w:val="000000"/>
                <w:szCs w:val="24"/>
                <w:lang w:val="fr-FR" w:eastAsia="zh-CN"/>
              </w:rPr>
              <w:t>-13 h</w:t>
            </w:r>
            <w:r w:rsidR="009179E5">
              <w:rPr>
                <w:rFonts w:eastAsia="Times New Roman"/>
                <w:b/>
                <w:bCs/>
                <w:color w:val="000000"/>
                <w:szCs w:val="24"/>
                <w:lang w:val="fr-FR" w:eastAsia="zh-CN"/>
              </w:rPr>
              <w:t> 00</w:t>
            </w:r>
          </w:p>
        </w:tc>
        <w:tc>
          <w:tcPr>
            <w:tcW w:w="3487" w:type="pct"/>
            <w:gridSpan w:val="2"/>
            <w:shd w:val="clear" w:color="000000" w:fill="9BC2E6"/>
            <w:vAlign w:val="center"/>
            <w:hideMark/>
          </w:tcPr>
          <w:p w:rsidR="00AA1F64" w:rsidRPr="00B67FD6" w:rsidRDefault="00290DE2"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Pr>
                <w:rFonts w:eastAsia="Times New Roman"/>
                <w:b/>
                <w:bCs/>
                <w:color w:val="000000"/>
                <w:szCs w:val="24"/>
                <w:lang w:val="fr-FR" w:eastAsia="zh-CN"/>
              </w:rPr>
              <w:t>Session annuelle du CTI</w:t>
            </w:r>
            <w:r w:rsidR="00AA1F64" w:rsidRPr="00290DE2">
              <w:rPr>
                <w:rFonts w:eastAsia="Times New Roman"/>
                <w:bCs/>
                <w:color w:val="000000"/>
                <w:szCs w:val="24"/>
                <w:lang w:val="fr-FR" w:eastAsia="zh-CN"/>
              </w:rPr>
              <w:t>*</w:t>
            </w:r>
            <w:r w:rsidR="00AA1F64" w:rsidRPr="00B67FD6">
              <w:rPr>
                <w:rFonts w:eastAsia="Times New Roman"/>
                <w:b/>
                <w:bCs/>
                <w:color w:val="000000"/>
                <w:szCs w:val="24"/>
                <w:lang w:val="fr-FR" w:eastAsia="zh-CN"/>
              </w:rPr>
              <w:t xml:space="preserve"> </w:t>
            </w:r>
            <w:r w:rsidR="00AA1F64" w:rsidRPr="00B67FD6">
              <w:rPr>
                <w:rFonts w:eastAsia="Times New Roman"/>
                <w:b/>
                <w:bCs/>
                <w:color w:val="000000"/>
                <w:szCs w:val="24"/>
                <w:lang w:val="fr-FR" w:eastAsia="zh-CN"/>
              </w:rPr>
              <w:br/>
              <w:t>Session ordinaire (</w:t>
            </w:r>
            <w:r w:rsidR="00AA1F64" w:rsidRPr="00290DE2">
              <w:rPr>
                <w:rFonts w:eastAsia="Times New Roman"/>
                <w:b/>
                <w:bCs/>
                <w:i/>
                <w:color w:val="000000"/>
                <w:szCs w:val="24"/>
                <w:lang w:val="fr-FR" w:eastAsia="zh-CN"/>
              </w:rPr>
              <w:t>suite</w:t>
            </w:r>
            <w:r w:rsidR="00AA1F64" w:rsidRPr="00B67FD6">
              <w:rPr>
                <w:rFonts w:eastAsia="Times New Roman"/>
                <w:b/>
                <w:bCs/>
                <w:color w:val="000000"/>
                <w:szCs w:val="24"/>
                <w:lang w:val="fr-FR" w:eastAsia="zh-CN"/>
              </w:rPr>
              <w:t>)</w:t>
            </w:r>
            <w:r w:rsidR="00AA1F64" w:rsidRPr="00B67FD6">
              <w:rPr>
                <w:rFonts w:eastAsia="Times New Roman"/>
                <w:b/>
                <w:bCs/>
                <w:color w:val="000000"/>
                <w:szCs w:val="24"/>
                <w:lang w:val="fr-FR" w:eastAsia="zh-CN"/>
              </w:rPr>
              <w:br/>
              <w:t>Salle XVII</w:t>
            </w:r>
          </w:p>
        </w:tc>
        <w:tc>
          <w:tcPr>
            <w:tcW w:w="219" w:type="pct"/>
            <w:vMerge/>
            <w:textDirection w:val="tbRl"/>
            <w:vAlign w:val="center"/>
            <w:hideMark/>
          </w:tcPr>
          <w:p w:rsidR="00AA1F64" w:rsidRPr="00B67FD6" w:rsidRDefault="00AA1F64" w:rsidP="00FC315A">
            <w:pPr>
              <w:suppressAutoHyphens w:val="0"/>
              <w:kinsoku/>
              <w:overflowPunct/>
              <w:autoSpaceDE/>
              <w:autoSpaceDN/>
              <w:adjustRightInd/>
              <w:snapToGrid/>
              <w:spacing w:before="60" w:after="60" w:line="240" w:lineRule="auto"/>
              <w:ind w:left="113" w:right="113"/>
              <w:jc w:val="center"/>
              <w:rPr>
                <w:rFonts w:eastAsia="Times New Roman"/>
                <w:b/>
                <w:bCs/>
                <w:color w:val="000000"/>
                <w:szCs w:val="24"/>
                <w:lang w:val="fr-FR" w:eastAsia="zh-CN"/>
              </w:rPr>
            </w:pPr>
          </w:p>
        </w:tc>
      </w:tr>
      <w:tr w:rsidR="005B75DE" w:rsidRPr="00B67FD6" w:rsidTr="00933D39">
        <w:trPr>
          <w:jc w:val="center"/>
        </w:trPr>
        <w:tc>
          <w:tcPr>
            <w:tcW w:w="543" w:type="pct"/>
            <w:vMerge/>
            <w:vAlign w:val="center"/>
            <w:hideMark/>
          </w:tcPr>
          <w:p w:rsidR="00AA1F64" w:rsidRPr="00B67FD6" w:rsidRDefault="00AA1F64" w:rsidP="00AA1F64">
            <w:pPr>
              <w:suppressAutoHyphens w:val="0"/>
              <w:kinsoku/>
              <w:overflowPunct/>
              <w:autoSpaceDE/>
              <w:autoSpaceDN/>
              <w:adjustRightInd/>
              <w:snapToGrid/>
              <w:spacing w:before="60" w:after="60" w:line="240" w:lineRule="auto"/>
              <w:rPr>
                <w:rFonts w:eastAsia="Times New Roman"/>
                <w:b/>
                <w:bCs/>
                <w:color w:val="000000"/>
                <w:szCs w:val="24"/>
                <w:lang w:val="fr-FR" w:eastAsia="zh-CN"/>
              </w:rPr>
            </w:pPr>
          </w:p>
        </w:tc>
        <w:tc>
          <w:tcPr>
            <w:tcW w:w="751" w:type="pct"/>
            <w:shd w:val="clear" w:color="auto" w:fill="auto"/>
            <w:vAlign w:val="center"/>
            <w:hideMark/>
          </w:tcPr>
          <w:p w:rsidR="00AA1F64" w:rsidRPr="00B67FD6" w:rsidRDefault="00AA1F64"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Pr>
                <w:rFonts w:eastAsia="Times New Roman"/>
                <w:b/>
                <w:bCs/>
                <w:color w:val="000000"/>
                <w:szCs w:val="24"/>
                <w:lang w:val="fr-FR" w:eastAsia="zh-CN"/>
              </w:rPr>
              <w:t>13 h</w:t>
            </w:r>
            <w:r w:rsidR="009179E5">
              <w:rPr>
                <w:rFonts w:eastAsia="Times New Roman"/>
                <w:b/>
                <w:bCs/>
                <w:color w:val="000000"/>
                <w:szCs w:val="24"/>
                <w:lang w:val="fr-FR" w:eastAsia="zh-CN"/>
              </w:rPr>
              <w:t> 00</w:t>
            </w:r>
            <w:r>
              <w:rPr>
                <w:rFonts w:eastAsia="Times New Roman"/>
                <w:b/>
                <w:bCs/>
                <w:color w:val="000000"/>
                <w:szCs w:val="24"/>
                <w:lang w:val="fr-FR" w:eastAsia="zh-CN"/>
              </w:rPr>
              <w:t>-15 h</w:t>
            </w:r>
            <w:r w:rsidR="009179E5">
              <w:rPr>
                <w:rFonts w:eastAsia="Times New Roman"/>
                <w:b/>
                <w:bCs/>
                <w:color w:val="000000"/>
                <w:szCs w:val="24"/>
                <w:lang w:val="fr-FR" w:eastAsia="zh-CN"/>
              </w:rPr>
              <w:t> 00</w:t>
            </w:r>
          </w:p>
        </w:tc>
        <w:tc>
          <w:tcPr>
            <w:tcW w:w="3487" w:type="pct"/>
            <w:gridSpan w:val="2"/>
            <w:shd w:val="clear" w:color="auto" w:fill="auto"/>
            <w:vAlign w:val="center"/>
            <w:hideMark/>
          </w:tcPr>
          <w:p w:rsidR="00AA1F64" w:rsidRPr="00B67FD6" w:rsidRDefault="00AA1F64" w:rsidP="00AA1F64">
            <w:pPr>
              <w:suppressAutoHyphens w:val="0"/>
              <w:kinsoku/>
              <w:overflowPunct/>
              <w:autoSpaceDE/>
              <w:autoSpaceDN/>
              <w:adjustRightInd/>
              <w:snapToGrid/>
              <w:spacing w:before="60" w:after="60" w:line="240" w:lineRule="auto"/>
              <w:jc w:val="center"/>
              <w:rPr>
                <w:rFonts w:eastAsia="Times New Roman"/>
                <w:b/>
                <w:bCs/>
                <w:i/>
                <w:iCs/>
                <w:color w:val="000000"/>
                <w:szCs w:val="24"/>
                <w:lang w:val="fr-FR" w:eastAsia="zh-CN"/>
              </w:rPr>
            </w:pPr>
            <w:r w:rsidRPr="00B67FD6">
              <w:rPr>
                <w:rFonts w:eastAsia="Times New Roman"/>
                <w:b/>
                <w:bCs/>
                <w:i/>
                <w:iCs/>
                <w:color w:val="000000"/>
                <w:szCs w:val="24"/>
                <w:lang w:val="fr-FR" w:eastAsia="zh-CN"/>
              </w:rPr>
              <w:t xml:space="preserve">Pause </w:t>
            </w:r>
          </w:p>
        </w:tc>
        <w:tc>
          <w:tcPr>
            <w:tcW w:w="219" w:type="pct"/>
            <w:vMerge/>
            <w:textDirection w:val="tbRl"/>
            <w:vAlign w:val="center"/>
            <w:hideMark/>
          </w:tcPr>
          <w:p w:rsidR="00AA1F64" w:rsidRPr="00B67FD6" w:rsidRDefault="00AA1F64" w:rsidP="00FC315A">
            <w:pPr>
              <w:suppressAutoHyphens w:val="0"/>
              <w:kinsoku/>
              <w:overflowPunct/>
              <w:autoSpaceDE/>
              <w:autoSpaceDN/>
              <w:adjustRightInd/>
              <w:snapToGrid/>
              <w:spacing w:before="60" w:after="60" w:line="240" w:lineRule="auto"/>
              <w:ind w:left="113" w:right="113"/>
              <w:jc w:val="center"/>
              <w:rPr>
                <w:rFonts w:eastAsia="Times New Roman"/>
                <w:b/>
                <w:bCs/>
                <w:color w:val="000000"/>
                <w:szCs w:val="24"/>
                <w:lang w:val="fr-FR" w:eastAsia="zh-CN"/>
              </w:rPr>
            </w:pPr>
          </w:p>
        </w:tc>
      </w:tr>
      <w:tr w:rsidR="005B75DE" w:rsidRPr="00B67FD6" w:rsidTr="00933D39">
        <w:trPr>
          <w:jc w:val="center"/>
        </w:trPr>
        <w:tc>
          <w:tcPr>
            <w:tcW w:w="543" w:type="pct"/>
            <w:vMerge/>
            <w:vAlign w:val="center"/>
            <w:hideMark/>
          </w:tcPr>
          <w:p w:rsidR="00AA1F64" w:rsidRPr="00B67FD6" w:rsidRDefault="00AA1F64" w:rsidP="00AA1F64">
            <w:pPr>
              <w:suppressAutoHyphens w:val="0"/>
              <w:kinsoku/>
              <w:overflowPunct/>
              <w:autoSpaceDE/>
              <w:autoSpaceDN/>
              <w:adjustRightInd/>
              <w:snapToGrid/>
              <w:spacing w:before="60" w:after="60" w:line="240" w:lineRule="auto"/>
              <w:rPr>
                <w:rFonts w:eastAsia="Times New Roman"/>
                <w:b/>
                <w:bCs/>
                <w:color w:val="000000"/>
                <w:szCs w:val="24"/>
                <w:lang w:val="fr-FR" w:eastAsia="zh-CN"/>
              </w:rPr>
            </w:pPr>
          </w:p>
        </w:tc>
        <w:tc>
          <w:tcPr>
            <w:tcW w:w="751" w:type="pct"/>
            <w:shd w:val="clear" w:color="auto" w:fill="auto"/>
            <w:vAlign w:val="center"/>
            <w:hideMark/>
          </w:tcPr>
          <w:p w:rsidR="00AA1F64" w:rsidRPr="00B67FD6" w:rsidRDefault="00AA1F64"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Pr>
                <w:rFonts w:eastAsia="Times New Roman"/>
                <w:b/>
                <w:bCs/>
                <w:color w:val="000000"/>
                <w:szCs w:val="24"/>
                <w:lang w:val="fr-FR" w:eastAsia="zh-CN"/>
              </w:rPr>
              <w:t>15 h</w:t>
            </w:r>
            <w:r w:rsidR="009179E5">
              <w:rPr>
                <w:rFonts w:eastAsia="Times New Roman"/>
                <w:b/>
                <w:bCs/>
                <w:color w:val="000000"/>
                <w:szCs w:val="24"/>
                <w:lang w:val="fr-FR" w:eastAsia="zh-CN"/>
              </w:rPr>
              <w:t> 00</w:t>
            </w:r>
            <w:r>
              <w:rPr>
                <w:rFonts w:eastAsia="Times New Roman"/>
                <w:b/>
                <w:bCs/>
                <w:color w:val="000000"/>
                <w:szCs w:val="24"/>
                <w:lang w:val="fr-FR" w:eastAsia="zh-CN"/>
              </w:rPr>
              <w:t>-18 h</w:t>
            </w:r>
            <w:r w:rsidR="009179E5">
              <w:rPr>
                <w:rFonts w:eastAsia="Times New Roman"/>
                <w:b/>
                <w:bCs/>
                <w:color w:val="000000"/>
                <w:szCs w:val="24"/>
                <w:lang w:val="fr-FR" w:eastAsia="zh-CN"/>
              </w:rPr>
              <w:t> 00</w:t>
            </w:r>
          </w:p>
        </w:tc>
        <w:tc>
          <w:tcPr>
            <w:tcW w:w="3487" w:type="pct"/>
            <w:gridSpan w:val="2"/>
            <w:shd w:val="clear" w:color="000000" w:fill="9BC2E6"/>
            <w:vAlign w:val="center"/>
            <w:hideMark/>
          </w:tcPr>
          <w:p w:rsidR="00AA1F64" w:rsidRPr="00B67FD6" w:rsidRDefault="00290DE2"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Pr>
                <w:rFonts w:eastAsia="Times New Roman"/>
                <w:b/>
                <w:bCs/>
                <w:color w:val="000000"/>
                <w:szCs w:val="24"/>
                <w:lang w:val="fr-FR" w:eastAsia="zh-CN"/>
              </w:rPr>
              <w:t>Session annuelle du CTI</w:t>
            </w:r>
            <w:r w:rsidR="00AA1F64" w:rsidRPr="00290DE2">
              <w:rPr>
                <w:rFonts w:eastAsia="Times New Roman"/>
                <w:bCs/>
                <w:color w:val="000000"/>
                <w:szCs w:val="24"/>
                <w:lang w:val="fr-FR" w:eastAsia="zh-CN"/>
              </w:rPr>
              <w:t>*</w:t>
            </w:r>
            <w:r w:rsidR="00AA1F64" w:rsidRPr="00B67FD6">
              <w:rPr>
                <w:rFonts w:eastAsia="Times New Roman"/>
                <w:b/>
                <w:bCs/>
                <w:color w:val="000000"/>
                <w:szCs w:val="24"/>
                <w:lang w:val="fr-FR" w:eastAsia="zh-CN"/>
              </w:rPr>
              <w:t xml:space="preserve"> </w:t>
            </w:r>
            <w:r w:rsidR="00AA1F64" w:rsidRPr="00B67FD6">
              <w:rPr>
                <w:rFonts w:eastAsia="Times New Roman"/>
                <w:b/>
                <w:bCs/>
                <w:color w:val="000000"/>
                <w:szCs w:val="24"/>
                <w:lang w:val="fr-FR" w:eastAsia="zh-CN"/>
              </w:rPr>
              <w:br/>
              <w:t>Session ordinaire (</w:t>
            </w:r>
            <w:r w:rsidR="00AA1F64" w:rsidRPr="00290DE2">
              <w:rPr>
                <w:rFonts w:eastAsia="Times New Roman"/>
                <w:b/>
                <w:bCs/>
                <w:i/>
                <w:color w:val="000000"/>
                <w:szCs w:val="24"/>
                <w:lang w:val="fr-FR" w:eastAsia="zh-CN"/>
              </w:rPr>
              <w:t>suite</w:t>
            </w:r>
            <w:r w:rsidR="00AA1F64" w:rsidRPr="00B67FD6">
              <w:rPr>
                <w:rFonts w:eastAsia="Times New Roman"/>
                <w:b/>
                <w:bCs/>
                <w:color w:val="000000"/>
                <w:szCs w:val="24"/>
                <w:lang w:val="fr-FR" w:eastAsia="zh-CN"/>
              </w:rPr>
              <w:t>)</w:t>
            </w:r>
            <w:r w:rsidR="00AA1F64" w:rsidRPr="00B67FD6">
              <w:rPr>
                <w:rFonts w:eastAsia="Times New Roman"/>
                <w:b/>
                <w:bCs/>
                <w:color w:val="000000"/>
                <w:szCs w:val="24"/>
                <w:lang w:val="fr-FR" w:eastAsia="zh-CN"/>
              </w:rPr>
              <w:br/>
              <w:t>Salle XVII</w:t>
            </w:r>
          </w:p>
        </w:tc>
        <w:tc>
          <w:tcPr>
            <w:tcW w:w="219" w:type="pct"/>
            <w:vMerge/>
            <w:textDirection w:val="tbRl"/>
            <w:vAlign w:val="center"/>
            <w:hideMark/>
          </w:tcPr>
          <w:p w:rsidR="00AA1F64" w:rsidRPr="00B67FD6" w:rsidRDefault="00AA1F64" w:rsidP="00FC315A">
            <w:pPr>
              <w:suppressAutoHyphens w:val="0"/>
              <w:kinsoku/>
              <w:overflowPunct/>
              <w:autoSpaceDE/>
              <w:autoSpaceDN/>
              <w:adjustRightInd/>
              <w:snapToGrid/>
              <w:spacing w:before="60" w:after="60" w:line="240" w:lineRule="auto"/>
              <w:ind w:left="113" w:right="113"/>
              <w:jc w:val="center"/>
              <w:rPr>
                <w:rFonts w:eastAsia="Times New Roman"/>
                <w:b/>
                <w:bCs/>
                <w:color w:val="000000"/>
                <w:szCs w:val="24"/>
                <w:lang w:val="fr-FR" w:eastAsia="zh-CN"/>
              </w:rPr>
            </w:pPr>
          </w:p>
        </w:tc>
      </w:tr>
      <w:tr w:rsidR="005B75DE" w:rsidRPr="00B67FD6" w:rsidTr="00933D39">
        <w:trPr>
          <w:jc w:val="center"/>
        </w:trPr>
        <w:tc>
          <w:tcPr>
            <w:tcW w:w="543" w:type="pct"/>
            <w:vMerge w:val="restart"/>
            <w:shd w:val="clear" w:color="auto" w:fill="auto"/>
            <w:vAlign w:val="center"/>
            <w:hideMark/>
          </w:tcPr>
          <w:p w:rsidR="00AA1F64" w:rsidRPr="00B67FD6" w:rsidRDefault="00AA1F64"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sidRPr="00B67FD6">
              <w:rPr>
                <w:rFonts w:eastAsia="Times New Roman"/>
                <w:b/>
                <w:bCs/>
                <w:color w:val="000000"/>
                <w:szCs w:val="24"/>
                <w:lang w:val="fr-FR" w:eastAsia="zh-CN"/>
              </w:rPr>
              <w:t xml:space="preserve">Vendredi </w:t>
            </w:r>
            <w:r w:rsidRPr="00B67FD6">
              <w:rPr>
                <w:rFonts w:eastAsia="Times New Roman"/>
                <w:b/>
                <w:bCs/>
                <w:color w:val="000000"/>
                <w:szCs w:val="24"/>
                <w:lang w:val="fr-FR" w:eastAsia="zh-CN"/>
              </w:rPr>
              <w:br/>
              <w:t>22 février</w:t>
            </w:r>
          </w:p>
        </w:tc>
        <w:tc>
          <w:tcPr>
            <w:tcW w:w="751" w:type="pct"/>
            <w:shd w:val="clear" w:color="auto" w:fill="auto"/>
            <w:vAlign w:val="center"/>
            <w:hideMark/>
          </w:tcPr>
          <w:p w:rsidR="00AA1F64" w:rsidRPr="00B67FD6" w:rsidRDefault="00AA1F64"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Pr>
                <w:rFonts w:eastAsia="Times New Roman"/>
                <w:b/>
                <w:bCs/>
                <w:color w:val="000000"/>
                <w:szCs w:val="24"/>
                <w:lang w:val="fr-FR" w:eastAsia="zh-CN"/>
              </w:rPr>
              <w:t>10 h</w:t>
            </w:r>
            <w:r w:rsidR="009179E5">
              <w:rPr>
                <w:rFonts w:eastAsia="Times New Roman"/>
                <w:b/>
                <w:bCs/>
                <w:color w:val="000000"/>
                <w:szCs w:val="24"/>
                <w:lang w:val="fr-FR" w:eastAsia="zh-CN"/>
              </w:rPr>
              <w:t> 00</w:t>
            </w:r>
            <w:r>
              <w:rPr>
                <w:rFonts w:eastAsia="Times New Roman"/>
                <w:b/>
                <w:bCs/>
                <w:color w:val="000000"/>
                <w:szCs w:val="24"/>
                <w:lang w:val="fr-FR" w:eastAsia="zh-CN"/>
              </w:rPr>
              <w:t>-13 h</w:t>
            </w:r>
            <w:r w:rsidR="009179E5">
              <w:rPr>
                <w:rFonts w:eastAsia="Times New Roman"/>
                <w:b/>
                <w:bCs/>
                <w:color w:val="000000"/>
                <w:szCs w:val="24"/>
                <w:lang w:val="fr-FR" w:eastAsia="zh-CN"/>
              </w:rPr>
              <w:t> 00</w:t>
            </w:r>
          </w:p>
        </w:tc>
        <w:tc>
          <w:tcPr>
            <w:tcW w:w="3487" w:type="pct"/>
            <w:gridSpan w:val="2"/>
            <w:shd w:val="clear" w:color="000000" w:fill="9BC2E6"/>
            <w:vAlign w:val="center"/>
            <w:hideMark/>
          </w:tcPr>
          <w:p w:rsidR="00AA1F64" w:rsidRPr="00B67FD6" w:rsidRDefault="009247D2"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Pr>
                <w:rFonts w:eastAsia="Times New Roman"/>
                <w:b/>
                <w:bCs/>
                <w:color w:val="000000"/>
                <w:szCs w:val="24"/>
                <w:lang w:val="fr-FR" w:eastAsia="zh-CN"/>
              </w:rPr>
              <w:t>Session annuelle du CTI</w:t>
            </w:r>
            <w:r w:rsidR="00AA1F64" w:rsidRPr="00B67FD6">
              <w:rPr>
                <w:rFonts w:eastAsia="Times New Roman"/>
                <w:b/>
                <w:bCs/>
                <w:color w:val="000000"/>
                <w:szCs w:val="24"/>
                <w:lang w:val="fr-FR" w:eastAsia="zh-CN"/>
              </w:rPr>
              <w:t xml:space="preserve">* </w:t>
            </w:r>
            <w:r w:rsidR="00AA1F64" w:rsidRPr="00B67FD6">
              <w:rPr>
                <w:rFonts w:eastAsia="Times New Roman"/>
                <w:b/>
                <w:bCs/>
                <w:color w:val="000000"/>
                <w:szCs w:val="24"/>
                <w:lang w:val="fr-FR" w:eastAsia="zh-CN"/>
              </w:rPr>
              <w:br/>
              <w:t>Session ordinaire (</w:t>
            </w:r>
            <w:r w:rsidR="00AA1F64" w:rsidRPr="00290DE2">
              <w:rPr>
                <w:rFonts w:eastAsia="Times New Roman"/>
                <w:b/>
                <w:bCs/>
                <w:i/>
                <w:color w:val="000000"/>
                <w:szCs w:val="24"/>
                <w:lang w:val="fr-FR" w:eastAsia="zh-CN"/>
              </w:rPr>
              <w:t>suite</w:t>
            </w:r>
            <w:r w:rsidR="00AA1F64" w:rsidRPr="00B67FD6">
              <w:rPr>
                <w:rFonts w:eastAsia="Times New Roman"/>
                <w:b/>
                <w:bCs/>
                <w:color w:val="000000"/>
                <w:szCs w:val="24"/>
                <w:lang w:val="fr-FR" w:eastAsia="zh-CN"/>
              </w:rPr>
              <w:t>)</w:t>
            </w:r>
            <w:r w:rsidR="00AA1F64" w:rsidRPr="00B67FD6">
              <w:rPr>
                <w:rFonts w:eastAsia="Times New Roman"/>
                <w:b/>
                <w:bCs/>
                <w:color w:val="000000"/>
                <w:szCs w:val="24"/>
                <w:lang w:val="fr-FR" w:eastAsia="zh-CN"/>
              </w:rPr>
              <w:br/>
              <w:t>Salle XVII</w:t>
            </w:r>
          </w:p>
        </w:tc>
        <w:tc>
          <w:tcPr>
            <w:tcW w:w="219" w:type="pct"/>
            <w:vMerge/>
            <w:textDirection w:val="tbRl"/>
            <w:vAlign w:val="center"/>
            <w:hideMark/>
          </w:tcPr>
          <w:p w:rsidR="00AA1F64" w:rsidRPr="00B67FD6" w:rsidRDefault="00AA1F64" w:rsidP="00FC315A">
            <w:pPr>
              <w:suppressAutoHyphens w:val="0"/>
              <w:kinsoku/>
              <w:overflowPunct/>
              <w:autoSpaceDE/>
              <w:autoSpaceDN/>
              <w:adjustRightInd/>
              <w:snapToGrid/>
              <w:spacing w:before="60" w:after="60" w:line="240" w:lineRule="auto"/>
              <w:ind w:left="113" w:right="113"/>
              <w:jc w:val="center"/>
              <w:rPr>
                <w:rFonts w:eastAsia="Times New Roman"/>
                <w:b/>
                <w:bCs/>
                <w:color w:val="000000"/>
                <w:szCs w:val="24"/>
                <w:lang w:val="fr-FR" w:eastAsia="zh-CN"/>
              </w:rPr>
            </w:pPr>
          </w:p>
        </w:tc>
      </w:tr>
      <w:tr w:rsidR="005B75DE" w:rsidRPr="00B67FD6" w:rsidTr="00933D39">
        <w:trPr>
          <w:jc w:val="center"/>
        </w:trPr>
        <w:tc>
          <w:tcPr>
            <w:tcW w:w="543" w:type="pct"/>
            <w:vMerge/>
            <w:vAlign w:val="center"/>
            <w:hideMark/>
          </w:tcPr>
          <w:p w:rsidR="00AA1F64" w:rsidRPr="00B67FD6" w:rsidRDefault="00AA1F64" w:rsidP="00AA1F64">
            <w:pPr>
              <w:suppressAutoHyphens w:val="0"/>
              <w:kinsoku/>
              <w:overflowPunct/>
              <w:autoSpaceDE/>
              <w:autoSpaceDN/>
              <w:adjustRightInd/>
              <w:snapToGrid/>
              <w:spacing w:before="60" w:after="60" w:line="240" w:lineRule="auto"/>
              <w:rPr>
                <w:rFonts w:eastAsia="Times New Roman"/>
                <w:b/>
                <w:bCs/>
                <w:color w:val="000000"/>
                <w:szCs w:val="24"/>
                <w:lang w:val="fr-FR" w:eastAsia="zh-CN"/>
              </w:rPr>
            </w:pPr>
          </w:p>
        </w:tc>
        <w:tc>
          <w:tcPr>
            <w:tcW w:w="751" w:type="pct"/>
            <w:shd w:val="clear" w:color="auto" w:fill="auto"/>
            <w:vAlign w:val="center"/>
            <w:hideMark/>
          </w:tcPr>
          <w:p w:rsidR="00AA1F64" w:rsidRPr="00B67FD6" w:rsidRDefault="00AA1F64"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Pr>
                <w:rFonts w:eastAsia="Times New Roman"/>
                <w:b/>
                <w:bCs/>
                <w:color w:val="000000"/>
                <w:szCs w:val="24"/>
                <w:lang w:val="fr-FR" w:eastAsia="zh-CN"/>
              </w:rPr>
              <w:t>13 h</w:t>
            </w:r>
            <w:r w:rsidR="009179E5">
              <w:rPr>
                <w:rFonts w:eastAsia="Times New Roman"/>
                <w:b/>
                <w:bCs/>
                <w:color w:val="000000"/>
                <w:szCs w:val="24"/>
                <w:lang w:val="fr-FR" w:eastAsia="zh-CN"/>
              </w:rPr>
              <w:t> 00</w:t>
            </w:r>
            <w:r>
              <w:rPr>
                <w:rFonts w:eastAsia="Times New Roman"/>
                <w:b/>
                <w:bCs/>
                <w:color w:val="000000"/>
                <w:szCs w:val="24"/>
                <w:lang w:val="fr-FR" w:eastAsia="zh-CN"/>
              </w:rPr>
              <w:t>-15 h</w:t>
            </w:r>
            <w:r w:rsidR="009179E5">
              <w:rPr>
                <w:rFonts w:eastAsia="Times New Roman"/>
                <w:b/>
                <w:bCs/>
                <w:color w:val="000000"/>
                <w:szCs w:val="24"/>
                <w:lang w:val="fr-FR" w:eastAsia="zh-CN"/>
              </w:rPr>
              <w:t> 00</w:t>
            </w:r>
          </w:p>
        </w:tc>
        <w:tc>
          <w:tcPr>
            <w:tcW w:w="3487" w:type="pct"/>
            <w:gridSpan w:val="2"/>
            <w:shd w:val="clear" w:color="auto" w:fill="auto"/>
            <w:vAlign w:val="center"/>
            <w:hideMark/>
          </w:tcPr>
          <w:p w:rsidR="00AA1F64" w:rsidRPr="00B67FD6" w:rsidRDefault="00AA1F64" w:rsidP="00AA1F64">
            <w:pPr>
              <w:suppressAutoHyphens w:val="0"/>
              <w:kinsoku/>
              <w:overflowPunct/>
              <w:autoSpaceDE/>
              <w:autoSpaceDN/>
              <w:adjustRightInd/>
              <w:snapToGrid/>
              <w:spacing w:before="60" w:after="60" w:line="240" w:lineRule="auto"/>
              <w:jc w:val="center"/>
              <w:rPr>
                <w:rFonts w:eastAsia="Times New Roman"/>
                <w:b/>
                <w:bCs/>
                <w:i/>
                <w:iCs/>
                <w:color w:val="000000"/>
                <w:szCs w:val="24"/>
                <w:lang w:val="fr-FR" w:eastAsia="zh-CN"/>
              </w:rPr>
            </w:pPr>
            <w:r w:rsidRPr="00B67FD6">
              <w:rPr>
                <w:rFonts w:eastAsia="Times New Roman"/>
                <w:b/>
                <w:bCs/>
                <w:i/>
                <w:iCs/>
                <w:color w:val="000000"/>
                <w:szCs w:val="24"/>
                <w:lang w:val="fr-FR" w:eastAsia="zh-CN"/>
              </w:rPr>
              <w:t xml:space="preserve">Pause </w:t>
            </w:r>
          </w:p>
        </w:tc>
        <w:tc>
          <w:tcPr>
            <w:tcW w:w="219" w:type="pct"/>
            <w:vMerge/>
            <w:textDirection w:val="tbRl"/>
            <w:vAlign w:val="center"/>
            <w:hideMark/>
          </w:tcPr>
          <w:p w:rsidR="00AA1F64" w:rsidRPr="00B67FD6" w:rsidRDefault="00AA1F64" w:rsidP="00FC315A">
            <w:pPr>
              <w:suppressAutoHyphens w:val="0"/>
              <w:kinsoku/>
              <w:overflowPunct/>
              <w:autoSpaceDE/>
              <w:autoSpaceDN/>
              <w:adjustRightInd/>
              <w:snapToGrid/>
              <w:spacing w:before="60" w:after="60" w:line="240" w:lineRule="auto"/>
              <w:ind w:left="113" w:right="113"/>
              <w:jc w:val="center"/>
              <w:rPr>
                <w:rFonts w:eastAsia="Times New Roman"/>
                <w:b/>
                <w:bCs/>
                <w:color w:val="000000"/>
                <w:szCs w:val="24"/>
                <w:lang w:val="fr-FR" w:eastAsia="zh-CN"/>
              </w:rPr>
            </w:pPr>
          </w:p>
        </w:tc>
      </w:tr>
      <w:tr w:rsidR="005B75DE" w:rsidRPr="00B67FD6" w:rsidTr="00933D39">
        <w:trPr>
          <w:jc w:val="center"/>
        </w:trPr>
        <w:tc>
          <w:tcPr>
            <w:tcW w:w="543" w:type="pct"/>
            <w:vMerge/>
            <w:vAlign w:val="center"/>
            <w:hideMark/>
          </w:tcPr>
          <w:p w:rsidR="00AA1F64" w:rsidRPr="00B67FD6" w:rsidRDefault="00AA1F64" w:rsidP="00AA1F64">
            <w:pPr>
              <w:suppressAutoHyphens w:val="0"/>
              <w:kinsoku/>
              <w:overflowPunct/>
              <w:autoSpaceDE/>
              <w:autoSpaceDN/>
              <w:adjustRightInd/>
              <w:snapToGrid/>
              <w:spacing w:before="60" w:after="60" w:line="240" w:lineRule="auto"/>
              <w:rPr>
                <w:rFonts w:eastAsia="Times New Roman"/>
                <w:b/>
                <w:bCs/>
                <w:color w:val="000000"/>
                <w:szCs w:val="24"/>
                <w:lang w:val="fr-FR" w:eastAsia="zh-CN"/>
              </w:rPr>
            </w:pPr>
          </w:p>
        </w:tc>
        <w:tc>
          <w:tcPr>
            <w:tcW w:w="751" w:type="pct"/>
            <w:shd w:val="clear" w:color="auto" w:fill="auto"/>
            <w:vAlign w:val="center"/>
            <w:hideMark/>
          </w:tcPr>
          <w:p w:rsidR="00AA1F64" w:rsidRPr="00B67FD6" w:rsidRDefault="00AA1F64"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Pr>
                <w:rFonts w:eastAsia="Times New Roman"/>
                <w:b/>
                <w:bCs/>
                <w:color w:val="000000"/>
                <w:szCs w:val="24"/>
                <w:lang w:val="fr-FR" w:eastAsia="zh-CN"/>
              </w:rPr>
              <w:t>15 h</w:t>
            </w:r>
            <w:r w:rsidR="009179E5">
              <w:rPr>
                <w:rFonts w:eastAsia="Times New Roman"/>
                <w:b/>
                <w:bCs/>
                <w:color w:val="000000"/>
                <w:szCs w:val="24"/>
                <w:lang w:val="fr-FR" w:eastAsia="zh-CN"/>
              </w:rPr>
              <w:t> 00</w:t>
            </w:r>
            <w:r>
              <w:rPr>
                <w:rFonts w:eastAsia="Times New Roman"/>
                <w:b/>
                <w:bCs/>
                <w:color w:val="000000"/>
                <w:szCs w:val="24"/>
                <w:lang w:val="fr-FR" w:eastAsia="zh-CN"/>
              </w:rPr>
              <w:t>-18 h</w:t>
            </w:r>
            <w:r w:rsidR="009179E5">
              <w:rPr>
                <w:rFonts w:eastAsia="Times New Roman"/>
                <w:b/>
                <w:bCs/>
                <w:color w:val="000000"/>
                <w:szCs w:val="24"/>
                <w:lang w:val="fr-FR" w:eastAsia="zh-CN"/>
              </w:rPr>
              <w:t> 00</w:t>
            </w:r>
          </w:p>
        </w:tc>
        <w:tc>
          <w:tcPr>
            <w:tcW w:w="3487" w:type="pct"/>
            <w:gridSpan w:val="2"/>
            <w:shd w:val="clear" w:color="000000" w:fill="92D050"/>
            <w:vAlign w:val="center"/>
            <w:hideMark/>
          </w:tcPr>
          <w:p w:rsidR="00AA1F64" w:rsidRPr="00B67FD6" w:rsidRDefault="00AA1F64" w:rsidP="00AA1F64">
            <w:pPr>
              <w:suppressAutoHyphens w:val="0"/>
              <w:kinsoku/>
              <w:overflowPunct/>
              <w:autoSpaceDE/>
              <w:autoSpaceDN/>
              <w:adjustRightInd/>
              <w:snapToGrid/>
              <w:spacing w:before="60" w:after="60" w:line="240" w:lineRule="auto"/>
              <w:jc w:val="center"/>
              <w:rPr>
                <w:rFonts w:eastAsia="Times New Roman"/>
                <w:b/>
                <w:bCs/>
                <w:color w:val="000000"/>
                <w:szCs w:val="24"/>
                <w:lang w:val="fr-FR" w:eastAsia="zh-CN"/>
              </w:rPr>
            </w:pPr>
            <w:r w:rsidRPr="00B67FD6">
              <w:rPr>
                <w:rFonts w:eastAsia="Times New Roman"/>
                <w:b/>
                <w:bCs/>
                <w:color w:val="000000"/>
                <w:szCs w:val="24"/>
                <w:lang w:val="fr-FR" w:eastAsia="zh-CN"/>
              </w:rPr>
              <w:t>Réunion du Bureau du CTI</w:t>
            </w:r>
            <w:r w:rsidRPr="00290DE2">
              <w:rPr>
                <w:rFonts w:eastAsia="Times New Roman"/>
                <w:bCs/>
                <w:color w:val="000000"/>
                <w:szCs w:val="24"/>
                <w:lang w:val="fr-FR" w:eastAsia="zh-CN"/>
              </w:rPr>
              <w:t>*</w:t>
            </w:r>
            <w:r w:rsidRPr="00B67FD6">
              <w:rPr>
                <w:rFonts w:eastAsia="Times New Roman"/>
                <w:b/>
                <w:bCs/>
                <w:color w:val="000000"/>
                <w:szCs w:val="24"/>
                <w:lang w:val="fr-FR" w:eastAsia="zh-CN"/>
              </w:rPr>
              <w:t xml:space="preserve"> </w:t>
            </w:r>
            <w:r w:rsidR="00290DE2">
              <w:rPr>
                <w:rFonts w:eastAsia="Times New Roman"/>
                <w:b/>
                <w:bCs/>
                <w:color w:val="000000"/>
                <w:szCs w:val="24"/>
                <w:lang w:val="fr-FR" w:eastAsia="zh-CN"/>
              </w:rPr>
              <w:t>−</w:t>
            </w:r>
            <w:r w:rsidRPr="00B67FD6">
              <w:rPr>
                <w:rFonts w:eastAsia="Times New Roman"/>
                <w:b/>
                <w:bCs/>
                <w:color w:val="000000"/>
                <w:szCs w:val="24"/>
                <w:lang w:val="fr-FR" w:eastAsia="zh-CN"/>
              </w:rPr>
              <w:t xml:space="preserve"> Salle XVII</w:t>
            </w:r>
          </w:p>
        </w:tc>
        <w:tc>
          <w:tcPr>
            <w:tcW w:w="219" w:type="pct"/>
            <w:vMerge/>
            <w:textDirection w:val="tbRl"/>
            <w:vAlign w:val="center"/>
            <w:hideMark/>
          </w:tcPr>
          <w:p w:rsidR="00AA1F64" w:rsidRPr="00B67FD6" w:rsidRDefault="00AA1F64" w:rsidP="00FC315A">
            <w:pPr>
              <w:suppressAutoHyphens w:val="0"/>
              <w:kinsoku/>
              <w:overflowPunct/>
              <w:autoSpaceDE/>
              <w:autoSpaceDN/>
              <w:adjustRightInd/>
              <w:snapToGrid/>
              <w:spacing w:before="60" w:after="60" w:line="240" w:lineRule="auto"/>
              <w:ind w:left="113" w:right="113"/>
              <w:jc w:val="center"/>
              <w:rPr>
                <w:rFonts w:eastAsia="Times New Roman"/>
                <w:b/>
                <w:bCs/>
                <w:color w:val="000000"/>
                <w:szCs w:val="24"/>
                <w:lang w:val="fr-FR" w:eastAsia="zh-CN"/>
              </w:rPr>
            </w:pPr>
          </w:p>
        </w:tc>
      </w:tr>
      <w:tr w:rsidR="00933D39" w:rsidRPr="00B67FD6" w:rsidTr="00933D39">
        <w:trPr>
          <w:cantSplit/>
          <w:jc w:val="center"/>
        </w:trPr>
        <w:tc>
          <w:tcPr>
            <w:tcW w:w="5000" w:type="pct"/>
            <w:gridSpan w:val="5"/>
            <w:shd w:val="clear" w:color="auto" w:fill="auto"/>
            <w:vAlign w:val="center"/>
            <w:hideMark/>
          </w:tcPr>
          <w:p w:rsidR="00933D39" w:rsidRPr="00B67FD6" w:rsidRDefault="00933D39" w:rsidP="009247D2">
            <w:pPr>
              <w:suppressAutoHyphens w:val="0"/>
              <w:kinsoku/>
              <w:overflowPunct/>
              <w:autoSpaceDE/>
              <w:autoSpaceDN/>
              <w:adjustRightInd/>
              <w:snapToGrid/>
              <w:spacing w:before="60" w:after="60" w:line="240" w:lineRule="auto"/>
              <w:ind w:left="113" w:right="113" w:firstLine="170"/>
              <w:rPr>
                <w:rFonts w:eastAsia="Times New Roman"/>
                <w:b/>
                <w:bCs/>
                <w:color w:val="000000"/>
                <w:szCs w:val="24"/>
                <w:lang w:val="fr-FR" w:eastAsia="zh-CN"/>
              </w:rPr>
            </w:pPr>
            <w:r w:rsidRPr="0055601E">
              <w:rPr>
                <w:rFonts w:eastAsia="Times New Roman"/>
                <w:bCs/>
                <w:color w:val="000000"/>
                <w:szCs w:val="24"/>
                <w:lang w:val="fr-FR" w:eastAsia="zh-CN"/>
              </w:rPr>
              <w:t>*</w:t>
            </w:r>
            <w:r w:rsidRPr="00B67FD6">
              <w:rPr>
                <w:rFonts w:eastAsia="Times New Roman"/>
                <w:b/>
                <w:bCs/>
                <w:color w:val="000000"/>
                <w:szCs w:val="24"/>
                <w:lang w:val="fr-FR" w:eastAsia="zh-CN"/>
              </w:rPr>
              <w:t xml:space="preserve"> </w:t>
            </w:r>
            <w:r w:rsidRPr="0055601E">
              <w:rPr>
                <w:rFonts w:eastAsia="Times New Roman"/>
                <w:bCs/>
                <w:color w:val="000000"/>
                <w:sz w:val="18"/>
                <w:szCs w:val="18"/>
                <w:lang w:val="fr-FR" w:eastAsia="zh-CN"/>
              </w:rPr>
              <w:t>Interprétation simultanée en anglais, en français et en russe</w:t>
            </w:r>
            <w:r>
              <w:rPr>
                <w:rFonts w:eastAsia="Times New Roman"/>
                <w:b/>
                <w:bCs/>
                <w:color w:val="000000"/>
                <w:szCs w:val="24"/>
                <w:lang w:val="fr-FR" w:eastAsia="zh-CN"/>
              </w:rPr>
              <w:t>.</w:t>
            </w:r>
          </w:p>
        </w:tc>
      </w:tr>
    </w:tbl>
    <w:p w:rsidR="00AB4B5D" w:rsidRPr="00B67FD6" w:rsidRDefault="00AB4B5D" w:rsidP="008D5326">
      <w:pPr>
        <w:pStyle w:val="HChG"/>
        <w:rPr>
          <w:lang w:val="fr-FR"/>
        </w:rPr>
      </w:pPr>
      <w:r w:rsidRPr="00B67FD6">
        <w:rPr>
          <w:lang w:val="fr-FR"/>
        </w:rPr>
        <w:br w:type="page"/>
      </w:r>
      <w:r w:rsidR="008D5326">
        <w:rPr>
          <w:lang w:val="fr-FR"/>
        </w:rPr>
        <w:lastRenderedPageBreak/>
        <w:tab/>
      </w:r>
      <w:r w:rsidRPr="00B67FD6">
        <w:rPr>
          <w:lang w:val="fr-FR"/>
        </w:rPr>
        <w:t>Annexe</w:t>
      </w:r>
      <w:r w:rsidR="008D5326">
        <w:rPr>
          <w:lang w:val="fr-FR"/>
        </w:rPr>
        <w:t xml:space="preserve"> II</w:t>
      </w:r>
    </w:p>
    <w:p w:rsidR="00AB4B5D" w:rsidRPr="00B67FD6" w:rsidRDefault="00AB4B5D" w:rsidP="008D5326">
      <w:pPr>
        <w:pStyle w:val="HChG"/>
        <w:rPr>
          <w:lang w:val="fr-FR"/>
        </w:rPr>
      </w:pPr>
      <w:r w:rsidRPr="00B67FD6">
        <w:rPr>
          <w:lang w:val="fr-FR"/>
        </w:rPr>
        <w:tab/>
      </w:r>
      <w:r w:rsidRPr="00B67FD6">
        <w:rPr>
          <w:lang w:val="fr-FR"/>
        </w:rPr>
        <w:tab/>
        <w:t>Projet de programme</w:t>
      </w:r>
    </w:p>
    <w:tbl>
      <w:tblPr>
        <w:tblW w:w="8505" w:type="dxa"/>
        <w:tblInd w:w="1134" w:type="dxa"/>
        <w:tblLayout w:type="fixed"/>
        <w:tblCellMar>
          <w:left w:w="0" w:type="dxa"/>
          <w:right w:w="0" w:type="dxa"/>
        </w:tblCellMar>
        <w:tblLook w:val="04A0" w:firstRow="1" w:lastRow="0" w:firstColumn="1" w:lastColumn="0" w:noHBand="0" w:noVBand="1"/>
      </w:tblPr>
      <w:tblGrid>
        <w:gridCol w:w="1477"/>
        <w:gridCol w:w="7028"/>
      </w:tblGrid>
      <w:tr w:rsidR="00AB4B5D" w:rsidRPr="009179E5" w:rsidTr="00645B45">
        <w:trPr>
          <w:tblHeader/>
        </w:trPr>
        <w:tc>
          <w:tcPr>
            <w:tcW w:w="9639" w:type="dxa"/>
            <w:gridSpan w:val="2"/>
            <w:tcBorders>
              <w:top w:val="single" w:sz="4" w:space="0" w:color="auto"/>
              <w:bottom w:val="single" w:sz="12" w:space="0" w:color="auto"/>
            </w:tcBorders>
            <w:shd w:val="clear" w:color="auto" w:fill="auto"/>
            <w:vAlign w:val="bottom"/>
          </w:tcPr>
          <w:p w:rsidR="00AB4B5D" w:rsidRPr="009179E5" w:rsidRDefault="00AB4B5D" w:rsidP="00C5199F">
            <w:pPr>
              <w:spacing w:before="80" w:after="80" w:line="200" w:lineRule="exact"/>
              <w:ind w:right="113"/>
              <w:rPr>
                <w:b/>
                <w:lang w:val="fr-FR"/>
              </w:rPr>
            </w:pPr>
            <w:bookmarkStart w:id="2" w:name="_GoBack"/>
            <w:r w:rsidRPr="009179E5">
              <w:rPr>
                <w:b/>
                <w:lang w:val="fr-FR"/>
              </w:rPr>
              <w:t xml:space="preserve">Débat de politique générale de haut niveau </w:t>
            </w:r>
          </w:p>
          <w:p w:rsidR="00AB4B5D" w:rsidRPr="009179E5" w:rsidRDefault="00AB4B5D" w:rsidP="00C5199F">
            <w:pPr>
              <w:spacing w:before="80" w:after="80" w:line="200" w:lineRule="exact"/>
              <w:ind w:right="113"/>
              <w:rPr>
                <w:b/>
                <w:lang w:val="fr-FR"/>
              </w:rPr>
            </w:pPr>
            <w:r w:rsidRPr="009179E5">
              <w:rPr>
                <w:b/>
                <w:lang w:val="fr-FR"/>
              </w:rPr>
              <w:t>« L’automatisation dans les transports »</w:t>
            </w:r>
          </w:p>
          <w:p w:rsidR="00AB4B5D" w:rsidRPr="009179E5" w:rsidRDefault="00AB4B5D" w:rsidP="00C5199F">
            <w:pPr>
              <w:spacing w:before="80" w:after="80" w:line="200" w:lineRule="exact"/>
              <w:ind w:right="113"/>
              <w:rPr>
                <w:b/>
                <w:lang w:val="fr-FR"/>
              </w:rPr>
            </w:pPr>
            <w:r w:rsidRPr="009179E5">
              <w:rPr>
                <w:b/>
                <w:lang w:val="fr-FR"/>
              </w:rPr>
              <w:t xml:space="preserve">19 février 2019, 10 </w:t>
            </w:r>
            <w:r w:rsidR="009179E5">
              <w:rPr>
                <w:b/>
                <w:lang w:val="fr-FR"/>
              </w:rPr>
              <w:t>h-</w:t>
            </w:r>
            <w:r w:rsidRPr="009179E5">
              <w:rPr>
                <w:b/>
                <w:lang w:val="fr-FR"/>
              </w:rPr>
              <w:t xml:space="preserve">13 h, </w:t>
            </w:r>
            <w:r w:rsidR="009179E5">
              <w:rPr>
                <w:b/>
                <w:lang w:val="fr-FR"/>
              </w:rPr>
              <w:t>s</w:t>
            </w:r>
            <w:r w:rsidRPr="009179E5">
              <w:rPr>
                <w:b/>
                <w:lang w:val="fr-FR"/>
              </w:rPr>
              <w:t>alle XVII</w:t>
            </w:r>
          </w:p>
          <w:p w:rsidR="00AB4B5D" w:rsidRPr="009179E5" w:rsidRDefault="00AB4B5D" w:rsidP="00C5199F">
            <w:pPr>
              <w:spacing w:before="80" w:after="80" w:line="200" w:lineRule="exact"/>
              <w:ind w:right="113"/>
              <w:rPr>
                <w:b/>
                <w:lang w:val="fr-FR"/>
              </w:rPr>
            </w:pPr>
            <w:r w:rsidRPr="009179E5">
              <w:rPr>
                <w:b/>
                <w:lang w:val="fr-FR"/>
              </w:rPr>
              <w:t>Palais des Nations, Genève</w:t>
            </w:r>
          </w:p>
        </w:tc>
      </w:tr>
      <w:tr w:rsidR="00C5199F" w:rsidRPr="00C5199F" w:rsidTr="00645B45">
        <w:trPr>
          <w:trHeight w:hRule="exact" w:val="113"/>
        </w:trPr>
        <w:tc>
          <w:tcPr>
            <w:tcW w:w="9639" w:type="dxa"/>
            <w:gridSpan w:val="2"/>
            <w:tcBorders>
              <w:top w:val="single" w:sz="12" w:space="0" w:color="auto"/>
            </w:tcBorders>
            <w:shd w:val="clear" w:color="auto" w:fill="auto"/>
          </w:tcPr>
          <w:p w:rsidR="00C5199F" w:rsidRPr="00C5199F" w:rsidRDefault="00C5199F" w:rsidP="00C5199F">
            <w:pPr>
              <w:spacing w:before="40" w:after="120"/>
              <w:ind w:right="113"/>
              <w:rPr>
                <w:lang w:val="fr-FR"/>
              </w:rPr>
            </w:pPr>
          </w:p>
        </w:tc>
      </w:tr>
      <w:tr w:rsidR="00AB4B5D" w:rsidRPr="00C5199F" w:rsidTr="00645B45">
        <w:tc>
          <w:tcPr>
            <w:tcW w:w="1669" w:type="dxa"/>
            <w:shd w:val="clear" w:color="auto" w:fill="auto"/>
            <w:tcMar>
              <w:top w:w="15" w:type="dxa"/>
              <w:left w:w="15" w:type="dxa"/>
              <w:bottom w:w="0" w:type="dxa"/>
              <w:right w:w="15" w:type="dxa"/>
            </w:tcMar>
            <w:hideMark/>
          </w:tcPr>
          <w:p w:rsidR="00AB4B5D" w:rsidRPr="00C5199F" w:rsidRDefault="009179E5" w:rsidP="00C5199F">
            <w:pPr>
              <w:spacing w:before="40" w:after="120"/>
              <w:ind w:right="113"/>
              <w:rPr>
                <w:lang w:val="fr-FR"/>
              </w:rPr>
            </w:pPr>
            <w:r>
              <w:rPr>
                <w:lang w:val="fr-FR"/>
              </w:rPr>
              <w:t>10 h 00-</w:t>
            </w:r>
            <w:r w:rsidR="00AB4B5D" w:rsidRPr="00C5199F">
              <w:rPr>
                <w:lang w:val="fr-FR"/>
              </w:rPr>
              <w:t>10 h 20</w:t>
            </w:r>
          </w:p>
        </w:tc>
        <w:tc>
          <w:tcPr>
            <w:tcW w:w="7970" w:type="dxa"/>
            <w:shd w:val="clear" w:color="auto" w:fill="auto"/>
            <w:tcMar>
              <w:top w:w="15" w:type="dxa"/>
              <w:left w:w="15" w:type="dxa"/>
              <w:bottom w:w="0" w:type="dxa"/>
              <w:right w:w="15" w:type="dxa"/>
            </w:tcMar>
            <w:hideMark/>
          </w:tcPr>
          <w:p w:rsidR="00AB4B5D" w:rsidRPr="00026945" w:rsidRDefault="00AB4B5D" w:rsidP="00C5199F">
            <w:pPr>
              <w:spacing w:before="40" w:after="120"/>
              <w:ind w:right="113"/>
              <w:rPr>
                <w:b/>
                <w:lang w:val="fr-FR"/>
              </w:rPr>
            </w:pPr>
            <w:r w:rsidRPr="00026945">
              <w:rPr>
                <w:b/>
                <w:lang w:val="fr-FR"/>
              </w:rPr>
              <w:t xml:space="preserve">Allocutions de bienvenue </w:t>
            </w:r>
          </w:p>
        </w:tc>
      </w:tr>
      <w:tr w:rsidR="00AB4B5D" w:rsidRPr="00C5199F" w:rsidTr="00645B45">
        <w:tc>
          <w:tcPr>
            <w:tcW w:w="1669" w:type="dxa"/>
            <w:shd w:val="clear" w:color="auto" w:fill="auto"/>
            <w:tcMar>
              <w:top w:w="15" w:type="dxa"/>
              <w:left w:w="15" w:type="dxa"/>
              <w:bottom w:w="0" w:type="dxa"/>
              <w:right w:w="15" w:type="dxa"/>
            </w:tcMar>
            <w:hideMark/>
          </w:tcPr>
          <w:p w:rsidR="00AB4B5D" w:rsidRPr="00C5199F" w:rsidRDefault="00AB4B5D" w:rsidP="00C5199F">
            <w:pPr>
              <w:spacing w:before="40" w:after="120"/>
              <w:ind w:right="113"/>
              <w:rPr>
                <w:lang w:val="fr-FR"/>
              </w:rPr>
            </w:pPr>
            <w:r w:rsidRPr="00C5199F">
              <w:rPr>
                <w:lang w:val="fr-FR"/>
              </w:rPr>
              <w:t xml:space="preserve">10 h 20-10 h 45 </w:t>
            </w:r>
          </w:p>
        </w:tc>
        <w:tc>
          <w:tcPr>
            <w:tcW w:w="7970" w:type="dxa"/>
            <w:shd w:val="clear" w:color="auto" w:fill="auto"/>
            <w:tcMar>
              <w:top w:w="15" w:type="dxa"/>
              <w:left w:w="15" w:type="dxa"/>
              <w:bottom w:w="0" w:type="dxa"/>
              <w:right w:w="15" w:type="dxa"/>
            </w:tcMar>
            <w:hideMark/>
          </w:tcPr>
          <w:p w:rsidR="00AB4B5D" w:rsidRPr="00026945" w:rsidRDefault="00AB4B5D" w:rsidP="00C5199F">
            <w:pPr>
              <w:spacing w:before="40" w:after="120"/>
              <w:ind w:right="113"/>
              <w:rPr>
                <w:b/>
                <w:lang w:val="fr-FR"/>
              </w:rPr>
            </w:pPr>
            <w:r w:rsidRPr="00026945">
              <w:rPr>
                <w:b/>
                <w:lang w:val="fr-FR"/>
              </w:rPr>
              <w:t xml:space="preserve">Interventions liminaires  </w:t>
            </w:r>
          </w:p>
        </w:tc>
      </w:tr>
      <w:tr w:rsidR="00AB4B5D" w:rsidRPr="00C5199F" w:rsidTr="00645B45">
        <w:tc>
          <w:tcPr>
            <w:tcW w:w="1669" w:type="dxa"/>
            <w:shd w:val="clear" w:color="auto" w:fill="auto"/>
            <w:tcMar>
              <w:top w:w="15" w:type="dxa"/>
              <w:left w:w="15" w:type="dxa"/>
              <w:bottom w:w="0" w:type="dxa"/>
              <w:right w:w="15" w:type="dxa"/>
            </w:tcMar>
            <w:hideMark/>
          </w:tcPr>
          <w:p w:rsidR="00AB4B5D" w:rsidRPr="00C5199F" w:rsidRDefault="00AB4B5D" w:rsidP="00C5199F">
            <w:pPr>
              <w:spacing w:before="40" w:after="120"/>
              <w:ind w:right="113"/>
              <w:rPr>
                <w:lang w:val="fr-FR"/>
              </w:rPr>
            </w:pPr>
            <w:r w:rsidRPr="00C5199F">
              <w:rPr>
                <w:iCs/>
                <w:lang w:val="fr-FR"/>
              </w:rPr>
              <w:t>10 h 45</w:t>
            </w:r>
            <w:r w:rsidR="009179E5">
              <w:rPr>
                <w:iCs/>
                <w:lang w:val="fr-FR"/>
              </w:rPr>
              <w:t>-</w:t>
            </w:r>
            <w:r w:rsidRPr="00C5199F">
              <w:rPr>
                <w:iCs/>
                <w:lang w:val="fr-FR"/>
              </w:rPr>
              <w:t xml:space="preserve">11 h 30 </w:t>
            </w:r>
          </w:p>
        </w:tc>
        <w:tc>
          <w:tcPr>
            <w:tcW w:w="7970" w:type="dxa"/>
            <w:shd w:val="clear" w:color="auto" w:fill="auto"/>
            <w:tcMar>
              <w:top w:w="15" w:type="dxa"/>
              <w:left w:w="15" w:type="dxa"/>
              <w:bottom w:w="0" w:type="dxa"/>
              <w:right w:w="15" w:type="dxa"/>
            </w:tcMar>
            <w:hideMark/>
          </w:tcPr>
          <w:p w:rsidR="00AB4B5D" w:rsidRPr="009179E5" w:rsidRDefault="00AB4B5D" w:rsidP="00026945">
            <w:pPr>
              <w:spacing w:before="40" w:after="120"/>
              <w:ind w:right="113"/>
              <w:rPr>
                <w:i/>
                <w:iCs/>
                <w:lang w:val="fr-FR"/>
              </w:rPr>
            </w:pPr>
            <w:r w:rsidRPr="00026945">
              <w:rPr>
                <w:b/>
                <w:iCs/>
                <w:lang w:val="fr-FR"/>
              </w:rPr>
              <w:t>Table ronde I</w:t>
            </w:r>
            <w:r w:rsidR="00AF5EC3" w:rsidRPr="00026945">
              <w:rPr>
                <w:b/>
                <w:iCs/>
                <w:lang w:val="fr-FR"/>
              </w:rPr>
              <w:t> :</w:t>
            </w:r>
            <w:r w:rsidRPr="00026945">
              <w:rPr>
                <w:b/>
                <w:iCs/>
                <w:lang w:val="fr-FR"/>
              </w:rPr>
              <w:t xml:space="preserve"> Rôle et tendances de l’automatisation dans les transports</w:t>
            </w:r>
            <w:r w:rsidR="00AF5EC3" w:rsidRPr="00026945">
              <w:rPr>
                <w:b/>
                <w:iCs/>
                <w:lang w:val="fr-FR"/>
              </w:rPr>
              <w:t> :</w:t>
            </w:r>
            <w:r w:rsidRPr="00026945">
              <w:rPr>
                <w:b/>
                <w:iCs/>
                <w:lang w:val="fr-FR"/>
              </w:rPr>
              <w:t xml:space="preserve"> </w:t>
            </w:r>
            <w:r w:rsidR="00026945">
              <w:rPr>
                <w:b/>
                <w:iCs/>
                <w:lang w:val="fr-FR"/>
              </w:rPr>
              <w:br/>
            </w:r>
            <w:r w:rsidRPr="00026945">
              <w:rPr>
                <w:b/>
                <w:iCs/>
                <w:lang w:val="fr-FR"/>
              </w:rPr>
              <w:t>sécurité, efficacité et viabilité</w:t>
            </w:r>
            <w:r w:rsidR="00026945">
              <w:rPr>
                <w:b/>
                <w:iCs/>
                <w:lang w:val="fr-FR"/>
              </w:rPr>
              <w:br/>
            </w:r>
            <w:r w:rsidRPr="00C5199F">
              <w:rPr>
                <w:i/>
                <w:iCs/>
                <w:lang w:val="fr-FR"/>
              </w:rPr>
              <w:t>Débat et interventions programmées (maximum 3 minutes chacune)</w:t>
            </w:r>
          </w:p>
        </w:tc>
      </w:tr>
      <w:tr w:rsidR="00AB4B5D" w:rsidRPr="00C5199F" w:rsidTr="00645B45">
        <w:tc>
          <w:tcPr>
            <w:tcW w:w="1669" w:type="dxa"/>
            <w:shd w:val="clear" w:color="auto" w:fill="auto"/>
            <w:tcMar>
              <w:top w:w="15" w:type="dxa"/>
              <w:left w:w="15" w:type="dxa"/>
              <w:bottom w:w="0" w:type="dxa"/>
              <w:right w:w="15" w:type="dxa"/>
            </w:tcMar>
            <w:hideMark/>
          </w:tcPr>
          <w:p w:rsidR="00AB4B5D" w:rsidRPr="00C5199F" w:rsidRDefault="00AB4B5D" w:rsidP="00C5199F">
            <w:pPr>
              <w:spacing w:before="40" w:after="120"/>
              <w:ind w:right="113"/>
              <w:rPr>
                <w:lang w:val="fr-FR"/>
              </w:rPr>
            </w:pPr>
            <w:r w:rsidRPr="00C5199F">
              <w:rPr>
                <w:iCs/>
                <w:lang w:val="fr-FR"/>
              </w:rPr>
              <w:t>11 h 30</w:t>
            </w:r>
            <w:r w:rsidR="00933D39">
              <w:rPr>
                <w:lang w:val="fr-FR"/>
              </w:rPr>
              <w:t>-</w:t>
            </w:r>
            <w:r w:rsidRPr="00C5199F">
              <w:rPr>
                <w:lang w:val="fr-FR"/>
              </w:rPr>
              <w:t>12 h</w:t>
            </w:r>
            <w:r w:rsidR="009179E5">
              <w:rPr>
                <w:lang w:val="fr-FR"/>
              </w:rPr>
              <w:t> 00</w:t>
            </w:r>
            <w:r w:rsidRPr="00C5199F">
              <w:rPr>
                <w:lang w:val="fr-FR"/>
              </w:rPr>
              <w:t xml:space="preserve"> </w:t>
            </w:r>
          </w:p>
        </w:tc>
        <w:tc>
          <w:tcPr>
            <w:tcW w:w="7970" w:type="dxa"/>
            <w:shd w:val="clear" w:color="auto" w:fill="auto"/>
            <w:tcMar>
              <w:top w:w="15" w:type="dxa"/>
              <w:left w:w="15" w:type="dxa"/>
              <w:bottom w:w="0" w:type="dxa"/>
              <w:right w:w="15" w:type="dxa"/>
            </w:tcMar>
            <w:hideMark/>
          </w:tcPr>
          <w:p w:rsidR="00AB4B5D" w:rsidRPr="00C5199F" w:rsidRDefault="00AB4B5D" w:rsidP="00C5199F">
            <w:pPr>
              <w:spacing w:before="40" w:after="120"/>
              <w:ind w:right="113"/>
              <w:rPr>
                <w:u w:val="single"/>
                <w:lang w:val="fr-FR"/>
              </w:rPr>
            </w:pPr>
            <w:r w:rsidRPr="00C5199F">
              <w:rPr>
                <w:i/>
                <w:iCs/>
                <w:lang w:val="fr-FR"/>
              </w:rPr>
              <w:t>Pause-café</w:t>
            </w:r>
          </w:p>
        </w:tc>
      </w:tr>
      <w:tr w:rsidR="00AB4B5D" w:rsidRPr="00C5199F" w:rsidTr="00645B45">
        <w:tc>
          <w:tcPr>
            <w:tcW w:w="1669" w:type="dxa"/>
            <w:shd w:val="clear" w:color="auto" w:fill="auto"/>
            <w:tcMar>
              <w:top w:w="15" w:type="dxa"/>
              <w:left w:w="15" w:type="dxa"/>
              <w:bottom w:w="0" w:type="dxa"/>
              <w:right w:w="15" w:type="dxa"/>
            </w:tcMar>
            <w:hideMark/>
          </w:tcPr>
          <w:p w:rsidR="00AB4B5D" w:rsidRPr="00C5199F" w:rsidRDefault="00AB4B5D" w:rsidP="00C5199F">
            <w:pPr>
              <w:spacing w:before="40" w:after="120"/>
              <w:ind w:right="113"/>
              <w:rPr>
                <w:lang w:val="fr-FR"/>
              </w:rPr>
            </w:pPr>
            <w:r w:rsidRPr="00C5199F">
              <w:rPr>
                <w:lang w:val="fr-FR"/>
              </w:rPr>
              <w:t>12 h</w:t>
            </w:r>
            <w:r w:rsidR="00933D39">
              <w:rPr>
                <w:lang w:val="fr-FR"/>
              </w:rPr>
              <w:t xml:space="preserve"> 00-</w:t>
            </w:r>
            <w:r w:rsidRPr="00C5199F">
              <w:rPr>
                <w:lang w:val="fr-FR"/>
              </w:rPr>
              <w:t xml:space="preserve">12 h 45 </w:t>
            </w:r>
          </w:p>
        </w:tc>
        <w:tc>
          <w:tcPr>
            <w:tcW w:w="7970" w:type="dxa"/>
            <w:shd w:val="clear" w:color="auto" w:fill="auto"/>
            <w:tcMar>
              <w:top w:w="15" w:type="dxa"/>
              <w:left w:w="15" w:type="dxa"/>
              <w:bottom w:w="0" w:type="dxa"/>
              <w:right w:w="15" w:type="dxa"/>
            </w:tcMar>
            <w:hideMark/>
          </w:tcPr>
          <w:p w:rsidR="00AB4B5D" w:rsidRPr="00C5199F" w:rsidRDefault="00AB4B5D" w:rsidP="00026945">
            <w:pPr>
              <w:spacing w:before="40" w:after="120"/>
              <w:ind w:right="113"/>
              <w:rPr>
                <w:u w:val="single"/>
                <w:lang w:val="fr-FR"/>
              </w:rPr>
            </w:pPr>
            <w:r w:rsidRPr="00026945">
              <w:rPr>
                <w:b/>
                <w:iCs/>
                <w:lang w:val="fr-FR"/>
              </w:rPr>
              <w:t>Table ronde II</w:t>
            </w:r>
            <w:r w:rsidR="00AF5EC3" w:rsidRPr="00026945">
              <w:rPr>
                <w:b/>
                <w:iCs/>
                <w:lang w:val="fr-FR"/>
              </w:rPr>
              <w:t> :</w:t>
            </w:r>
            <w:r w:rsidRPr="00026945">
              <w:rPr>
                <w:b/>
                <w:iCs/>
                <w:lang w:val="fr-FR"/>
              </w:rPr>
              <w:t xml:space="preserve"> Promotion de l’automatisation dans tous les modes de transport</w:t>
            </w:r>
            <w:r w:rsidR="00AF5EC3" w:rsidRPr="00026945">
              <w:rPr>
                <w:b/>
                <w:iCs/>
                <w:lang w:val="fr-FR"/>
              </w:rPr>
              <w:t> :</w:t>
            </w:r>
            <w:r w:rsidRPr="00026945">
              <w:rPr>
                <w:b/>
                <w:iCs/>
                <w:lang w:val="fr-FR"/>
              </w:rPr>
              <w:t xml:space="preserve"> </w:t>
            </w:r>
            <w:r w:rsidR="00026945">
              <w:rPr>
                <w:b/>
                <w:iCs/>
                <w:lang w:val="fr-FR"/>
              </w:rPr>
              <w:br/>
            </w:r>
            <w:r w:rsidRPr="00026945">
              <w:rPr>
                <w:b/>
                <w:iCs/>
                <w:lang w:val="fr-FR"/>
              </w:rPr>
              <w:t>obstacles et effets de synergie</w:t>
            </w:r>
            <w:r w:rsidR="00026945">
              <w:rPr>
                <w:b/>
                <w:iCs/>
                <w:lang w:val="fr-FR"/>
              </w:rPr>
              <w:br/>
            </w:r>
            <w:r w:rsidRPr="00C5199F">
              <w:rPr>
                <w:i/>
                <w:iCs/>
                <w:lang w:val="fr-FR"/>
              </w:rPr>
              <w:t>Débat et interventions programmées (maximum 3 minutes chacune)</w:t>
            </w:r>
          </w:p>
        </w:tc>
      </w:tr>
      <w:tr w:rsidR="00AB4B5D" w:rsidRPr="00C5199F" w:rsidTr="00645B45">
        <w:tc>
          <w:tcPr>
            <w:tcW w:w="1669" w:type="dxa"/>
            <w:tcBorders>
              <w:bottom w:val="single" w:sz="12" w:space="0" w:color="auto"/>
            </w:tcBorders>
            <w:shd w:val="clear" w:color="auto" w:fill="auto"/>
            <w:tcMar>
              <w:top w:w="15" w:type="dxa"/>
              <w:left w:w="15" w:type="dxa"/>
              <w:bottom w:w="0" w:type="dxa"/>
              <w:right w:w="15" w:type="dxa"/>
            </w:tcMar>
            <w:hideMark/>
          </w:tcPr>
          <w:p w:rsidR="00AB4B5D" w:rsidRPr="00C5199F" w:rsidRDefault="00AB4B5D" w:rsidP="00C5199F">
            <w:pPr>
              <w:spacing w:before="40" w:after="120"/>
              <w:ind w:right="113"/>
              <w:rPr>
                <w:lang w:val="fr-FR"/>
              </w:rPr>
            </w:pPr>
            <w:r w:rsidRPr="00C5199F">
              <w:rPr>
                <w:lang w:val="fr-FR"/>
              </w:rPr>
              <w:t>12 h 45</w:t>
            </w:r>
            <w:r w:rsidR="00933D39">
              <w:rPr>
                <w:lang w:val="fr-FR"/>
              </w:rPr>
              <w:t>-</w:t>
            </w:r>
            <w:r w:rsidRPr="00C5199F">
              <w:rPr>
                <w:lang w:val="fr-FR"/>
              </w:rPr>
              <w:t>13 h</w:t>
            </w:r>
            <w:r w:rsidR="00933D39">
              <w:rPr>
                <w:lang w:val="fr-FR"/>
              </w:rPr>
              <w:t xml:space="preserve"> 00</w:t>
            </w:r>
            <w:r w:rsidRPr="00C5199F">
              <w:rPr>
                <w:lang w:val="fr-FR"/>
              </w:rPr>
              <w:t xml:space="preserve"> </w:t>
            </w:r>
          </w:p>
        </w:tc>
        <w:tc>
          <w:tcPr>
            <w:tcW w:w="7970" w:type="dxa"/>
            <w:tcBorders>
              <w:bottom w:val="single" w:sz="12" w:space="0" w:color="auto"/>
            </w:tcBorders>
            <w:shd w:val="clear" w:color="auto" w:fill="auto"/>
            <w:tcMar>
              <w:top w:w="15" w:type="dxa"/>
              <w:left w:w="15" w:type="dxa"/>
              <w:bottom w:w="0" w:type="dxa"/>
              <w:right w:w="15" w:type="dxa"/>
            </w:tcMar>
            <w:hideMark/>
          </w:tcPr>
          <w:p w:rsidR="00AB4B5D" w:rsidRPr="00026945" w:rsidRDefault="00AB4B5D" w:rsidP="00C5199F">
            <w:pPr>
              <w:spacing w:before="40" w:after="120"/>
              <w:ind w:right="113"/>
              <w:rPr>
                <w:b/>
                <w:iCs/>
                <w:lang w:val="fr-FR"/>
              </w:rPr>
            </w:pPr>
            <w:r w:rsidRPr="00026945">
              <w:rPr>
                <w:b/>
                <w:iCs/>
                <w:lang w:val="fr-FR"/>
              </w:rPr>
              <w:t>Adoption de la déclaration/résolution du CTI et discours de clôture</w:t>
            </w:r>
          </w:p>
        </w:tc>
      </w:tr>
    </w:tbl>
    <w:bookmarkEnd w:id="2"/>
    <w:p w:rsidR="00F9573C" w:rsidRPr="00CB27A4" w:rsidRDefault="00CB27A4" w:rsidP="00CB27A4">
      <w:pPr>
        <w:pStyle w:val="SingleTxtG"/>
        <w:spacing w:before="240" w:after="0"/>
        <w:jc w:val="center"/>
        <w:rPr>
          <w:u w:val="single"/>
        </w:rPr>
      </w:pPr>
      <w:r>
        <w:rPr>
          <w:u w:val="single"/>
        </w:rPr>
        <w:tab/>
      </w:r>
      <w:r>
        <w:rPr>
          <w:u w:val="single"/>
        </w:rPr>
        <w:tab/>
      </w:r>
      <w:r>
        <w:rPr>
          <w:u w:val="single"/>
        </w:rPr>
        <w:tab/>
      </w:r>
    </w:p>
    <w:sectPr w:rsidR="00F9573C" w:rsidRPr="00CB27A4" w:rsidSect="0030223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430" w:rsidRDefault="00513430" w:rsidP="00F95C08">
      <w:pPr>
        <w:spacing w:line="240" w:lineRule="auto"/>
      </w:pPr>
    </w:p>
  </w:endnote>
  <w:endnote w:type="continuationSeparator" w:id="0">
    <w:p w:rsidR="00513430" w:rsidRPr="00AC3823" w:rsidRDefault="00513430" w:rsidP="00AC3823">
      <w:pPr>
        <w:pStyle w:val="Pieddepage"/>
      </w:pPr>
    </w:p>
  </w:endnote>
  <w:endnote w:type="continuationNotice" w:id="1">
    <w:p w:rsidR="00513430" w:rsidRDefault="005134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3D" w:rsidRPr="0030223D" w:rsidRDefault="0030223D" w:rsidP="0030223D">
    <w:pPr>
      <w:pStyle w:val="Pieddepage"/>
      <w:tabs>
        <w:tab w:val="right" w:pos="9638"/>
      </w:tabs>
    </w:pPr>
    <w:r w:rsidRPr="0030223D">
      <w:rPr>
        <w:b/>
        <w:sz w:val="18"/>
      </w:rPr>
      <w:fldChar w:fldCharType="begin"/>
    </w:r>
    <w:r w:rsidRPr="0030223D">
      <w:rPr>
        <w:b/>
        <w:sz w:val="18"/>
      </w:rPr>
      <w:instrText xml:space="preserve"> PAGE  \* MERGEFORMAT </w:instrText>
    </w:r>
    <w:r w:rsidRPr="0030223D">
      <w:rPr>
        <w:b/>
        <w:sz w:val="18"/>
      </w:rPr>
      <w:fldChar w:fldCharType="separate"/>
    </w:r>
    <w:r w:rsidR="00645B45">
      <w:rPr>
        <w:b/>
        <w:noProof/>
        <w:sz w:val="18"/>
      </w:rPr>
      <w:t>6</w:t>
    </w:r>
    <w:r w:rsidRPr="0030223D">
      <w:rPr>
        <w:b/>
        <w:sz w:val="18"/>
      </w:rPr>
      <w:fldChar w:fldCharType="end"/>
    </w:r>
    <w:r>
      <w:rPr>
        <w:b/>
        <w:sz w:val="18"/>
      </w:rPr>
      <w:tab/>
    </w:r>
    <w:r>
      <w:t>GE.18-20333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3D" w:rsidRPr="0030223D" w:rsidRDefault="0030223D" w:rsidP="0030223D">
    <w:pPr>
      <w:pStyle w:val="Pieddepage"/>
      <w:tabs>
        <w:tab w:val="right" w:pos="9638"/>
      </w:tabs>
      <w:rPr>
        <w:b/>
        <w:sz w:val="18"/>
      </w:rPr>
    </w:pPr>
    <w:r>
      <w:t>GE.18-20333</w:t>
    </w:r>
    <w:r>
      <w:tab/>
    </w:r>
    <w:r w:rsidRPr="0030223D">
      <w:rPr>
        <w:b/>
        <w:sz w:val="18"/>
      </w:rPr>
      <w:fldChar w:fldCharType="begin"/>
    </w:r>
    <w:r w:rsidRPr="0030223D">
      <w:rPr>
        <w:b/>
        <w:sz w:val="18"/>
      </w:rPr>
      <w:instrText xml:space="preserve"> PAGE  \* MERGEFORMAT </w:instrText>
    </w:r>
    <w:r w:rsidRPr="0030223D">
      <w:rPr>
        <w:b/>
        <w:sz w:val="18"/>
      </w:rPr>
      <w:fldChar w:fldCharType="separate"/>
    </w:r>
    <w:r w:rsidR="00645B45">
      <w:rPr>
        <w:b/>
        <w:noProof/>
        <w:sz w:val="18"/>
      </w:rPr>
      <w:t>5</w:t>
    </w:r>
    <w:r w:rsidRPr="003022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30223D" w:rsidRDefault="0030223D" w:rsidP="0030223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18-20333  (F)    141218    211218</w:t>
    </w:r>
    <w:r>
      <w:rPr>
        <w:sz w:val="20"/>
      </w:rPr>
      <w:br/>
    </w:r>
    <w:r w:rsidRPr="0030223D">
      <w:rPr>
        <w:rFonts w:ascii="C39T30Lfz" w:hAnsi="C39T30Lfz"/>
        <w:sz w:val="56"/>
      </w:rPr>
      <w:t></w:t>
    </w:r>
    <w:r w:rsidRPr="0030223D">
      <w:rPr>
        <w:rFonts w:ascii="C39T30Lfz" w:hAnsi="C39T30Lfz"/>
        <w:sz w:val="56"/>
      </w:rPr>
      <w:t></w:t>
    </w:r>
    <w:r w:rsidRPr="0030223D">
      <w:rPr>
        <w:rFonts w:ascii="C39T30Lfz" w:hAnsi="C39T30Lfz"/>
        <w:sz w:val="56"/>
      </w:rPr>
      <w:t></w:t>
    </w:r>
    <w:r w:rsidRPr="0030223D">
      <w:rPr>
        <w:rFonts w:ascii="C39T30Lfz" w:hAnsi="C39T30Lfz"/>
        <w:sz w:val="56"/>
      </w:rPr>
      <w:t></w:t>
    </w:r>
    <w:r w:rsidRPr="0030223D">
      <w:rPr>
        <w:rFonts w:ascii="C39T30Lfz" w:hAnsi="C39T30Lfz"/>
        <w:sz w:val="56"/>
      </w:rPr>
      <w:t></w:t>
    </w:r>
    <w:r w:rsidRPr="0030223D">
      <w:rPr>
        <w:rFonts w:ascii="C39T30Lfz" w:hAnsi="C39T30Lfz"/>
        <w:sz w:val="56"/>
      </w:rPr>
      <w:t></w:t>
    </w:r>
    <w:r w:rsidRPr="0030223D">
      <w:rPr>
        <w:rFonts w:ascii="C39T30Lfz" w:hAnsi="C39T30Lfz"/>
        <w:sz w:val="56"/>
      </w:rPr>
      <w:t></w:t>
    </w:r>
    <w:r w:rsidRPr="0030223D">
      <w:rPr>
        <w:rFonts w:ascii="C39T30Lfz" w:hAnsi="C39T30Lfz"/>
        <w:sz w:val="56"/>
      </w:rPr>
      <w:t></w:t>
    </w:r>
    <w:r w:rsidRPr="0030223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9/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430" w:rsidRPr="00AC3823" w:rsidRDefault="00513430" w:rsidP="00AC3823">
      <w:pPr>
        <w:pStyle w:val="Pieddepage"/>
        <w:tabs>
          <w:tab w:val="right" w:pos="2155"/>
        </w:tabs>
        <w:spacing w:after="80" w:line="240" w:lineRule="atLeast"/>
        <w:ind w:left="680"/>
        <w:rPr>
          <w:u w:val="single"/>
        </w:rPr>
      </w:pPr>
      <w:r>
        <w:rPr>
          <w:u w:val="single"/>
        </w:rPr>
        <w:tab/>
      </w:r>
    </w:p>
  </w:footnote>
  <w:footnote w:type="continuationSeparator" w:id="0">
    <w:p w:rsidR="00513430" w:rsidRPr="00AC3823" w:rsidRDefault="00513430" w:rsidP="00AC3823">
      <w:pPr>
        <w:pStyle w:val="Pieddepage"/>
        <w:tabs>
          <w:tab w:val="right" w:pos="2155"/>
        </w:tabs>
        <w:spacing w:after="80" w:line="240" w:lineRule="atLeast"/>
        <w:ind w:left="680"/>
        <w:rPr>
          <w:u w:val="single"/>
        </w:rPr>
      </w:pPr>
      <w:r>
        <w:rPr>
          <w:u w:val="single"/>
        </w:rPr>
        <w:tab/>
      </w:r>
    </w:p>
  </w:footnote>
  <w:footnote w:type="continuationNotice" w:id="1">
    <w:p w:rsidR="00513430" w:rsidRPr="00AC3823" w:rsidRDefault="0051343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3D" w:rsidRPr="0030223D" w:rsidRDefault="0030223D">
    <w:pPr>
      <w:pStyle w:val="En-tte"/>
    </w:pPr>
    <w:fldSimple w:instr=" TITLE  \* MERGEFORMAT ">
      <w:r w:rsidR="00533E12">
        <w:t>ECE/TRANS/2019/1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3D" w:rsidRPr="0030223D" w:rsidRDefault="0030223D" w:rsidP="0030223D">
    <w:pPr>
      <w:pStyle w:val="En-tte"/>
      <w:jc w:val="right"/>
    </w:pPr>
    <w:fldSimple w:instr=" TITLE  \* MERGEFORMAT ">
      <w:r w:rsidR="00533E12">
        <w:t>ECE/TRANS/2019/1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30"/>
    <w:rsid w:val="0000657B"/>
    <w:rsid w:val="00017F94"/>
    <w:rsid w:val="00023842"/>
    <w:rsid w:val="00026945"/>
    <w:rsid w:val="000334F9"/>
    <w:rsid w:val="00045FEB"/>
    <w:rsid w:val="0007796D"/>
    <w:rsid w:val="000B7790"/>
    <w:rsid w:val="00111F2F"/>
    <w:rsid w:val="0014365E"/>
    <w:rsid w:val="00143C66"/>
    <w:rsid w:val="00176178"/>
    <w:rsid w:val="0017773A"/>
    <w:rsid w:val="001F525A"/>
    <w:rsid w:val="00223272"/>
    <w:rsid w:val="0024779E"/>
    <w:rsid w:val="00257168"/>
    <w:rsid w:val="002744B8"/>
    <w:rsid w:val="002832AC"/>
    <w:rsid w:val="00290DE2"/>
    <w:rsid w:val="002D7C93"/>
    <w:rsid w:val="0030223D"/>
    <w:rsid w:val="00305801"/>
    <w:rsid w:val="003916DE"/>
    <w:rsid w:val="0039534C"/>
    <w:rsid w:val="00421996"/>
    <w:rsid w:val="00441C3B"/>
    <w:rsid w:val="00446FE5"/>
    <w:rsid w:val="00452396"/>
    <w:rsid w:val="004837D8"/>
    <w:rsid w:val="0049094C"/>
    <w:rsid w:val="004E2EED"/>
    <w:rsid w:val="004E468C"/>
    <w:rsid w:val="00513430"/>
    <w:rsid w:val="00533E12"/>
    <w:rsid w:val="005505B7"/>
    <w:rsid w:val="0055601E"/>
    <w:rsid w:val="00573BE5"/>
    <w:rsid w:val="00581E13"/>
    <w:rsid w:val="00586ED3"/>
    <w:rsid w:val="00596AA9"/>
    <w:rsid w:val="005B75DE"/>
    <w:rsid w:val="006069A8"/>
    <w:rsid w:val="00645B45"/>
    <w:rsid w:val="00690CA8"/>
    <w:rsid w:val="0071601D"/>
    <w:rsid w:val="007A62E6"/>
    <w:rsid w:val="007F20FA"/>
    <w:rsid w:val="0080684C"/>
    <w:rsid w:val="00871C75"/>
    <w:rsid w:val="008776DC"/>
    <w:rsid w:val="008D5326"/>
    <w:rsid w:val="009179E5"/>
    <w:rsid w:val="009247D2"/>
    <w:rsid w:val="00933D39"/>
    <w:rsid w:val="009446C0"/>
    <w:rsid w:val="009705C8"/>
    <w:rsid w:val="00982594"/>
    <w:rsid w:val="009C1CF4"/>
    <w:rsid w:val="009F6B74"/>
    <w:rsid w:val="00A3029F"/>
    <w:rsid w:val="00A30353"/>
    <w:rsid w:val="00AA1F64"/>
    <w:rsid w:val="00AB4B5D"/>
    <w:rsid w:val="00AC3823"/>
    <w:rsid w:val="00AE323C"/>
    <w:rsid w:val="00AF0CB5"/>
    <w:rsid w:val="00AF5EC3"/>
    <w:rsid w:val="00B00181"/>
    <w:rsid w:val="00B00B0D"/>
    <w:rsid w:val="00B075C7"/>
    <w:rsid w:val="00B45F2E"/>
    <w:rsid w:val="00B765F7"/>
    <w:rsid w:val="00BA0CA9"/>
    <w:rsid w:val="00C02897"/>
    <w:rsid w:val="00C1320A"/>
    <w:rsid w:val="00C5199F"/>
    <w:rsid w:val="00C97039"/>
    <w:rsid w:val="00CB27A4"/>
    <w:rsid w:val="00D0133F"/>
    <w:rsid w:val="00D3439C"/>
    <w:rsid w:val="00DA602D"/>
    <w:rsid w:val="00DB1831"/>
    <w:rsid w:val="00DD3BFD"/>
    <w:rsid w:val="00DF6678"/>
    <w:rsid w:val="00E0299A"/>
    <w:rsid w:val="00E05D09"/>
    <w:rsid w:val="00E85C74"/>
    <w:rsid w:val="00EA653E"/>
    <w:rsid w:val="00EA6547"/>
    <w:rsid w:val="00EF2E22"/>
    <w:rsid w:val="00F15E58"/>
    <w:rsid w:val="00F35BAF"/>
    <w:rsid w:val="00F660DF"/>
    <w:rsid w:val="00F94664"/>
    <w:rsid w:val="00F9573C"/>
    <w:rsid w:val="00F95C08"/>
    <w:rsid w:val="00FC315A"/>
    <w:rsid w:val="00FD5A4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D4B02F"/>
  <w15:docId w15:val="{045B7816-2ACD-43D6-85BE-936AA505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39534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ce.org/fileadmin/DAM/trans/doc/2018/itc/ECE-TRANS-274e.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6</Pages>
  <Words>1494</Words>
  <Characters>10460</Characters>
  <Application>Microsoft Office Word</Application>
  <DocSecurity>0</DocSecurity>
  <Lines>871</Lines>
  <Paragraphs>478</Paragraphs>
  <ScaleCrop>false</ScaleCrop>
  <HeadingPairs>
    <vt:vector size="2" baseType="variant">
      <vt:variant>
        <vt:lpstr>Titre</vt:lpstr>
      </vt:variant>
      <vt:variant>
        <vt:i4>1</vt:i4>
      </vt:variant>
    </vt:vector>
  </HeadingPairs>
  <TitlesOfParts>
    <vt:vector size="1" baseType="lpstr">
      <vt:lpstr>ECE/TRANS/2019/1</vt:lpstr>
    </vt:vector>
  </TitlesOfParts>
  <Company>DCM</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ECE/TRANS/2019/1</dc:title>
  <dc:subject/>
  <dc:creator>Nathalie VITTOZ</dc:creator>
  <cp:keywords/>
  <cp:lastModifiedBy>Nathalie Vittoz</cp:lastModifiedBy>
  <cp:revision>3</cp:revision>
  <cp:lastPrinted>2018-12-21T13:51:00Z</cp:lastPrinted>
  <dcterms:created xsi:type="dcterms:W3CDTF">2018-12-21T13:51:00Z</dcterms:created>
  <dcterms:modified xsi:type="dcterms:W3CDTF">2018-12-21T13:52:00Z</dcterms:modified>
</cp:coreProperties>
</file>