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75700" w:rsidRPr="00FF658F" w:rsidTr="00F82F5E">
        <w:trPr>
          <w:cantSplit/>
          <w:trHeight w:hRule="exact" w:val="851"/>
        </w:trPr>
        <w:tc>
          <w:tcPr>
            <w:tcW w:w="1276" w:type="dxa"/>
            <w:tcBorders>
              <w:bottom w:val="single" w:sz="4" w:space="0" w:color="auto"/>
            </w:tcBorders>
            <w:vAlign w:val="bottom"/>
          </w:tcPr>
          <w:p w:rsidR="00175700" w:rsidRPr="00FF658F" w:rsidRDefault="00175700" w:rsidP="00F82F5E">
            <w:pPr>
              <w:rPr>
                <w:lang w:eastAsia="en-GB"/>
              </w:rPr>
            </w:pPr>
          </w:p>
        </w:tc>
        <w:tc>
          <w:tcPr>
            <w:tcW w:w="8363" w:type="dxa"/>
            <w:gridSpan w:val="2"/>
            <w:tcBorders>
              <w:bottom w:val="single" w:sz="4" w:space="0" w:color="auto"/>
            </w:tcBorders>
            <w:vAlign w:val="bottom"/>
          </w:tcPr>
          <w:p w:rsidR="00175700" w:rsidRPr="00FF658F" w:rsidRDefault="00175700" w:rsidP="00F82F5E">
            <w:pPr>
              <w:jc w:val="right"/>
            </w:pPr>
            <w:r w:rsidRPr="003C435B">
              <w:rPr>
                <w:b/>
                <w:sz w:val="40"/>
                <w:szCs w:val="40"/>
              </w:rPr>
              <w:t>INF.</w:t>
            </w:r>
            <w:r w:rsidR="006C1E41">
              <w:rPr>
                <w:b/>
                <w:sz w:val="40"/>
                <w:szCs w:val="40"/>
              </w:rPr>
              <w:t>27</w:t>
            </w:r>
          </w:p>
        </w:tc>
      </w:tr>
      <w:tr w:rsidR="00175700" w:rsidRPr="00FF658F" w:rsidTr="001D62EC">
        <w:trPr>
          <w:cantSplit/>
          <w:trHeight w:hRule="exact" w:val="3838"/>
        </w:trPr>
        <w:tc>
          <w:tcPr>
            <w:tcW w:w="6804" w:type="dxa"/>
            <w:gridSpan w:val="2"/>
            <w:tcBorders>
              <w:top w:val="single" w:sz="4" w:space="0" w:color="auto"/>
              <w:bottom w:val="single" w:sz="12" w:space="0" w:color="auto"/>
            </w:tcBorders>
          </w:tcPr>
          <w:p w:rsidR="00175700" w:rsidRDefault="00175700" w:rsidP="00F82F5E">
            <w:pPr>
              <w:spacing w:before="120"/>
              <w:rPr>
                <w:b/>
                <w:sz w:val="28"/>
                <w:szCs w:val="28"/>
              </w:rPr>
            </w:pPr>
            <w:r w:rsidRPr="00832334">
              <w:rPr>
                <w:b/>
                <w:sz w:val="28"/>
                <w:szCs w:val="28"/>
              </w:rPr>
              <w:t>Economic Commission for Europe</w:t>
            </w:r>
          </w:p>
          <w:p w:rsidR="00175700" w:rsidRPr="008F31D2" w:rsidRDefault="00175700" w:rsidP="00F82F5E">
            <w:pPr>
              <w:spacing w:before="120"/>
              <w:rPr>
                <w:sz w:val="28"/>
                <w:szCs w:val="28"/>
              </w:rPr>
            </w:pPr>
            <w:r>
              <w:rPr>
                <w:sz w:val="28"/>
                <w:szCs w:val="28"/>
              </w:rPr>
              <w:t>Inland Transport Committee</w:t>
            </w:r>
          </w:p>
          <w:p w:rsidR="00175700" w:rsidRDefault="00175700" w:rsidP="00F82F5E">
            <w:pPr>
              <w:spacing w:before="120"/>
              <w:rPr>
                <w:b/>
                <w:sz w:val="24"/>
                <w:szCs w:val="24"/>
              </w:rPr>
            </w:pPr>
            <w:r>
              <w:rPr>
                <w:b/>
                <w:sz w:val="24"/>
                <w:szCs w:val="24"/>
              </w:rPr>
              <w:t>Working Party on the Transport of Dangerous Goods</w:t>
            </w:r>
          </w:p>
          <w:p w:rsidR="00175700" w:rsidRPr="008F31D2" w:rsidRDefault="00175700" w:rsidP="00F82F5E">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175700" w:rsidRPr="008D7010" w:rsidRDefault="00175700" w:rsidP="00F82F5E">
            <w:pPr>
              <w:spacing w:before="120"/>
              <w:rPr>
                <w:b/>
              </w:rPr>
            </w:pPr>
            <w:r>
              <w:rPr>
                <w:b/>
              </w:rPr>
              <w:t>Thirty-</w:t>
            </w:r>
            <w:r w:rsidR="00992952">
              <w:rPr>
                <w:b/>
              </w:rPr>
              <w:t>fifth</w:t>
            </w:r>
            <w:r>
              <w:rPr>
                <w:b/>
              </w:rPr>
              <w:t xml:space="preserve"> </w:t>
            </w:r>
            <w:r w:rsidRPr="008D7010">
              <w:rPr>
                <w:b/>
              </w:rPr>
              <w:t>session</w:t>
            </w:r>
          </w:p>
          <w:p w:rsidR="00175700" w:rsidRDefault="00175700" w:rsidP="00F82F5E">
            <w:r w:rsidRPr="008D7010">
              <w:t xml:space="preserve">Geneva, </w:t>
            </w:r>
            <w:r w:rsidR="00992952">
              <w:t>26</w:t>
            </w:r>
            <w:r>
              <w:t>-</w:t>
            </w:r>
            <w:r w:rsidR="00992952">
              <w:t>30</w:t>
            </w:r>
            <w:r>
              <w:t xml:space="preserve"> </w:t>
            </w:r>
            <w:r w:rsidR="00992952">
              <w:t>August</w:t>
            </w:r>
            <w:r>
              <w:t xml:space="preserve"> 2019</w:t>
            </w:r>
          </w:p>
          <w:p w:rsidR="00175700" w:rsidRDefault="00175700" w:rsidP="00F82F5E">
            <w:r>
              <w:t xml:space="preserve">Item </w:t>
            </w:r>
            <w:r w:rsidR="00350775">
              <w:t>4 (a)</w:t>
            </w:r>
            <w:r>
              <w:t xml:space="preserve"> of the provisional agenda</w:t>
            </w:r>
          </w:p>
          <w:p w:rsidR="001D62EC" w:rsidRPr="004F78EE" w:rsidRDefault="001D62EC" w:rsidP="00F82F5E">
            <w:pPr>
              <w:rPr>
                <w:b/>
                <w:bCs/>
              </w:rPr>
            </w:pPr>
            <w:r w:rsidRPr="004F78EE">
              <w:rPr>
                <w:b/>
                <w:bCs/>
              </w:rPr>
              <w:t>Proposals for amendments to the Regulations annexed to ADN:</w:t>
            </w:r>
          </w:p>
          <w:p w:rsidR="00175700" w:rsidRPr="00FF658F" w:rsidRDefault="004F78EE" w:rsidP="001D62EC">
            <w:pPr>
              <w:rPr>
                <w:b/>
              </w:rPr>
            </w:pPr>
            <w:r>
              <w:rPr>
                <w:b/>
                <w:bCs/>
              </w:rPr>
              <w:t>w</w:t>
            </w:r>
            <w:r w:rsidR="001D62EC" w:rsidRPr="004F78EE">
              <w:rPr>
                <w:b/>
                <w:bCs/>
              </w:rPr>
              <w:t>ork of the RID/ADR/ADN Joint Meeting</w:t>
            </w:r>
          </w:p>
        </w:tc>
        <w:tc>
          <w:tcPr>
            <w:tcW w:w="2835" w:type="dxa"/>
            <w:tcBorders>
              <w:top w:val="single" w:sz="4" w:space="0" w:color="auto"/>
              <w:bottom w:val="single" w:sz="12" w:space="0" w:color="auto"/>
            </w:tcBorders>
          </w:tcPr>
          <w:p w:rsidR="00175700" w:rsidRPr="00FF658F" w:rsidRDefault="00175700" w:rsidP="00F82F5E">
            <w:pPr>
              <w:spacing w:before="120"/>
              <w:rPr>
                <w:lang w:eastAsia="en-GB"/>
              </w:rPr>
            </w:pPr>
          </w:p>
          <w:p w:rsidR="00175700" w:rsidRPr="00FF658F" w:rsidRDefault="006C1E41" w:rsidP="00F82F5E">
            <w:pPr>
              <w:spacing w:before="120"/>
              <w:ind w:left="853"/>
            </w:pPr>
            <w:r>
              <w:t>3</w:t>
            </w:r>
            <w:r w:rsidR="009D18AA">
              <w:t>0</w:t>
            </w:r>
            <w:r w:rsidR="00175700">
              <w:t xml:space="preserve"> </w:t>
            </w:r>
            <w:r w:rsidR="009D18AA">
              <w:t>July</w:t>
            </w:r>
            <w:r w:rsidR="00175700">
              <w:t xml:space="preserve"> 2019</w:t>
            </w:r>
          </w:p>
        </w:tc>
      </w:tr>
    </w:tbl>
    <w:p w:rsidR="00175700" w:rsidRPr="00497291" w:rsidRDefault="00175700" w:rsidP="00175700">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00B34DCB">
        <w:t>Outcome of the Ad Hoc Working Group on the Harmonization of RID/ADR/ADN with the United Nations Recommendations on the Transport of Dangerous Goods</w:t>
      </w:r>
    </w:p>
    <w:p w:rsidR="00175700" w:rsidRPr="00497291" w:rsidRDefault="00175700" w:rsidP="00175700">
      <w:pPr>
        <w:pStyle w:val="H1G"/>
        <w:rPr>
          <w:lang w:eastAsia="ja-JP"/>
        </w:rPr>
      </w:pPr>
      <w:r w:rsidRPr="00497291">
        <w:rPr>
          <w:lang w:eastAsia="ja-JP"/>
        </w:rPr>
        <w:tab/>
      </w:r>
      <w:r w:rsidRPr="00497291">
        <w:rPr>
          <w:lang w:eastAsia="ja-JP"/>
        </w:rPr>
        <w:tab/>
        <w:t>Note by the secretariat</w:t>
      </w:r>
    </w:p>
    <w:p w:rsidR="006F2E46" w:rsidRDefault="005D6C71" w:rsidP="006F2E46">
      <w:pPr>
        <w:pStyle w:val="SingleTxtG"/>
      </w:pPr>
      <w:r>
        <w:t>1.</w:t>
      </w:r>
      <w:r>
        <w:tab/>
      </w:r>
      <w:r w:rsidR="006F2E46">
        <w:t>The Safety Committee may wish to note that at its next autumn 2019 session, the RID/ADR/ADN Joint Meeting will consider proposals of harmonization with the 21st revised edition of the United Nations Recommendations on the Transport of Dangerous Goods, contained in ECE/TRANS/WP.15/AC.1/2019/22 and Add.1.</w:t>
      </w:r>
    </w:p>
    <w:p w:rsidR="009D18AA" w:rsidRDefault="00E15982" w:rsidP="00E15982">
      <w:pPr>
        <w:pStyle w:val="SingleTxtG"/>
      </w:pPr>
      <w:r w:rsidRPr="00E15982">
        <w:t>2.</w:t>
      </w:r>
      <w:r w:rsidRPr="00E15982">
        <w:tab/>
      </w:r>
      <w:r w:rsidR="00A4107A" w:rsidRPr="00E15982">
        <w:t>The secretariat is reproducing hereafter the amendments</w:t>
      </w:r>
      <w:r w:rsidRPr="00E15982">
        <w:t xml:space="preserve"> </w:t>
      </w:r>
      <w:r w:rsidR="00A4107A" w:rsidRPr="00E15982">
        <w:t>submitted for consideration of the Joint Meeting</w:t>
      </w:r>
      <w:r w:rsidRPr="00E15982">
        <w:t xml:space="preserve"> </w:t>
      </w:r>
      <w:r w:rsidR="00F82F5E">
        <w:t xml:space="preserve">that are </w:t>
      </w:r>
      <w:r w:rsidRPr="00E15982">
        <w:t>relevant to ADN, with comments on the parts where actions or decisions from the ADN Safety Committee are expected.</w:t>
      </w:r>
    </w:p>
    <w:p w:rsidR="003A1330" w:rsidRDefault="003A2BB3" w:rsidP="00E15982">
      <w:pPr>
        <w:pStyle w:val="SingleTxtG"/>
      </w:pPr>
      <w:r>
        <w:t>3.</w:t>
      </w:r>
      <w:r>
        <w:tab/>
        <w:t>T</w:t>
      </w:r>
      <w:r w:rsidRPr="00E15982">
        <w:t>he ADN Safety Committee</w:t>
      </w:r>
      <w:r>
        <w:t xml:space="preserve"> is invited to present any relevant issue for consideration at the autumn 2019 or the spring 2020 sessions of the Joint </w:t>
      </w:r>
      <w:r w:rsidR="0064510A">
        <w:t>M</w:t>
      </w:r>
      <w:r>
        <w:t>eeting</w:t>
      </w:r>
      <w:r w:rsidR="003C427A">
        <w:t>,</w:t>
      </w:r>
      <w:r>
        <w:t xml:space="preserve"> if necessary.</w:t>
      </w:r>
    </w:p>
    <w:p w:rsidR="003A1330" w:rsidRPr="001C3F05" w:rsidRDefault="003A1330" w:rsidP="003A1330">
      <w:pPr>
        <w:pStyle w:val="H1G"/>
      </w:pPr>
      <w:r>
        <w:tab/>
      </w:r>
      <w:r>
        <w:tab/>
      </w:r>
      <w:r w:rsidRPr="001C3F05">
        <w:t>Chapter 1.1</w:t>
      </w:r>
    </w:p>
    <w:p w:rsidR="003A1330" w:rsidRDefault="003A1330" w:rsidP="003A1330">
      <w:pPr>
        <w:pStyle w:val="SingleTxtG"/>
        <w:tabs>
          <w:tab w:val="left" w:pos="2268"/>
        </w:tabs>
        <w:ind w:left="2259" w:hanging="1125"/>
      </w:pPr>
      <w:r>
        <w:t>1.1.3.7 (b)</w:t>
      </w:r>
      <w:r>
        <w:tab/>
        <w:t>At the end, add “</w:t>
      </w:r>
      <w:r w:rsidRPr="00F26173">
        <w:t>, except for equipment such as data loggers and cargo tracking devices attached to or placed in packages, overpacks, containers or load compartments which are only subject to the requirements in 5.5.4</w:t>
      </w:r>
      <w:r>
        <w:t>”.</w:t>
      </w:r>
    </w:p>
    <w:p w:rsidR="000E1ADA" w:rsidRDefault="000E1ADA" w:rsidP="000E1ADA">
      <w:pPr>
        <w:pStyle w:val="SingleTxtG"/>
        <w:tabs>
          <w:tab w:val="left" w:pos="2835"/>
        </w:tabs>
        <w:ind w:left="567" w:right="946"/>
        <w:rPr>
          <w:i/>
          <w:iCs/>
          <w:color w:val="548DD4" w:themeColor="text2" w:themeTint="99"/>
        </w:rPr>
      </w:pPr>
      <w:r w:rsidRPr="00250409">
        <w:rPr>
          <w:b/>
          <w:bCs/>
          <w:i/>
          <w:iCs/>
          <w:color w:val="548DD4" w:themeColor="text2" w:themeTint="99"/>
        </w:rPr>
        <w:t>Note from the secretariat:</w:t>
      </w:r>
      <w:r w:rsidRPr="00250409">
        <w:rPr>
          <w:i/>
          <w:iCs/>
          <w:color w:val="548DD4" w:themeColor="text2" w:themeTint="99"/>
        </w:rPr>
        <w:t xml:space="preserve"> </w:t>
      </w:r>
      <w:r w:rsidR="006F1D29">
        <w:rPr>
          <w:i/>
          <w:iCs/>
          <w:color w:val="548DD4" w:themeColor="text2" w:themeTint="99"/>
        </w:rPr>
        <w:t>The repre</w:t>
      </w:r>
      <w:r w:rsidR="00E75A05">
        <w:rPr>
          <w:i/>
          <w:iCs/>
          <w:color w:val="548DD4" w:themeColor="text2" w:themeTint="99"/>
        </w:rPr>
        <w:t xml:space="preserve">sentative of IMO informed the TDG Sub-Committee of a deviation when implementing amendment </w:t>
      </w:r>
      <w:r w:rsidR="009D62D4">
        <w:rPr>
          <w:i/>
          <w:iCs/>
          <w:color w:val="548DD4" w:themeColor="text2" w:themeTint="99"/>
        </w:rPr>
        <w:t>to 5.5.4 into</w:t>
      </w:r>
      <w:r w:rsidR="00E75A05">
        <w:rPr>
          <w:i/>
          <w:iCs/>
          <w:color w:val="548DD4" w:themeColor="text2" w:themeTint="99"/>
        </w:rPr>
        <w:t xml:space="preserve"> the IMDG Code (see paragraphs 3.11-3.13 of informal document INF.49 of the fifty-fifth session of the TDG </w:t>
      </w:r>
      <w:r w:rsidR="00E75A05">
        <w:rPr>
          <w:i/>
          <w:iCs/>
          <w:color w:val="548DD4" w:themeColor="text2" w:themeTint="99"/>
        </w:rPr>
        <w:t>Sub-Committee</w:t>
      </w:r>
      <w:r w:rsidR="00E75A05">
        <w:rPr>
          <w:i/>
          <w:iCs/>
          <w:color w:val="548DD4" w:themeColor="text2" w:themeTint="99"/>
        </w:rPr>
        <w:t xml:space="preserve">, </w:t>
      </w:r>
      <w:hyperlink r:id="rId7" w:history="1">
        <w:r w:rsidR="00E75A05" w:rsidRPr="0038648D">
          <w:rPr>
            <w:rStyle w:val="Hyperlink"/>
            <w:i/>
            <w:iCs/>
          </w:rPr>
          <w:t>http://www.unece.org/fileadmin/DAM/trans/doc/2019/dgac10c3/UN-SCETDG-55-INF49e.pdf</w:t>
        </w:r>
      </w:hyperlink>
      <w:r w:rsidR="00E75A05">
        <w:rPr>
          <w:i/>
          <w:iCs/>
          <w:color w:val="548DD4" w:themeColor="text2" w:themeTint="99"/>
        </w:rPr>
        <w:t>).</w:t>
      </w:r>
    </w:p>
    <w:p w:rsidR="00E75A05" w:rsidRPr="00E75A05" w:rsidRDefault="00E75A05" w:rsidP="000E1ADA">
      <w:pPr>
        <w:pStyle w:val="SingleTxtG"/>
        <w:tabs>
          <w:tab w:val="left" w:pos="2835"/>
        </w:tabs>
        <w:ind w:left="567" w:right="946"/>
        <w:rPr>
          <w:color w:val="548DD4" w:themeColor="text2" w:themeTint="99"/>
        </w:rPr>
      </w:pPr>
      <w:r w:rsidRPr="00E75A05">
        <w:rPr>
          <w:i/>
          <w:iCs/>
          <w:color w:val="548DD4" w:themeColor="text2" w:themeTint="99"/>
        </w:rPr>
        <w:t>The safety committee is invited to consider if this deviation is relevant for ADN and to raise the issue at the Joint Meeting if necessary.</w:t>
      </w:r>
    </w:p>
    <w:p w:rsidR="003A1330" w:rsidRPr="001C3F05" w:rsidRDefault="003A1330" w:rsidP="00061148">
      <w:pPr>
        <w:pStyle w:val="H1G"/>
        <w:pageBreakBefore/>
      </w:pPr>
      <w:r>
        <w:lastRenderedPageBreak/>
        <w:tab/>
      </w:r>
      <w:r>
        <w:tab/>
      </w:r>
      <w:r w:rsidRPr="001C3F05">
        <w:t>Chapter 1.2</w:t>
      </w:r>
    </w:p>
    <w:p w:rsidR="003A1330" w:rsidRPr="003B758F" w:rsidRDefault="003A1330" w:rsidP="003A1330">
      <w:pPr>
        <w:pStyle w:val="SingleTxtG"/>
        <w:tabs>
          <w:tab w:val="left" w:pos="2268"/>
        </w:tabs>
        <w:ind w:left="2259" w:hanging="1125"/>
      </w:pPr>
      <w:bookmarkStart w:id="0" w:name="_Hlk10105192"/>
      <w:r w:rsidRPr="003B758F">
        <w:t>1.2.1</w:t>
      </w:r>
      <w:r w:rsidRPr="003B758F">
        <w:tab/>
        <w:t>Insert the following new definition, in alphabetical order:</w:t>
      </w:r>
    </w:p>
    <w:p w:rsidR="003A1330" w:rsidRDefault="003A1330" w:rsidP="003A1330">
      <w:pPr>
        <w:pStyle w:val="SingleTxtG"/>
        <w:tabs>
          <w:tab w:val="left" w:pos="2268"/>
        </w:tabs>
        <w:ind w:left="2259" w:hanging="1125"/>
      </w:pPr>
      <w:r>
        <w:tab/>
      </w:r>
      <w:r w:rsidRPr="003B758F">
        <w:t>“</w:t>
      </w:r>
      <w:r w:rsidRPr="003B758F">
        <w:rPr>
          <w:i/>
          <w:iCs/>
        </w:rPr>
        <w:t>Dose rate</w:t>
      </w:r>
      <w:r w:rsidRPr="003B758F">
        <w:t xml:space="preserve"> means the ambient dose equivalent or the directional dose equivalent, as appropriate, per unit time, measured at the point of interest.”</w:t>
      </w:r>
      <w:r>
        <w:t xml:space="preserve"> </w:t>
      </w:r>
    </w:p>
    <w:p w:rsidR="003A1330" w:rsidRPr="003B758F" w:rsidRDefault="003A1330" w:rsidP="003A1330">
      <w:pPr>
        <w:pStyle w:val="SingleTxtG"/>
        <w:tabs>
          <w:tab w:val="left" w:pos="2268"/>
        </w:tabs>
        <w:ind w:left="2259" w:hanging="1125"/>
      </w:pPr>
      <w:r>
        <w:t>1.2.1</w:t>
      </w:r>
      <w:r>
        <w:tab/>
        <w:t xml:space="preserve">Amend the definition of </w:t>
      </w:r>
      <w:r w:rsidRPr="003B758F">
        <w:t>“</w:t>
      </w:r>
      <w:r w:rsidRPr="003B758F">
        <w:rPr>
          <w:i/>
          <w:iCs/>
        </w:rPr>
        <w:t>Self-accelerating decomposition temperature</w:t>
      </w:r>
      <w:r w:rsidRPr="003B758F">
        <w:t>”</w:t>
      </w:r>
      <w:r>
        <w:t xml:space="preserve"> </w:t>
      </w:r>
      <w:r w:rsidRPr="003B758F">
        <w:t>to read as follows:</w:t>
      </w:r>
    </w:p>
    <w:bookmarkEnd w:id="0"/>
    <w:p w:rsidR="003A1330" w:rsidRDefault="003A1330" w:rsidP="003A1330">
      <w:pPr>
        <w:pStyle w:val="SingleTxtG"/>
        <w:tabs>
          <w:tab w:val="left" w:pos="2268"/>
        </w:tabs>
        <w:ind w:left="2259" w:hanging="1125"/>
      </w:pPr>
      <w:r>
        <w:tab/>
      </w:r>
      <w:r w:rsidRPr="003B758F">
        <w:t>“</w:t>
      </w:r>
      <w:r w:rsidRPr="003B758F">
        <w:rPr>
          <w:i/>
          <w:iCs/>
        </w:rPr>
        <w:t xml:space="preserve">Self-accelerating decomposition temperature (SADT) </w:t>
      </w:r>
      <w:r w:rsidRPr="003B758F">
        <w:t>means the lowest temperature at which self-accelerating decomposition may occur in a substance in the packaging, IBC, tank or portable tank as offered for carriage. The SADT shall be determined in accordance with the test procedures given in Part II, Section 28 of the Manual of Tests and Criteria.”</w:t>
      </w:r>
    </w:p>
    <w:p w:rsidR="00282DD7" w:rsidRDefault="00282DD7" w:rsidP="00250409">
      <w:pPr>
        <w:pStyle w:val="SingleTxtG"/>
        <w:tabs>
          <w:tab w:val="left" w:pos="2835"/>
        </w:tabs>
        <w:ind w:left="567" w:right="946"/>
        <w:rPr>
          <w:color w:val="548DD4" w:themeColor="text2" w:themeTint="99"/>
        </w:rPr>
      </w:pPr>
      <w:r w:rsidRPr="00250409">
        <w:rPr>
          <w:b/>
          <w:bCs/>
          <w:i/>
          <w:iCs/>
          <w:color w:val="548DD4" w:themeColor="text2" w:themeTint="99"/>
        </w:rPr>
        <w:t>Note from the secretariat:</w:t>
      </w:r>
      <w:r w:rsidRPr="00250409">
        <w:rPr>
          <w:i/>
          <w:iCs/>
          <w:color w:val="548DD4" w:themeColor="text2" w:themeTint="99"/>
        </w:rPr>
        <w:t xml:space="preserve"> Information regarding the effects of heating under confinement currently included in the existing definition (second sentence) is lost in the new proposal</w:t>
      </w:r>
      <w:r w:rsidR="00917501">
        <w:rPr>
          <w:i/>
          <w:iCs/>
          <w:color w:val="548DD4" w:themeColor="text2" w:themeTint="99"/>
        </w:rPr>
        <w:t xml:space="preserve"> and it might be important for ADN</w:t>
      </w:r>
      <w:r w:rsidRPr="00250409">
        <w:rPr>
          <w:i/>
          <w:iCs/>
          <w:color w:val="548DD4" w:themeColor="text2" w:themeTint="99"/>
        </w:rPr>
        <w:t xml:space="preserve">. Existing text reads: </w:t>
      </w:r>
      <w:r w:rsidRPr="00250409">
        <w:rPr>
          <w:color w:val="548DD4" w:themeColor="text2" w:themeTint="99"/>
        </w:rPr>
        <w:t xml:space="preserve">"Provisions for determining the SADT </w:t>
      </w:r>
      <w:r w:rsidRPr="00250409">
        <w:rPr>
          <w:b/>
          <w:bCs/>
          <w:color w:val="548DD4" w:themeColor="text2" w:themeTint="99"/>
        </w:rPr>
        <w:t>and the effects of heating under confinement</w:t>
      </w:r>
      <w:r w:rsidRPr="00250409">
        <w:rPr>
          <w:color w:val="548DD4" w:themeColor="text2" w:themeTint="99"/>
        </w:rPr>
        <w:t xml:space="preserve"> are contained in Part II of the </w:t>
      </w:r>
      <w:r w:rsidRPr="00250409">
        <w:rPr>
          <w:i/>
          <w:color w:val="548DD4" w:themeColor="text2" w:themeTint="99"/>
        </w:rPr>
        <w:t>Manual of Tests and Criteria</w:t>
      </w:r>
      <w:r w:rsidRPr="00250409">
        <w:rPr>
          <w:color w:val="548DD4" w:themeColor="text2" w:themeTint="99"/>
        </w:rPr>
        <w:t>;".</w:t>
      </w:r>
    </w:p>
    <w:p w:rsidR="00250409" w:rsidRPr="00250409" w:rsidRDefault="00250409" w:rsidP="00250409">
      <w:pPr>
        <w:pStyle w:val="SingleTxtG"/>
        <w:tabs>
          <w:tab w:val="left" w:pos="2835"/>
        </w:tabs>
        <w:ind w:left="567" w:right="946"/>
        <w:rPr>
          <w:i/>
          <w:iCs/>
          <w:color w:val="548DD4" w:themeColor="text2" w:themeTint="99"/>
        </w:rPr>
      </w:pPr>
      <w:r w:rsidRPr="00250409">
        <w:rPr>
          <w:b/>
          <w:bCs/>
          <w:i/>
          <w:iCs/>
          <w:color w:val="548DD4" w:themeColor="text2" w:themeTint="99"/>
        </w:rPr>
        <w:t>Conclusions f</w:t>
      </w:r>
      <w:r w:rsidR="00F5143C">
        <w:rPr>
          <w:b/>
          <w:bCs/>
          <w:i/>
          <w:iCs/>
          <w:color w:val="548DD4" w:themeColor="text2" w:themeTint="99"/>
        </w:rPr>
        <w:t>ro</w:t>
      </w:r>
      <w:r w:rsidRPr="00250409">
        <w:rPr>
          <w:b/>
          <w:bCs/>
          <w:i/>
          <w:iCs/>
          <w:color w:val="548DD4" w:themeColor="text2" w:themeTint="99"/>
        </w:rPr>
        <w:t>m the ad hoc Working Group</w:t>
      </w:r>
      <w:r w:rsidRPr="00250409">
        <w:rPr>
          <w:i/>
          <w:iCs/>
          <w:color w:val="548DD4" w:themeColor="text2" w:themeTint="99"/>
        </w:rPr>
        <w:t>: “11.</w:t>
      </w:r>
      <w:r w:rsidRPr="00250409">
        <w:rPr>
          <w:i/>
          <w:iCs/>
          <w:color w:val="548DD4" w:themeColor="text2" w:themeTint="99"/>
        </w:rPr>
        <w:tab/>
        <w:t>The Working Group took note of the comment from the secretariat in document ECE/TRANS/WP.15/AC.1/HAR/2019/1 but concluded that since section 28 of the Manual of Tests and Criteria mainly contained provisions for determining the self-accelerating decomposition temperature, the information regarding the effects of heating under confinement was not necessary.”</w:t>
      </w:r>
    </w:p>
    <w:p w:rsidR="003A1330" w:rsidRPr="003B758F" w:rsidRDefault="003A1330" w:rsidP="003A1330">
      <w:pPr>
        <w:pStyle w:val="SingleTxtG"/>
        <w:tabs>
          <w:tab w:val="left" w:pos="2268"/>
        </w:tabs>
        <w:ind w:left="2259" w:hanging="1125"/>
      </w:pPr>
      <w:bookmarkStart w:id="1" w:name="_Hlk10105256"/>
      <w:bookmarkStart w:id="2" w:name="_Hlk10105236"/>
      <w:r>
        <w:t>1.2.1</w:t>
      </w:r>
      <w:r>
        <w:tab/>
        <w:t>Delete the definition of “</w:t>
      </w:r>
      <w:r w:rsidRPr="00F531A1">
        <w:rPr>
          <w:i/>
          <w:iCs/>
        </w:rPr>
        <w:t>Radiation level</w:t>
      </w:r>
      <w:r>
        <w:t>”.</w:t>
      </w:r>
    </w:p>
    <w:p w:rsidR="003A1330" w:rsidRPr="003B758F" w:rsidRDefault="003A1330" w:rsidP="003A1330">
      <w:pPr>
        <w:pStyle w:val="SingleTxtG"/>
        <w:tabs>
          <w:tab w:val="left" w:pos="2268"/>
        </w:tabs>
        <w:ind w:left="2259" w:hanging="1125"/>
      </w:pPr>
      <w:r>
        <w:t>1.2.1</w:t>
      </w:r>
      <w:r>
        <w:tab/>
        <w:t>In the definition of “</w:t>
      </w:r>
      <w:r w:rsidRPr="00F531A1">
        <w:rPr>
          <w:i/>
          <w:iCs/>
        </w:rPr>
        <w:t>Self-accelerating polymerization temperature (SAPT)</w:t>
      </w:r>
      <w:r>
        <w:t>”, i</w:t>
      </w:r>
      <w:r w:rsidRPr="003B758F">
        <w:t>n the first sentence</w:t>
      </w:r>
      <w:r>
        <w:t>,</w:t>
      </w:r>
      <w:r w:rsidRPr="003B758F">
        <w:t xml:space="preserve"> insert “self-accelerating” between “which” and “polymerization”.</w:t>
      </w:r>
    </w:p>
    <w:p w:rsidR="003A1330" w:rsidRPr="003B758F" w:rsidRDefault="003A1330" w:rsidP="003A1330">
      <w:pPr>
        <w:pStyle w:val="SingleTxtG"/>
        <w:tabs>
          <w:tab w:val="left" w:pos="2268"/>
        </w:tabs>
        <w:ind w:left="2259" w:hanging="1125"/>
      </w:pPr>
      <w:r>
        <w:t>1.2.1</w:t>
      </w:r>
      <w:r>
        <w:tab/>
        <w:t>In the definition of “</w:t>
      </w:r>
      <w:r w:rsidRPr="00F531A1">
        <w:rPr>
          <w:i/>
          <w:iCs/>
        </w:rPr>
        <w:t>Transport index</w:t>
      </w:r>
      <w:r>
        <w:t>”, i</w:t>
      </w:r>
      <w:r w:rsidRPr="003B758F">
        <w:t>n the first sentence</w:t>
      </w:r>
      <w:r>
        <w:t>,</w:t>
      </w:r>
      <w:r w:rsidRPr="003B758F">
        <w:t xml:space="preserve"> after “SCO-I” add “or SCO-III”. </w:t>
      </w:r>
    </w:p>
    <w:p w:rsidR="003A1330" w:rsidRPr="003B758F" w:rsidRDefault="003A1330" w:rsidP="003A1330">
      <w:pPr>
        <w:pStyle w:val="SingleTxtG"/>
        <w:tabs>
          <w:tab w:val="left" w:pos="2268"/>
        </w:tabs>
        <w:ind w:left="2259" w:hanging="1125"/>
      </w:pPr>
      <w:bookmarkStart w:id="3" w:name="_Hlk10105275"/>
      <w:bookmarkEnd w:id="1"/>
      <w:r>
        <w:t>1.2.1</w:t>
      </w:r>
      <w:r>
        <w:tab/>
        <w:t xml:space="preserve">In the definition of </w:t>
      </w:r>
      <w:r w:rsidRPr="003B758F">
        <w:t>“</w:t>
      </w:r>
      <w:r w:rsidRPr="003B758F">
        <w:rPr>
          <w:i/>
        </w:rPr>
        <w:t>GHS</w:t>
      </w:r>
      <w:r w:rsidRPr="003B758F">
        <w:t>”</w:t>
      </w:r>
      <w:r>
        <w:t>, r</w:t>
      </w:r>
      <w:r w:rsidRPr="003B758F">
        <w:t>eplace “seventh” by “eighth” and replace “ST/SG/AC.10/30/Rev.7” by “ST/SG/AC.10/30/Rev.8”.</w:t>
      </w:r>
    </w:p>
    <w:p w:rsidR="003A1330" w:rsidRPr="003B758F" w:rsidRDefault="003A1330" w:rsidP="003A1330">
      <w:pPr>
        <w:pStyle w:val="SingleTxtG"/>
        <w:tabs>
          <w:tab w:val="left" w:pos="2268"/>
        </w:tabs>
        <w:ind w:left="2259" w:hanging="1125"/>
      </w:pPr>
      <w:r>
        <w:t>1.2.1</w:t>
      </w:r>
      <w:r>
        <w:tab/>
        <w:t xml:space="preserve">In the definition of </w:t>
      </w:r>
      <w:r w:rsidRPr="003B758F">
        <w:t>“</w:t>
      </w:r>
      <w:r w:rsidRPr="003B758F">
        <w:rPr>
          <w:i/>
        </w:rPr>
        <w:t>Manual of Tests and Criteria</w:t>
      </w:r>
      <w:r w:rsidRPr="003B758F">
        <w:t>”</w:t>
      </w:r>
      <w:r>
        <w:t>, r</w:t>
      </w:r>
      <w:r w:rsidRPr="003B758F">
        <w:t>eplace “sixth” by “seventh”, delete “Recommendations on the Transport of Dangerous Goods,” and replace “ST/SG/AC.10/11/Rev.6 and Amend.1” by “ST/SG/AC.10/11/Rev.7”.</w:t>
      </w:r>
    </w:p>
    <w:p w:rsidR="003A1330" w:rsidRDefault="003A1330" w:rsidP="003A1330">
      <w:pPr>
        <w:pStyle w:val="SingleTxtG"/>
        <w:tabs>
          <w:tab w:val="left" w:pos="2268"/>
        </w:tabs>
        <w:ind w:left="2259" w:hanging="1125"/>
      </w:pPr>
      <w:r>
        <w:t>1.2.1</w:t>
      </w:r>
      <w:r>
        <w:tab/>
        <w:t xml:space="preserve">In the definition of </w:t>
      </w:r>
      <w:r w:rsidRPr="003B758F">
        <w:t>“</w:t>
      </w:r>
      <w:r w:rsidRPr="003B758F">
        <w:rPr>
          <w:i/>
        </w:rPr>
        <w:t>UN Model Regulations</w:t>
      </w:r>
      <w:r w:rsidRPr="003B758F">
        <w:t>”</w:t>
      </w:r>
      <w:r>
        <w:t>,</w:t>
      </w:r>
      <w:r w:rsidRPr="003B758F">
        <w:t xml:space="preserve"> replace “twentieth” by “twenty-first” and replace “(ST/SG/AC.10/1/Rev.20)” by “(ST/SG/AC.10/1/Rev.21)”.</w:t>
      </w:r>
    </w:p>
    <w:bookmarkEnd w:id="2"/>
    <w:bookmarkEnd w:id="3"/>
    <w:p w:rsidR="003A1330" w:rsidRPr="00D36F84" w:rsidRDefault="003A1330" w:rsidP="003A1330">
      <w:pPr>
        <w:pStyle w:val="H1G"/>
      </w:pPr>
      <w:r>
        <w:tab/>
      </w:r>
      <w:r>
        <w:tab/>
      </w:r>
      <w:r w:rsidRPr="00D36F84">
        <w:t>Chapter 1.</w:t>
      </w:r>
      <w:r>
        <w:t>6</w:t>
      </w:r>
    </w:p>
    <w:p w:rsidR="003A1330" w:rsidRDefault="003A1330" w:rsidP="003A1330">
      <w:pPr>
        <w:pStyle w:val="SingleTxtG"/>
        <w:ind w:left="2268" w:hanging="1134"/>
      </w:pPr>
      <w:r w:rsidRPr="003B758F">
        <w:t>1.6.6.1</w:t>
      </w:r>
      <w:r w:rsidRPr="003B758F">
        <w:tab/>
        <w:t>Amend to read</w:t>
      </w:r>
      <w:r>
        <w:t xml:space="preserve"> as follows:</w:t>
      </w:r>
    </w:p>
    <w:p w:rsidR="003A1330" w:rsidRPr="003B758F" w:rsidRDefault="003A1330" w:rsidP="003A1330">
      <w:pPr>
        <w:pStyle w:val="SingleTxtG"/>
        <w:ind w:left="2268" w:hanging="1134"/>
      </w:pPr>
      <w:r w:rsidRPr="003B758F">
        <w:t>“</w:t>
      </w:r>
      <w:r w:rsidRPr="00FC5B6E">
        <w:rPr>
          <w:b/>
          <w:bCs/>
        </w:rPr>
        <w:t>1.6.6.1</w:t>
      </w:r>
      <w:r w:rsidRPr="00FC5B6E">
        <w:rPr>
          <w:b/>
          <w:bCs/>
        </w:rPr>
        <w:tab/>
      </w:r>
      <w:r w:rsidRPr="00FC5B6E">
        <w:rPr>
          <w:b/>
          <w:bCs/>
          <w:i/>
          <w:iCs/>
        </w:rPr>
        <w:t>Packages not requiring competent authority approval of design under the 1985, 1985 (as amended 1990), 1996, 1996 (revised), 1996 (as amended 2003), 2005, 2009 Editions of IAEA Safety Series No. 6 and 2012 Edition of IAEA Safety Standards Series No. SSR-6</w:t>
      </w:r>
    </w:p>
    <w:p w:rsidR="003A1330" w:rsidRPr="003B758F" w:rsidRDefault="003A1330" w:rsidP="003A1330">
      <w:pPr>
        <w:pStyle w:val="SingleTxtG"/>
        <w:ind w:left="2268" w:hanging="1134"/>
      </w:pPr>
      <w:r>
        <w:tab/>
      </w:r>
      <w:r w:rsidRPr="003B758F">
        <w:t xml:space="preserve">Packages not requiring competent authority approval of design (excepted packages, Type IP-1, Type IP-2, Type IP-3 and Type A </w:t>
      </w:r>
      <w:r w:rsidRPr="003B758F">
        <w:lastRenderedPageBreak/>
        <w:t>packages) shall meet the requirements of RID/ADR/ADN</w:t>
      </w:r>
      <w:r w:rsidRPr="003B758F" w:rsidDel="006762BA">
        <w:t xml:space="preserve"> </w:t>
      </w:r>
      <w:r w:rsidRPr="003B758F">
        <w:t>in full, except that:</w:t>
      </w:r>
    </w:p>
    <w:p w:rsidR="003A1330" w:rsidRPr="003B758F" w:rsidRDefault="003A1330" w:rsidP="003A1330">
      <w:pPr>
        <w:pStyle w:val="SingleTxtG"/>
        <w:ind w:left="2835" w:hanging="567"/>
      </w:pPr>
      <w:r w:rsidRPr="003B758F">
        <w:t>(a)</w:t>
      </w:r>
      <w:r w:rsidRPr="003B758F">
        <w:tab/>
        <w:t>Packages that meet the requirements of the 1985 or 1985 (as amended 1990) Editions of IAEA Safety Series No. 6:</w:t>
      </w:r>
    </w:p>
    <w:p w:rsidR="003A1330" w:rsidRPr="003B758F" w:rsidRDefault="003A1330" w:rsidP="003A1330">
      <w:pPr>
        <w:pStyle w:val="SingleTxtG"/>
        <w:ind w:left="3402" w:hanging="567"/>
      </w:pPr>
      <w:r w:rsidRPr="003B758F">
        <w:t>(</w:t>
      </w:r>
      <w:proofErr w:type="spellStart"/>
      <w:r w:rsidRPr="003B758F">
        <w:t>i</w:t>
      </w:r>
      <w:proofErr w:type="spellEnd"/>
      <w:r w:rsidRPr="003B758F">
        <w:t>)</w:t>
      </w:r>
      <w:r w:rsidRPr="003B758F">
        <w:tab/>
        <w:t xml:space="preserve">May continue </w:t>
      </w:r>
      <w:r>
        <w:t xml:space="preserve">to be carried </w:t>
      </w:r>
      <w:proofErr w:type="gramStart"/>
      <w:r w:rsidRPr="003B758F">
        <w:t>provided that</w:t>
      </w:r>
      <w:proofErr w:type="gramEnd"/>
      <w:r w:rsidRPr="003B758F">
        <w:t xml:space="preserve"> they were prepared for carriage prior to 31 December 2003 and are subject to the requirements of 1.6.6.</w:t>
      </w:r>
      <w:r>
        <w:t>2.3</w:t>
      </w:r>
      <w:r w:rsidRPr="003B758F">
        <w:t>, if applicable; or</w:t>
      </w:r>
    </w:p>
    <w:p w:rsidR="003A1330" w:rsidRPr="003B758F" w:rsidRDefault="003A1330" w:rsidP="003A1330">
      <w:pPr>
        <w:pStyle w:val="SingleTxtG"/>
        <w:ind w:left="3402" w:hanging="567"/>
      </w:pPr>
      <w:r w:rsidRPr="003B758F">
        <w:t>(ii)</w:t>
      </w:r>
      <w:r w:rsidRPr="003B758F">
        <w:tab/>
        <w:t>May continue to be used, provided that all the following conditions are met:</w:t>
      </w:r>
    </w:p>
    <w:p w:rsidR="003A1330" w:rsidRPr="003B758F" w:rsidRDefault="003A1330" w:rsidP="003A1330">
      <w:pPr>
        <w:pStyle w:val="SingleTxtG"/>
        <w:ind w:left="3828" w:hanging="426"/>
      </w:pPr>
      <w:r w:rsidRPr="003B758F">
        <w:t>-</w:t>
      </w:r>
      <w:r w:rsidRPr="003B758F">
        <w:tab/>
        <w:t>They were not designed to contain uranium hexafluoride;</w:t>
      </w:r>
    </w:p>
    <w:p w:rsidR="003A1330" w:rsidRPr="003B758F" w:rsidRDefault="003A1330" w:rsidP="003A1330">
      <w:pPr>
        <w:pStyle w:val="SingleTxtG"/>
        <w:ind w:left="3828" w:hanging="426"/>
      </w:pPr>
      <w:r w:rsidRPr="003B758F">
        <w:t>-</w:t>
      </w:r>
      <w:r w:rsidRPr="003B758F">
        <w:tab/>
        <w:t>The applicable requirements of 1.7.3 are applied;</w:t>
      </w:r>
    </w:p>
    <w:p w:rsidR="003A1330" w:rsidRPr="003B758F" w:rsidRDefault="003A1330" w:rsidP="003A1330">
      <w:pPr>
        <w:pStyle w:val="SingleTxtG"/>
        <w:ind w:left="3828" w:hanging="426"/>
      </w:pPr>
      <w:r w:rsidRPr="003B758F">
        <w:t>-</w:t>
      </w:r>
      <w:r w:rsidRPr="003B758F">
        <w:tab/>
        <w:t>The activity limits and classification in 2.2.7are applied;</w:t>
      </w:r>
    </w:p>
    <w:p w:rsidR="003A1330" w:rsidRPr="003B758F" w:rsidRDefault="003A1330" w:rsidP="003A1330">
      <w:pPr>
        <w:pStyle w:val="SingleTxtG"/>
        <w:ind w:left="3828" w:hanging="426"/>
      </w:pPr>
      <w:r w:rsidRPr="003B758F">
        <w:t>-</w:t>
      </w:r>
      <w:r w:rsidRPr="003B758F">
        <w:tab/>
        <w:t>The requirements and controls for carriage in Parts 1, 3, 4, 5 and 7 are applied; and</w:t>
      </w:r>
    </w:p>
    <w:p w:rsidR="003A1330" w:rsidRPr="003B758F" w:rsidRDefault="003A1330" w:rsidP="003A1330">
      <w:pPr>
        <w:pStyle w:val="SingleTxtG"/>
        <w:ind w:left="3828" w:hanging="426"/>
      </w:pPr>
      <w:r w:rsidRPr="003B758F">
        <w:t>-</w:t>
      </w:r>
      <w:r w:rsidRPr="003B758F">
        <w:tab/>
        <w:t>The packaging was not manufactured or modified after 31 December 2003;</w:t>
      </w:r>
    </w:p>
    <w:p w:rsidR="003A1330" w:rsidRPr="003B758F" w:rsidRDefault="003A1330" w:rsidP="003A1330">
      <w:pPr>
        <w:pStyle w:val="SingleTxtG"/>
        <w:ind w:left="2835" w:hanging="567"/>
      </w:pPr>
      <w:r w:rsidRPr="003B758F">
        <w:t>(b)</w:t>
      </w:r>
      <w:r w:rsidRPr="003B758F">
        <w:tab/>
        <w:t>Packages that meet the requirements of the 1996, 1996 (revised), 1996 (as amended 2003), 2005 or 2009 Editions of IAEA Safety Series No. 6, or 2012 Edition of IAEA Safety Standards Series No. SSR-6:</w:t>
      </w:r>
    </w:p>
    <w:p w:rsidR="003A1330" w:rsidRPr="003B758F" w:rsidRDefault="003A1330" w:rsidP="003A1330">
      <w:pPr>
        <w:pStyle w:val="SingleTxtG"/>
        <w:ind w:left="3402" w:hanging="567"/>
      </w:pPr>
      <w:r w:rsidRPr="003B758F">
        <w:t>(</w:t>
      </w:r>
      <w:proofErr w:type="spellStart"/>
      <w:r w:rsidRPr="003B758F">
        <w:t>i</w:t>
      </w:r>
      <w:proofErr w:type="spellEnd"/>
      <w:r w:rsidRPr="003B758F">
        <w:t>)</w:t>
      </w:r>
      <w:r w:rsidRPr="003B758F">
        <w:tab/>
        <w:t xml:space="preserve">May continue </w:t>
      </w:r>
      <w:r>
        <w:t xml:space="preserve">to be carried </w:t>
      </w:r>
      <w:proofErr w:type="gramStart"/>
      <w:r w:rsidRPr="003B758F">
        <w:t>provided that</w:t>
      </w:r>
      <w:proofErr w:type="gramEnd"/>
      <w:r w:rsidRPr="003B758F">
        <w:t xml:space="preserve"> they were prepared for carriage prior to 31 December 2025 and are subject to the requirements of 1.6.6.</w:t>
      </w:r>
      <w:r>
        <w:t>2.3</w:t>
      </w:r>
      <w:r w:rsidRPr="003B758F">
        <w:t>, if applicable; or</w:t>
      </w:r>
    </w:p>
    <w:p w:rsidR="003A1330" w:rsidRPr="003B758F" w:rsidRDefault="003A1330" w:rsidP="003A1330">
      <w:pPr>
        <w:pStyle w:val="SingleTxtG"/>
        <w:ind w:left="3402" w:hanging="567"/>
      </w:pPr>
      <w:r w:rsidRPr="003B758F">
        <w:t>(ii)</w:t>
      </w:r>
      <w:r w:rsidRPr="003B758F">
        <w:tab/>
        <w:t>May continue to be used, provided that all the following conditions are met:</w:t>
      </w:r>
    </w:p>
    <w:p w:rsidR="003A1330" w:rsidRPr="003B758F" w:rsidRDefault="003A1330" w:rsidP="003A1330">
      <w:pPr>
        <w:pStyle w:val="SingleTxtG"/>
        <w:ind w:left="3828" w:hanging="426"/>
      </w:pPr>
      <w:r w:rsidRPr="003B758F">
        <w:t>-</w:t>
      </w:r>
      <w:r w:rsidRPr="003B758F">
        <w:tab/>
        <w:t>The applicable requirements of 1.7.3 are applied;</w:t>
      </w:r>
    </w:p>
    <w:p w:rsidR="003A1330" w:rsidRPr="003B758F" w:rsidRDefault="003A1330" w:rsidP="003A1330">
      <w:pPr>
        <w:pStyle w:val="SingleTxtG"/>
        <w:ind w:left="3828" w:hanging="426"/>
      </w:pPr>
      <w:r w:rsidRPr="003B758F">
        <w:t>-</w:t>
      </w:r>
      <w:r w:rsidRPr="003B758F">
        <w:tab/>
        <w:t>The activity limits and classification in 2.2.7 are applied;</w:t>
      </w:r>
    </w:p>
    <w:p w:rsidR="003A1330" w:rsidRPr="003B758F" w:rsidRDefault="003A1330" w:rsidP="003A1330">
      <w:pPr>
        <w:pStyle w:val="SingleTxtG"/>
        <w:ind w:left="3828" w:hanging="426"/>
      </w:pPr>
      <w:r w:rsidRPr="003B758F">
        <w:t>-</w:t>
      </w:r>
      <w:r w:rsidRPr="003B758F">
        <w:tab/>
        <w:t>The requirements and controls for carriage in Parts 1, 3, 4, 5 and 7 are applied; and</w:t>
      </w:r>
    </w:p>
    <w:p w:rsidR="003A1330" w:rsidRPr="003B758F" w:rsidRDefault="003A1330" w:rsidP="003A1330">
      <w:pPr>
        <w:pStyle w:val="SingleTxtG"/>
        <w:ind w:left="3828" w:hanging="426"/>
      </w:pPr>
      <w:r w:rsidRPr="003B758F">
        <w:t>-</w:t>
      </w:r>
      <w:r w:rsidRPr="003B758F">
        <w:tab/>
        <w:t>The packaging was not manufactured or modified after 31 December 2025.”</w:t>
      </w:r>
    </w:p>
    <w:p w:rsidR="003A1330" w:rsidRPr="003B758F" w:rsidRDefault="003A1330" w:rsidP="003A1330">
      <w:pPr>
        <w:pStyle w:val="SingleTxtG"/>
        <w:ind w:left="2268" w:hanging="1134"/>
      </w:pPr>
      <w:r w:rsidRPr="003B758F">
        <w:t>1.6.6.</w:t>
      </w:r>
      <w:r>
        <w:t>2</w:t>
      </w:r>
      <w:r w:rsidRPr="003B758F">
        <w:tab/>
        <w:t>Amend the title of 1.6.6.2 to read: “</w:t>
      </w:r>
      <w:r w:rsidRPr="004975A5">
        <w:t>Package designs approved under the 1985, 1985 (as amended 1990), 1996, 1996 (revised), 1996 (as amended 2003), 2005 and 2009 Editions of IAEA Safety Series No. 6 and 2012 Edition of IAEA Safety Standards Series No. SSR-6</w:t>
      </w:r>
      <w:r w:rsidRPr="003B758F">
        <w:t>”.</w:t>
      </w:r>
    </w:p>
    <w:p w:rsidR="003A1330" w:rsidRPr="003B758F" w:rsidRDefault="003A1330" w:rsidP="003A1330">
      <w:pPr>
        <w:pStyle w:val="SingleTxtG"/>
        <w:ind w:left="2268" w:hanging="1134"/>
      </w:pPr>
      <w:r w:rsidRPr="003B758F">
        <w:t>1.6.6.2.1</w:t>
      </w:r>
      <w:r w:rsidRPr="003B758F">
        <w:tab/>
        <w:t>Amend to read as follows:</w:t>
      </w:r>
    </w:p>
    <w:p w:rsidR="003A1330" w:rsidRPr="003B758F" w:rsidRDefault="003A1330" w:rsidP="003A1330">
      <w:pPr>
        <w:pStyle w:val="SingleTxtG"/>
        <w:ind w:left="2268" w:hanging="1134"/>
      </w:pPr>
      <w:r w:rsidRPr="003B758F">
        <w:t>“</w:t>
      </w:r>
      <w:r>
        <w:t>1.6.6.2.1</w:t>
      </w:r>
      <w:r>
        <w:tab/>
      </w:r>
      <w:r w:rsidRPr="003B758F">
        <w:rPr>
          <w:iCs/>
        </w:rPr>
        <w:t xml:space="preserve">Packages </w:t>
      </w:r>
      <w:r w:rsidRPr="003B758F">
        <w:t xml:space="preserve">requiring </w:t>
      </w:r>
      <w:r w:rsidRPr="003B758F">
        <w:rPr>
          <w:iCs/>
        </w:rPr>
        <w:t xml:space="preserve">competent authority approval </w:t>
      </w:r>
      <w:r w:rsidRPr="003B758F">
        <w:t xml:space="preserve">of the </w:t>
      </w:r>
      <w:r w:rsidRPr="003B758F">
        <w:rPr>
          <w:iCs/>
        </w:rPr>
        <w:t xml:space="preserve">design </w:t>
      </w:r>
      <w:r w:rsidRPr="003B758F">
        <w:t xml:space="preserve">shall meet the requirements of RID/ADR/ADN in full except that: </w:t>
      </w:r>
    </w:p>
    <w:p w:rsidR="003A1330" w:rsidRPr="003B758F" w:rsidRDefault="003A1330" w:rsidP="003A1330">
      <w:pPr>
        <w:pStyle w:val="SingleTxtG"/>
        <w:ind w:left="2835" w:hanging="567"/>
      </w:pPr>
      <w:r w:rsidRPr="003B758F">
        <w:t>(a)</w:t>
      </w:r>
      <w:r w:rsidRPr="003B758F">
        <w:tab/>
      </w:r>
      <w:proofErr w:type="spellStart"/>
      <w:r w:rsidRPr="003B758F">
        <w:t>Packagings</w:t>
      </w:r>
      <w:proofErr w:type="spellEnd"/>
      <w:r w:rsidRPr="003B758F">
        <w:t xml:space="preserve"> that were manufactured to a package design approved by the competent authority under the provisions of </w:t>
      </w:r>
      <w:r>
        <w:t xml:space="preserve">the </w:t>
      </w:r>
      <w:r w:rsidRPr="003B758F">
        <w:t xml:space="preserve">1985 or 1985 (as amended 1990) Editions of IAEA Safety Series No. 6 may continue to be used </w:t>
      </w:r>
      <w:proofErr w:type="gramStart"/>
      <w:r w:rsidRPr="003B758F">
        <w:t>provided that</w:t>
      </w:r>
      <w:proofErr w:type="gramEnd"/>
      <w:r w:rsidRPr="003B758F">
        <w:t xml:space="preserve"> all of the following conditions are met:</w:t>
      </w:r>
    </w:p>
    <w:p w:rsidR="003A1330" w:rsidRPr="003B758F" w:rsidRDefault="003A1330" w:rsidP="003A1330">
      <w:pPr>
        <w:pStyle w:val="SingleTxtG"/>
        <w:ind w:left="3402" w:hanging="567"/>
      </w:pPr>
      <w:r w:rsidRPr="003B758F">
        <w:t>(</w:t>
      </w:r>
      <w:proofErr w:type="spellStart"/>
      <w:r w:rsidRPr="003B758F">
        <w:t>i</w:t>
      </w:r>
      <w:proofErr w:type="spellEnd"/>
      <w:r w:rsidRPr="003B758F">
        <w:t>)</w:t>
      </w:r>
      <w:r w:rsidRPr="003B758F">
        <w:tab/>
        <w:t>The package design is subject to multilateral approval;</w:t>
      </w:r>
    </w:p>
    <w:p w:rsidR="003A1330" w:rsidRPr="003B758F" w:rsidRDefault="003A1330" w:rsidP="003A1330">
      <w:pPr>
        <w:pStyle w:val="SingleTxtG"/>
        <w:ind w:left="3402" w:hanging="567"/>
      </w:pPr>
      <w:r w:rsidRPr="003B758F">
        <w:lastRenderedPageBreak/>
        <w:t>(ii)</w:t>
      </w:r>
      <w:r w:rsidRPr="003B758F">
        <w:tab/>
        <w:t>The applicable requirements of 1.7.3</w:t>
      </w:r>
      <w:r>
        <w:t xml:space="preserve"> </w:t>
      </w:r>
      <w:r w:rsidRPr="003B758F">
        <w:t>are applied;</w:t>
      </w:r>
    </w:p>
    <w:p w:rsidR="003A1330" w:rsidRPr="003B758F" w:rsidRDefault="003A1330" w:rsidP="003A1330">
      <w:pPr>
        <w:pStyle w:val="SingleTxtG"/>
        <w:ind w:left="3402" w:hanging="567"/>
      </w:pPr>
      <w:r w:rsidRPr="003B758F">
        <w:t>(iii)</w:t>
      </w:r>
      <w:r w:rsidRPr="003B758F">
        <w:tab/>
        <w:t>The activity limits and classification in 2.2.7</w:t>
      </w:r>
      <w:r>
        <w:t xml:space="preserve"> </w:t>
      </w:r>
      <w:r w:rsidRPr="003B758F">
        <w:t>are applied;</w:t>
      </w:r>
    </w:p>
    <w:p w:rsidR="003A1330" w:rsidRPr="003B758F" w:rsidRDefault="003A1330" w:rsidP="003A1330">
      <w:pPr>
        <w:pStyle w:val="SingleTxtG"/>
        <w:ind w:left="3402" w:hanging="567"/>
      </w:pPr>
      <w:r w:rsidRPr="003B758F">
        <w:t>(iv)</w:t>
      </w:r>
      <w:r w:rsidRPr="003B758F">
        <w:tab/>
        <w:t>The requirements and controls for carriage in Parts 1, 3, 4, 5 and 7 are applied;</w:t>
      </w:r>
    </w:p>
    <w:p w:rsidR="003A1330" w:rsidRPr="003B758F" w:rsidRDefault="003A1330" w:rsidP="003A1330">
      <w:pPr>
        <w:pStyle w:val="SingleTxtG"/>
        <w:ind w:left="3402" w:hanging="567"/>
      </w:pPr>
      <w:r w:rsidRPr="003B758F">
        <w:t>(v)</w:t>
      </w:r>
      <w:r w:rsidRPr="003B758F">
        <w:tab/>
      </w:r>
      <w:r w:rsidRPr="003B758F">
        <w:rPr>
          <w:i/>
          <w:iCs/>
        </w:rPr>
        <w:t>(Reserved)</w:t>
      </w:r>
      <w:r w:rsidRPr="003B758F">
        <w:t>;</w:t>
      </w:r>
    </w:p>
    <w:p w:rsidR="003A1330" w:rsidRPr="003B758F" w:rsidRDefault="003A1330" w:rsidP="003A1330">
      <w:pPr>
        <w:pStyle w:val="SingleTxtG"/>
        <w:ind w:left="2835" w:hanging="567"/>
      </w:pPr>
      <w:r w:rsidRPr="003B758F">
        <w:t>(b)</w:t>
      </w:r>
      <w:r w:rsidRPr="003B758F">
        <w:tab/>
      </w:r>
      <w:proofErr w:type="spellStart"/>
      <w:r w:rsidRPr="003B758F">
        <w:t>Packagings</w:t>
      </w:r>
      <w:proofErr w:type="spellEnd"/>
      <w:r w:rsidRPr="003B758F">
        <w:t xml:space="preserve"> that were manufactured to a package design approved by the competent authority under the provisions of the 1996, 1996 (revised), 1996 (</w:t>
      </w:r>
      <w:bookmarkStart w:id="4" w:name="_Hlk536709372"/>
      <w:r w:rsidRPr="003B758F">
        <w:t>as amended</w:t>
      </w:r>
      <w:bookmarkEnd w:id="4"/>
      <w:r w:rsidRPr="003B758F">
        <w:t xml:space="preserve"> 2003), 2005 or 2009 Editions of IAEA Safety Series No. 6, or 2012 Edition of IAEA Safety Standards Series No. SSR-6 may continue to be used </w:t>
      </w:r>
      <w:proofErr w:type="gramStart"/>
      <w:r w:rsidRPr="003B758F">
        <w:t>provided that</w:t>
      </w:r>
      <w:proofErr w:type="gramEnd"/>
      <w:r w:rsidRPr="003B758F">
        <w:t xml:space="preserve"> all of the following conditions are met:</w:t>
      </w:r>
    </w:p>
    <w:p w:rsidR="003A1330" w:rsidRPr="003B758F" w:rsidRDefault="003A1330" w:rsidP="003A1330">
      <w:pPr>
        <w:pStyle w:val="SingleTxtG"/>
        <w:ind w:left="3402" w:hanging="567"/>
      </w:pPr>
      <w:r w:rsidRPr="003B758F">
        <w:t>(</w:t>
      </w:r>
      <w:proofErr w:type="spellStart"/>
      <w:r w:rsidRPr="003B758F">
        <w:t>i</w:t>
      </w:r>
      <w:proofErr w:type="spellEnd"/>
      <w:r w:rsidRPr="003B758F">
        <w:t>)</w:t>
      </w:r>
      <w:r w:rsidRPr="003B758F">
        <w:tab/>
        <w:t>The package design is subject to multilateral approval after 31 December 2025;</w:t>
      </w:r>
    </w:p>
    <w:p w:rsidR="003A1330" w:rsidRPr="003B758F" w:rsidRDefault="003A1330" w:rsidP="003A1330">
      <w:pPr>
        <w:pStyle w:val="SingleTxtG"/>
        <w:ind w:left="3402" w:hanging="567"/>
      </w:pPr>
      <w:r w:rsidRPr="003B758F">
        <w:t>(ii)</w:t>
      </w:r>
      <w:r w:rsidRPr="003B758F">
        <w:tab/>
        <w:t>The applicable requirements of 1.7.3</w:t>
      </w:r>
      <w:r>
        <w:t xml:space="preserve"> </w:t>
      </w:r>
      <w:r w:rsidRPr="003B758F">
        <w:t>are applied;</w:t>
      </w:r>
    </w:p>
    <w:p w:rsidR="003A1330" w:rsidRPr="003B758F" w:rsidRDefault="003A1330" w:rsidP="003A1330">
      <w:pPr>
        <w:pStyle w:val="SingleTxtG"/>
        <w:ind w:left="3402" w:hanging="567"/>
      </w:pPr>
      <w:r w:rsidRPr="003B758F">
        <w:t>(iii)</w:t>
      </w:r>
      <w:r w:rsidRPr="003B758F">
        <w:tab/>
        <w:t>The activity limits and material restrictions of 2.2.7</w:t>
      </w:r>
      <w:r>
        <w:t xml:space="preserve"> </w:t>
      </w:r>
      <w:r w:rsidRPr="003B758F">
        <w:t>are applied;</w:t>
      </w:r>
    </w:p>
    <w:p w:rsidR="003A1330" w:rsidRPr="003B758F" w:rsidRDefault="003A1330" w:rsidP="003A1330">
      <w:pPr>
        <w:pStyle w:val="SingleTxtG"/>
        <w:ind w:left="3402" w:hanging="567"/>
      </w:pPr>
      <w:r w:rsidRPr="003B758F">
        <w:t>(iv)</w:t>
      </w:r>
      <w:r w:rsidRPr="003B758F">
        <w:tab/>
        <w:t>The requirements and controls for carriage in Parts 1, 3, 4, 5 and 7 are applied.”</w:t>
      </w:r>
    </w:p>
    <w:p w:rsidR="003A1330" w:rsidRPr="003B758F" w:rsidRDefault="003A1330" w:rsidP="003A1330">
      <w:pPr>
        <w:pStyle w:val="SingleTxtG"/>
        <w:ind w:left="2268" w:hanging="1134"/>
      </w:pPr>
      <w:r w:rsidRPr="003B758F">
        <w:t>1.6.6.</w:t>
      </w:r>
      <w:r>
        <w:t>2.3</w:t>
      </w:r>
      <w:r>
        <w:tab/>
      </w:r>
      <w:r w:rsidRPr="003B758F">
        <w:t xml:space="preserve">Add the following new </w:t>
      </w:r>
      <w:r w:rsidRPr="007A3EE4">
        <w:t>paragraph</w:t>
      </w:r>
      <w:r>
        <w:t xml:space="preserve"> </w:t>
      </w:r>
      <w:r w:rsidRPr="003B758F">
        <w:t>1.6.6.</w:t>
      </w:r>
      <w:r>
        <w:t>2.3</w:t>
      </w:r>
      <w:r w:rsidRPr="003B758F">
        <w:t>:</w:t>
      </w:r>
    </w:p>
    <w:p w:rsidR="003A1330" w:rsidRDefault="003A1330" w:rsidP="003A1330">
      <w:pPr>
        <w:pStyle w:val="SingleTxtG"/>
        <w:ind w:left="2268" w:hanging="1134"/>
      </w:pPr>
      <w:r w:rsidRPr="003B758F">
        <w:t>“1.6.6.</w:t>
      </w:r>
      <w:r>
        <w:t>2.3</w:t>
      </w:r>
      <w:r w:rsidRPr="003B758F">
        <w:tab/>
        <w:t xml:space="preserve">No new manufacture of </w:t>
      </w:r>
      <w:proofErr w:type="spellStart"/>
      <w:r w:rsidRPr="003B758F">
        <w:t>packagings</w:t>
      </w:r>
      <w:proofErr w:type="spellEnd"/>
      <w:r w:rsidRPr="003B758F">
        <w:t xml:space="preserve"> of a package design meeting the provisions of the 1996, 1996 (revised), 1996 (as amended 2003), 2005 or 2009 Editions of IAEA Safety Series No. 6, or 2012</w:t>
      </w:r>
      <w:r w:rsidRPr="003B758F">
        <w:rPr>
          <w:b/>
        </w:rPr>
        <w:t xml:space="preserve"> </w:t>
      </w:r>
      <w:r w:rsidRPr="003B758F">
        <w:t>Edition of IAEA Safety Standards Series No. SSR-6 shall be permitted to commence after 31 December 2028.”</w:t>
      </w:r>
    </w:p>
    <w:p w:rsidR="003A1330" w:rsidRPr="003B758F" w:rsidRDefault="003A1330" w:rsidP="003A1330">
      <w:pPr>
        <w:pStyle w:val="SingleTxtG"/>
        <w:ind w:left="2268" w:hanging="1134"/>
      </w:pPr>
      <w:r w:rsidRPr="003B758F">
        <w:t>1.6.6.</w:t>
      </w:r>
      <w:r>
        <w:t>4</w:t>
      </w:r>
      <w:r w:rsidRPr="003B758F">
        <w:t xml:space="preserve"> </w:t>
      </w:r>
      <w:r>
        <w:tab/>
      </w:r>
      <w:r w:rsidRPr="003B758F">
        <w:t>Amend the title to read as follows: “Special form radioactive material approved under the 1985, 1985 (as amended 1990), 1996, 1996 (revised), 1996 (as amended 2003), 2005 or 2009 Editions of IAEA Safety Series No. 6 or 2012 Edition of IAEA Safety Standards Series No. SSR-6”.</w:t>
      </w:r>
    </w:p>
    <w:p w:rsidR="003A1330" w:rsidRPr="003B758F" w:rsidRDefault="003A1330" w:rsidP="003A1330">
      <w:pPr>
        <w:pStyle w:val="SingleTxtG"/>
        <w:ind w:left="2268" w:hanging="1134"/>
      </w:pPr>
      <w:r w:rsidRPr="003B758F">
        <w:t>1.6.6.</w:t>
      </w:r>
      <w:r>
        <w:t>4</w:t>
      </w:r>
      <w:r w:rsidRPr="003B758F">
        <w:tab/>
        <w:t>Amend the paragraph under the title to read as follows:</w:t>
      </w:r>
    </w:p>
    <w:p w:rsidR="003A1330" w:rsidRPr="00C54F00" w:rsidRDefault="003A1330" w:rsidP="003A1330">
      <w:pPr>
        <w:pStyle w:val="SingleTxtG"/>
        <w:ind w:left="2268" w:hanging="1134"/>
      </w:pPr>
      <w:r>
        <w:tab/>
      </w:r>
      <w:r w:rsidRPr="003B758F">
        <w:t xml:space="preserve">“Special form radioactive material manufactured to a design that had received unilateral approval by the competent authority under the 1985, 1985 (as amended 1990), 1996, 1996 (revised), 1996 (as amended 2003), 2005 and 2009 </w:t>
      </w:r>
      <w:r w:rsidRPr="003B758F">
        <w:rPr>
          <w:bCs/>
        </w:rPr>
        <w:t xml:space="preserve">Editions of IAEA Safety Series No. 6 </w:t>
      </w:r>
      <w:r w:rsidRPr="003B758F">
        <w:t>and 2012</w:t>
      </w:r>
      <w:r w:rsidRPr="003B758F">
        <w:rPr>
          <w:b/>
        </w:rPr>
        <w:t xml:space="preserve"> </w:t>
      </w:r>
      <w:r w:rsidRPr="003B758F">
        <w:t>Edition of IAEA Safety Standards Series No. SSR-6 may continue to be used when in compliance with the mandatory management system in accordance with the applicable requirements of 1.7.3. There shall be no new manufacture of special form radioactive material to a design that had received unilateral approval by the competent authority under the 1985 or 1985 (as amended 1990) Editions of IAEA Safety Series No. 6. No new manufacture of special form radioactive material to a design that had received unilateral approval by the competent authority under the 1996, 1996 (revised), 1996 (as amended 2003), 2005 and 2009 Editions of IAEA Safety Series No. 6, and 2012 Edition of IAEA Safety Standards Series No. SSR-6 shall be permitted to commence after 31 December 2025.”</w:t>
      </w:r>
    </w:p>
    <w:p w:rsidR="003A1330" w:rsidRPr="00D36F84" w:rsidRDefault="003A1330" w:rsidP="003A1330">
      <w:pPr>
        <w:pStyle w:val="H1G"/>
      </w:pPr>
      <w:r>
        <w:lastRenderedPageBreak/>
        <w:tab/>
      </w:r>
      <w:r>
        <w:tab/>
      </w:r>
      <w:r w:rsidRPr="00D36F84">
        <w:t>Chapter 1.7</w:t>
      </w:r>
    </w:p>
    <w:p w:rsidR="003A1330" w:rsidRPr="003B758F" w:rsidRDefault="003A1330" w:rsidP="003A1330">
      <w:pPr>
        <w:pStyle w:val="SingleTxtG"/>
        <w:tabs>
          <w:tab w:val="left" w:pos="2268"/>
        </w:tabs>
        <w:ind w:left="2259" w:hanging="1125"/>
      </w:pPr>
      <w:r w:rsidRPr="003B758F">
        <w:t>1.7.1, Note 1</w:t>
      </w:r>
      <w:r w:rsidRPr="003B758F">
        <w:tab/>
        <w:t>In the first sentence, replace “In the event of accidents or incidents” by “In the event of a nuclear or radiological emergency” and “, emergency provisions, as established” by “, provisions as established”.</w:t>
      </w:r>
    </w:p>
    <w:p w:rsidR="003A1330" w:rsidRPr="003B758F" w:rsidRDefault="003A1330" w:rsidP="003A1330">
      <w:pPr>
        <w:pStyle w:val="SingleTxtG"/>
        <w:tabs>
          <w:tab w:val="left" w:pos="2268"/>
        </w:tabs>
        <w:ind w:left="2259" w:hanging="1125"/>
      </w:pPr>
      <w:r>
        <w:tab/>
      </w:r>
      <w:r w:rsidRPr="003B758F">
        <w:t>Amend the second sentence to read as follows: “This includes arrangements for preparedness and response established in accordance with the national and/or international requirements and in a consistent and coordinated manner with the national and/or international emergency arrangements.”.</w:t>
      </w:r>
    </w:p>
    <w:p w:rsidR="003A1330" w:rsidRPr="003B758F" w:rsidRDefault="003A1330" w:rsidP="003A1330">
      <w:pPr>
        <w:pStyle w:val="SingleTxtG"/>
        <w:tabs>
          <w:tab w:val="left" w:pos="2268"/>
        </w:tabs>
        <w:ind w:left="2259" w:hanging="1125"/>
      </w:pPr>
      <w:r w:rsidRPr="003B758F">
        <w:t>1.7.1, Note 2</w:t>
      </w:r>
      <w:r w:rsidRPr="003B758F">
        <w:tab/>
        <w:t>Amend to read as follows:</w:t>
      </w:r>
    </w:p>
    <w:p w:rsidR="003A1330" w:rsidRPr="003B758F" w:rsidRDefault="003A1330" w:rsidP="003A1330">
      <w:pPr>
        <w:pStyle w:val="SingleTxtG"/>
        <w:tabs>
          <w:tab w:val="left" w:pos="2268"/>
        </w:tabs>
        <w:ind w:left="2259" w:hanging="1125"/>
      </w:pPr>
      <w:r>
        <w:tab/>
      </w:r>
      <w:r w:rsidRPr="003B758F">
        <w:t>“</w:t>
      </w:r>
      <w:r w:rsidRPr="00D36F84">
        <w:rPr>
          <w:b/>
          <w:bCs/>
          <w:i/>
          <w:iCs/>
        </w:rPr>
        <w:t>NOTE 2:</w:t>
      </w:r>
      <w:r w:rsidRPr="003B758F">
        <w:tab/>
        <w:t>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consignment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Emergency”, IAEA Safety Standards Series No. GSG-11, IAEA, Vienna (2018).”</w:t>
      </w:r>
    </w:p>
    <w:p w:rsidR="003A1330" w:rsidRPr="003B758F" w:rsidRDefault="003A1330" w:rsidP="003A1330">
      <w:pPr>
        <w:pStyle w:val="SingleTxtG"/>
        <w:tabs>
          <w:tab w:val="left" w:pos="2268"/>
        </w:tabs>
        <w:ind w:left="2259" w:hanging="1125"/>
      </w:pPr>
      <w:r w:rsidRPr="003B758F">
        <w:t>1.7.1.1</w:t>
      </w:r>
      <w:r w:rsidRPr="003B758F">
        <w:tab/>
      </w:r>
      <w:r w:rsidRPr="003B758F">
        <w:tab/>
        <w:t>In the first sentence, replace “to persons” by “to people”. Amend the second and third sentences to read “These standards are based on the IAEA “Regulations for the Safe Transport of Radioactive material, 2018 Edition”, IAEA Safety Standards Series No. SSR–6 (Rev.1), IAEA, Vienna (2018). Explanatory material can be found in “Advisory Material for the IAEA Regulations for the Safe Transport of Radioactive Material (2018 Edition)”, Safety Standard Series No. SSG-26 (Rev.1), IAEA, Vienna (2019).”.</w:t>
      </w:r>
    </w:p>
    <w:p w:rsidR="003A1330" w:rsidRPr="003B758F" w:rsidRDefault="003A1330" w:rsidP="003A1330">
      <w:pPr>
        <w:pStyle w:val="SingleTxtG"/>
        <w:tabs>
          <w:tab w:val="left" w:pos="2268"/>
        </w:tabs>
        <w:ind w:left="2259" w:hanging="1125"/>
      </w:pPr>
      <w:r w:rsidRPr="003B758F">
        <w:t>1.7.1.2</w:t>
      </w:r>
      <w:r w:rsidRPr="003B758F">
        <w:tab/>
      </w:r>
      <w:r w:rsidRPr="003B758F">
        <w:tab/>
        <w:t>In the first sentence, replace “persons” by “people” and replace “from the effects of radiation in the carriage” by “from harmful effects of ionizing radiation during the carriage”.</w:t>
      </w:r>
    </w:p>
    <w:p w:rsidR="003A1330" w:rsidRPr="003B758F" w:rsidRDefault="003A1330" w:rsidP="003A1330">
      <w:pPr>
        <w:pStyle w:val="SingleTxtG"/>
        <w:tabs>
          <w:tab w:val="left" w:pos="2268"/>
        </w:tabs>
        <w:ind w:left="2259" w:hanging="1125"/>
      </w:pPr>
      <w:r>
        <w:tab/>
      </w:r>
      <w:r w:rsidRPr="003B758F">
        <w:t>In (b), replace “radiation levels” by “dose rate”.</w:t>
      </w:r>
    </w:p>
    <w:p w:rsidR="003A1330" w:rsidRPr="003B758F" w:rsidRDefault="003A1330" w:rsidP="003A1330">
      <w:pPr>
        <w:pStyle w:val="SingleTxtG"/>
        <w:tabs>
          <w:tab w:val="left" w:pos="2268"/>
        </w:tabs>
        <w:ind w:left="2259" w:hanging="1125"/>
      </w:pPr>
      <w:r>
        <w:tab/>
      </w:r>
      <w:r w:rsidRPr="003B758F">
        <w:t>In the last sentence, replace “Finally” by “Thirdly” and add the following new sentence at the end: “Finally, further protection is provided by making arrangements for planning and preparing emergency response to protect people, property and the environment.”.</w:t>
      </w:r>
    </w:p>
    <w:p w:rsidR="003A1330" w:rsidRDefault="003A1330" w:rsidP="003A1330">
      <w:pPr>
        <w:pStyle w:val="SingleTxtG"/>
        <w:tabs>
          <w:tab w:val="left" w:pos="2268"/>
        </w:tabs>
        <w:ind w:left="2259" w:hanging="1125"/>
        <w:rPr>
          <w:b/>
          <w:bCs/>
        </w:rPr>
      </w:pPr>
      <w:r w:rsidRPr="0035446F">
        <w:rPr>
          <w:b/>
          <w:bCs/>
        </w:rPr>
        <w:t>(ADN):</w:t>
      </w:r>
      <w:r>
        <w:rPr>
          <w:b/>
          <w:bCs/>
        </w:rPr>
        <w:t xml:space="preserve"> </w:t>
      </w:r>
      <w:r w:rsidRPr="003B758F">
        <w:t>1.7.1.5.1 (a)</w:t>
      </w:r>
      <w:r w:rsidRPr="003B758F">
        <w:tab/>
      </w:r>
      <w:r w:rsidRPr="0035446F">
        <w:rPr>
          <w:b/>
          <w:bCs/>
        </w:rPr>
        <w:t xml:space="preserve"> </w:t>
      </w:r>
    </w:p>
    <w:p w:rsidR="003A1330" w:rsidRPr="003B758F" w:rsidRDefault="003A1330" w:rsidP="003A1330">
      <w:pPr>
        <w:pStyle w:val="SingleTxtG"/>
        <w:tabs>
          <w:tab w:val="left" w:pos="2268"/>
        </w:tabs>
        <w:ind w:left="2259" w:hanging="1125"/>
      </w:pPr>
      <w:r>
        <w:rPr>
          <w:b/>
          <w:bCs/>
        </w:rPr>
        <w:tab/>
      </w:r>
      <w:r w:rsidRPr="003B758F">
        <w:t>After “5.2.1.10,” add “5.4.1.2.5.1 (f) (</w:t>
      </w:r>
      <w:proofErr w:type="spellStart"/>
      <w:r w:rsidRPr="003B758F">
        <w:t>i</w:t>
      </w:r>
      <w:proofErr w:type="spellEnd"/>
      <w:r w:rsidRPr="003B758F">
        <w:t>) and (ii), 5.4.1.2.5.1 (</w:t>
      </w:r>
      <w:proofErr w:type="spellStart"/>
      <w:r w:rsidRPr="003B758F">
        <w:t>i</w:t>
      </w:r>
      <w:proofErr w:type="spellEnd"/>
      <w:r w:rsidRPr="003B758F">
        <w:t xml:space="preserve">),” and after “7.1.4.14.7.3.1” add “, </w:t>
      </w:r>
      <w:r w:rsidRPr="003B758F">
        <w:rPr>
          <w:color w:val="000000"/>
        </w:rPr>
        <w:t>7.1.4.14.7.4.3</w:t>
      </w:r>
      <w:r w:rsidRPr="003B758F">
        <w:t>”.</w:t>
      </w:r>
    </w:p>
    <w:p w:rsidR="003A1330" w:rsidRPr="003B758F" w:rsidRDefault="003A1330" w:rsidP="003A1330">
      <w:pPr>
        <w:pStyle w:val="SingleTxtG"/>
        <w:tabs>
          <w:tab w:val="left" w:pos="2268"/>
        </w:tabs>
        <w:ind w:left="2259" w:hanging="1125"/>
      </w:pPr>
      <w:r w:rsidRPr="003B758F">
        <w:t>1.7.1.5.2</w:t>
      </w:r>
      <w:r w:rsidRPr="003B758F">
        <w:tab/>
        <w:t>Delete the second sentence.</w:t>
      </w:r>
    </w:p>
    <w:p w:rsidR="003A1330" w:rsidRPr="003B758F" w:rsidRDefault="003A1330" w:rsidP="003A1330">
      <w:pPr>
        <w:pStyle w:val="SingleTxtG"/>
        <w:tabs>
          <w:tab w:val="left" w:pos="2268"/>
        </w:tabs>
        <w:ind w:left="2259" w:hanging="1125"/>
      </w:pPr>
      <w:r w:rsidRPr="003B758F">
        <w:t>1.7.2.4</w:t>
      </w:r>
      <w:r w:rsidRPr="003B758F">
        <w:tab/>
        <w:t>In the last sentence replace “individual monitoring or work place monitoring” by “workplace monitoring or individual monitoring”.</w:t>
      </w:r>
    </w:p>
    <w:p w:rsidR="003A1330" w:rsidRPr="003B758F" w:rsidRDefault="003A1330" w:rsidP="003A1330">
      <w:pPr>
        <w:pStyle w:val="SingleTxtG"/>
        <w:tabs>
          <w:tab w:val="left" w:pos="2268"/>
        </w:tabs>
        <w:ind w:left="2259" w:hanging="1125"/>
      </w:pPr>
      <w:r w:rsidRPr="003B758F">
        <w:t>1.7.4.2</w:t>
      </w:r>
      <w:r w:rsidRPr="003B758F">
        <w:tab/>
        <w:t xml:space="preserve">In the second sentence, replace “through alternative means” by “through means alternative to the other provisions of RID/ADR/ADN,” and replace “for single or a planned series of multiple consignments” </w:t>
      </w:r>
      <w:r w:rsidRPr="003B758F">
        <w:lastRenderedPageBreak/>
        <w:t>by “for a single consignment or a planned series of multiple consignments”. In the third sentence, at the end, after “applicable requirements” add “of RID/ADR/ADN”.</w:t>
      </w:r>
    </w:p>
    <w:p w:rsidR="003A1330" w:rsidRDefault="003A1330" w:rsidP="003A1330">
      <w:pPr>
        <w:pStyle w:val="SingleTxtG"/>
        <w:tabs>
          <w:tab w:val="left" w:pos="2268"/>
        </w:tabs>
        <w:ind w:left="2259" w:hanging="1125"/>
      </w:pPr>
      <w:r w:rsidRPr="003B758F">
        <w:t>1.7.6.1</w:t>
      </w:r>
      <w:r w:rsidRPr="003B758F">
        <w:tab/>
      </w:r>
      <w:r>
        <w:t>Amend as follows:</w:t>
      </w:r>
    </w:p>
    <w:p w:rsidR="003A1330" w:rsidRDefault="003A1330" w:rsidP="003A1330">
      <w:pPr>
        <w:pStyle w:val="SingleTxtG"/>
        <w:tabs>
          <w:tab w:val="left" w:pos="2268"/>
        </w:tabs>
        <w:ind w:left="2259" w:hanging="1125"/>
      </w:pPr>
      <w:r>
        <w:tab/>
      </w:r>
      <w:r w:rsidRPr="003B758F">
        <w:t xml:space="preserve">In the introductory sentence, replace “radiation level” by “dose rate”. </w:t>
      </w:r>
    </w:p>
    <w:p w:rsidR="003A1330" w:rsidRDefault="003A1330" w:rsidP="003A1330">
      <w:pPr>
        <w:pStyle w:val="SingleTxtG"/>
        <w:tabs>
          <w:tab w:val="left" w:pos="2268"/>
        </w:tabs>
        <w:ind w:left="2259" w:hanging="1125"/>
      </w:pPr>
      <w:r>
        <w:tab/>
        <w:t xml:space="preserve">In (a), replace </w:t>
      </w:r>
      <w:r w:rsidRPr="003B758F">
        <w:t>“consignor</w:t>
      </w:r>
      <w:r>
        <w:t xml:space="preserve">, </w:t>
      </w:r>
      <w:r w:rsidRPr="003B758F">
        <w:t>consignee</w:t>
      </w:r>
      <w:r>
        <w:t xml:space="preserve">, </w:t>
      </w:r>
      <w:r w:rsidRPr="003B758F">
        <w:t>carrier,” by “consignor, carrier, consignee”.</w:t>
      </w:r>
    </w:p>
    <w:p w:rsidR="003A1330" w:rsidRDefault="003A1330" w:rsidP="003A1330">
      <w:pPr>
        <w:pStyle w:val="SingleTxtG"/>
        <w:tabs>
          <w:tab w:val="left" w:pos="2268"/>
        </w:tabs>
        <w:ind w:left="2259" w:hanging="1125"/>
      </w:pPr>
      <w:r>
        <w:tab/>
      </w:r>
      <w:r w:rsidRPr="003B758F">
        <w:t xml:space="preserve">In (b), at the beginning, replace “carrier, consignor or consignee” by “consignor, carrier, or consignee”. In (b) (iii), replace “similar circumstances” by “the causes and circumstances </w:t>
      </w:r>
      <w:proofErr w:type="gramStart"/>
      <w:r w:rsidRPr="003B758F">
        <w:t>similar to</w:t>
      </w:r>
      <w:proofErr w:type="gramEnd"/>
      <w:r w:rsidRPr="003B758F">
        <w:t xml:space="preserve"> those”. In (b) (iv), replace “on corrective or preventive actions” by “the corrective or preventive actions”.</w:t>
      </w:r>
    </w:p>
    <w:p w:rsidR="003A1330" w:rsidRPr="00D36F84" w:rsidRDefault="003A1330" w:rsidP="003A1330">
      <w:pPr>
        <w:pStyle w:val="H1G"/>
      </w:pPr>
      <w:r>
        <w:tab/>
      </w:r>
      <w:r>
        <w:tab/>
      </w:r>
      <w:r w:rsidRPr="00D36F84">
        <w:t>Chapter 1.8</w:t>
      </w:r>
    </w:p>
    <w:p w:rsidR="003A1330" w:rsidRPr="00D36F84" w:rsidRDefault="003A1330" w:rsidP="003A1330">
      <w:pPr>
        <w:pStyle w:val="SingleTxtG"/>
        <w:tabs>
          <w:tab w:val="left" w:pos="2268"/>
        </w:tabs>
        <w:ind w:left="2259" w:hanging="1125"/>
      </w:pPr>
      <w:r w:rsidRPr="00D36F84">
        <w:t>1.8.5.3</w:t>
      </w:r>
      <w:r w:rsidRPr="00D36F84">
        <w:tab/>
        <w:t>In sub-paragraph (b) after “In occurrences involving radioactive material, the criteria for loss of product are:”, replace “Schedule II of IAEA Safety Series No. 115 – “International Basic Safety Standards for Protection against Ionizing Radiation and for the safety of Radiation Sources”” by ““Radiation Protection and Safety of Radiation Sources: International Basic Safety Standards”, IAEA Safety Standards Series No. GSR Part 3, IAEA, Vienna (2014)”.</w:t>
      </w:r>
    </w:p>
    <w:p w:rsidR="003A1330" w:rsidRPr="00D36F84" w:rsidRDefault="003A1330" w:rsidP="003A1330">
      <w:pPr>
        <w:pStyle w:val="H1G"/>
      </w:pPr>
      <w:r>
        <w:tab/>
      </w:r>
      <w:r>
        <w:tab/>
      </w:r>
      <w:r w:rsidRPr="00D36F84">
        <w:t>Chapter 1.10</w:t>
      </w:r>
    </w:p>
    <w:p w:rsidR="003A1330" w:rsidRDefault="003A1330" w:rsidP="003A1330">
      <w:pPr>
        <w:pStyle w:val="SingleTxtG"/>
        <w:tabs>
          <w:tab w:val="left" w:pos="2268"/>
        </w:tabs>
        <w:ind w:left="2259" w:hanging="1125"/>
      </w:pPr>
      <w:r w:rsidRPr="003B758F">
        <w:t>Table</w:t>
      </w:r>
      <w:r>
        <w:t xml:space="preserve"> </w:t>
      </w:r>
      <w:r w:rsidRPr="003B758F">
        <w:t>1.10.3.1.2</w:t>
      </w:r>
    </w:p>
    <w:p w:rsidR="003A1330" w:rsidRPr="003B758F" w:rsidRDefault="003A1330" w:rsidP="003A1330">
      <w:pPr>
        <w:pStyle w:val="SingleTxtG"/>
        <w:tabs>
          <w:tab w:val="left" w:pos="2268"/>
        </w:tabs>
        <w:ind w:left="2259" w:hanging="1125"/>
      </w:pPr>
      <w:r w:rsidRPr="003B758F">
        <w:tab/>
        <w:t>Amend as follows:</w:t>
      </w:r>
    </w:p>
    <w:p w:rsidR="003A1330" w:rsidRPr="003B758F" w:rsidRDefault="003A1330" w:rsidP="003A1330">
      <w:pPr>
        <w:pStyle w:val="SingleTxtG"/>
        <w:tabs>
          <w:tab w:val="left" w:pos="2268"/>
        </w:tabs>
        <w:ind w:left="2259" w:hanging="1125"/>
      </w:pPr>
      <w:r>
        <w:tab/>
      </w:r>
      <w:r w:rsidRPr="003B758F">
        <w:t>For Class 1, Division 1.4, in column “Substance or article”, replace “and 0500” by “</w:t>
      </w:r>
      <w:r>
        <w:t xml:space="preserve">, </w:t>
      </w:r>
      <w:r w:rsidRPr="003B758F">
        <w:t>0500, 0512 and 0513”.</w:t>
      </w:r>
    </w:p>
    <w:p w:rsidR="003A1330" w:rsidRPr="003B758F" w:rsidRDefault="003A1330" w:rsidP="003A1330">
      <w:pPr>
        <w:pStyle w:val="SingleTxtG"/>
        <w:tabs>
          <w:tab w:val="left" w:pos="2268"/>
        </w:tabs>
        <w:ind w:left="2259" w:hanging="1125"/>
      </w:pPr>
      <w:r>
        <w:tab/>
      </w:r>
      <w:r w:rsidRPr="003B758F">
        <w:t>Add the following new row after “Class 1, Division 1.5”:</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2268"/>
        <w:gridCol w:w="813"/>
        <w:gridCol w:w="1083"/>
        <w:gridCol w:w="1085"/>
      </w:tblGrid>
      <w:tr w:rsidR="003A1330" w:rsidRPr="003B758F" w:rsidTr="00F82F5E">
        <w:trPr>
          <w:cantSplit/>
          <w:tblHeader/>
          <w:jc w:val="center"/>
        </w:trPr>
        <w:tc>
          <w:tcPr>
            <w:tcW w:w="1134" w:type="dxa"/>
            <w:vMerge w:val="restart"/>
          </w:tcPr>
          <w:p w:rsidR="003A1330" w:rsidRPr="003B758F" w:rsidRDefault="003A1330" w:rsidP="00F82F5E">
            <w:pPr>
              <w:suppressAutoHyphens w:val="0"/>
              <w:spacing w:before="20" w:after="20" w:line="216" w:lineRule="auto"/>
              <w:ind w:left="1418" w:hanging="1418"/>
              <w:jc w:val="center"/>
              <w:rPr>
                <w:b/>
                <w:bCs/>
                <w:lang w:val="en-US"/>
              </w:rPr>
            </w:pPr>
            <w:r w:rsidRPr="003B758F">
              <w:rPr>
                <w:b/>
                <w:bCs/>
                <w:lang w:val="en-US"/>
              </w:rPr>
              <w:t>Class</w:t>
            </w:r>
          </w:p>
        </w:tc>
        <w:tc>
          <w:tcPr>
            <w:tcW w:w="1276" w:type="dxa"/>
            <w:vMerge w:val="restart"/>
          </w:tcPr>
          <w:p w:rsidR="003A1330" w:rsidRPr="003B758F" w:rsidRDefault="003A1330" w:rsidP="00F82F5E">
            <w:pPr>
              <w:suppressAutoHyphens w:val="0"/>
              <w:spacing w:before="20" w:after="20" w:line="216" w:lineRule="auto"/>
              <w:ind w:left="1418" w:hanging="1418"/>
              <w:jc w:val="center"/>
              <w:rPr>
                <w:b/>
                <w:bCs/>
                <w:lang w:val="en-US"/>
              </w:rPr>
            </w:pPr>
            <w:r w:rsidRPr="003B758F">
              <w:rPr>
                <w:b/>
                <w:bCs/>
                <w:lang w:val="en-US"/>
              </w:rPr>
              <w:t>Division</w:t>
            </w:r>
          </w:p>
        </w:tc>
        <w:tc>
          <w:tcPr>
            <w:tcW w:w="2268" w:type="dxa"/>
            <w:vMerge w:val="restart"/>
          </w:tcPr>
          <w:p w:rsidR="003A1330" w:rsidRPr="003B758F" w:rsidRDefault="003A1330" w:rsidP="00F82F5E">
            <w:pPr>
              <w:suppressAutoHyphens w:val="0"/>
              <w:spacing w:before="20" w:after="20" w:line="216" w:lineRule="auto"/>
              <w:ind w:left="1418" w:hanging="1418"/>
              <w:jc w:val="center"/>
              <w:rPr>
                <w:b/>
                <w:bCs/>
              </w:rPr>
            </w:pPr>
            <w:r w:rsidRPr="003B758F">
              <w:rPr>
                <w:b/>
                <w:bCs/>
              </w:rPr>
              <w:t>Substance or article</w:t>
            </w:r>
          </w:p>
        </w:tc>
        <w:tc>
          <w:tcPr>
            <w:tcW w:w="2981" w:type="dxa"/>
            <w:gridSpan w:val="3"/>
          </w:tcPr>
          <w:p w:rsidR="003A1330" w:rsidRPr="003B758F" w:rsidRDefault="003A1330" w:rsidP="00F82F5E">
            <w:pPr>
              <w:suppressAutoHyphens w:val="0"/>
              <w:spacing w:before="20" w:after="20" w:line="216" w:lineRule="auto"/>
              <w:ind w:left="1418" w:hanging="1418"/>
              <w:jc w:val="center"/>
              <w:rPr>
                <w:b/>
                <w:bCs/>
                <w:lang w:val="en-US"/>
              </w:rPr>
            </w:pPr>
            <w:r w:rsidRPr="003B758F">
              <w:rPr>
                <w:b/>
                <w:bCs/>
                <w:lang w:val="en-US"/>
              </w:rPr>
              <w:t>Quantity</w:t>
            </w:r>
          </w:p>
        </w:tc>
      </w:tr>
      <w:tr w:rsidR="003A1330" w:rsidRPr="003B758F" w:rsidTr="00F82F5E">
        <w:trPr>
          <w:cantSplit/>
          <w:tblHeader/>
          <w:jc w:val="center"/>
        </w:trPr>
        <w:tc>
          <w:tcPr>
            <w:tcW w:w="1134" w:type="dxa"/>
            <w:vMerge/>
          </w:tcPr>
          <w:p w:rsidR="003A1330" w:rsidRPr="003B758F" w:rsidRDefault="003A1330" w:rsidP="00F82F5E">
            <w:pPr>
              <w:suppressAutoHyphens w:val="0"/>
              <w:spacing w:before="20" w:after="20" w:line="216" w:lineRule="auto"/>
              <w:ind w:left="1418" w:hanging="1418"/>
              <w:jc w:val="center"/>
              <w:rPr>
                <w:b/>
                <w:bCs/>
                <w:lang w:val="en-US"/>
              </w:rPr>
            </w:pPr>
          </w:p>
        </w:tc>
        <w:tc>
          <w:tcPr>
            <w:tcW w:w="1276" w:type="dxa"/>
            <w:vMerge/>
          </w:tcPr>
          <w:p w:rsidR="003A1330" w:rsidRPr="003B758F" w:rsidRDefault="003A1330" w:rsidP="00F82F5E">
            <w:pPr>
              <w:suppressAutoHyphens w:val="0"/>
              <w:spacing w:before="20" w:after="20" w:line="216" w:lineRule="auto"/>
              <w:ind w:left="1418" w:hanging="1418"/>
              <w:jc w:val="center"/>
              <w:rPr>
                <w:b/>
                <w:bCs/>
                <w:lang w:val="en-US"/>
              </w:rPr>
            </w:pPr>
          </w:p>
        </w:tc>
        <w:tc>
          <w:tcPr>
            <w:tcW w:w="2268" w:type="dxa"/>
            <w:vMerge/>
          </w:tcPr>
          <w:p w:rsidR="003A1330" w:rsidRPr="003B758F" w:rsidRDefault="003A1330" w:rsidP="00F82F5E">
            <w:pPr>
              <w:suppressAutoHyphens w:val="0"/>
              <w:spacing w:before="20" w:after="20" w:line="216" w:lineRule="auto"/>
              <w:ind w:left="1418" w:hanging="1418"/>
              <w:jc w:val="center"/>
              <w:rPr>
                <w:b/>
                <w:bCs/>
                <w:lang w:val="en-US"/>
              </w:rPr>
            </w:pPr>
          </w:p>
        </w:tc>
        <w:tc>
          <w:tcPr>
            <w:tcW w:w="813" w:type="dxa"/>
          </w:tcPr>
          <w:p w:rsidR="003A1330" w:rsidRPr="003B758F" w:rsidRDefault="003A1330" w:rsidP="00F82F5E">
            <w:pPr>
              <w:suppressAutoHyphens w:val="0"/>
              <w:spacing w:before="20" w:after="20" w:line="216" w:lineRule="auto"/>
              <w:ind w:left="1418" w:hanging="1411"/>
              <w:jc w:val="center"/>
              <w:rPr>
                <w:b/>
                <w:bCs/>
                <w:lang w:val="en-US"/>
              </w:rPr>
            </w:pPr>
            <w:r w:rsidRPr="003B758F">
              <w:rPr>
                <w:b/>
                <w:bCs/>
                <w:lang w:val="en-US"/>
              </w:rPr>
              <w:t xml:space="preserve">Tank </w:t>
            </w:r>
          </w:p>
          <w:p w:rsidR="003A1330" w:rsidRPr="003B758F" w:rsidRDefault="003A1330" w:rsidP="00F82F5E">
            <w:pPr>
              <w:suppressAutoHyphens w:val="0"/>
              <w:spacing w:before="20" w:after="20" w:line="216" w:lineRule="auto"/>
              <w:ind w:left="1418" w:hanging="1411"/>
              <w:jc w:val="center"/>
              <w:rPr>
                <w:b/>
                <w:bCs/>
                <w:lang w:val="en-US"/>
              </w:rPr>
            </w:pPr>
            <w:r w:rsidRPr="003B758F">
              <w:rPr>
                <w:b/>
                <w:bCs/>
                <w:lang w:val="en-US"/>
              </w:rPr>
              <w:t>(</w:t>
            </w:r>
            <w:r w:rsidRPr="003B758F">
              <w:rPr>
                <w:b/>
                <w:bCs/>
                <w:i/>
                <w:iCs/>
                <w:lang w:val="en-US"/>
              </w:rPr>
              <w:t>l</w:t>
            </w:r>
            <w:r w:rsidRPr="003B758F">
              <w:rPr>
                <w:b/>
                <w:bCs/>
                <w:lang w:val="en-US"/>
              </w:rPr>
              <w:t>)</w:t>
            </w:r>
            <w:r w:rsidRPr="003B758F">
              <w:rPr>
                <w:b/>
                <w:bCs/>
                <w:vertAlign w:val="superscript"/>
                <w:lang w:val="en-US"/>
              </w:rPr>
              <w:t xml:space="preserve"> c</w:t>
            </w:r>
          </w:p>
        </w:tc>
        <w:tc>
          <w:tcPr>
            <w:tcW w:w="1083" w:type="dxa"/>
          </w:tcPr>
          <w:p w:rsidR="003A1330" w:rsidRPr="003B758F" w:rsidRDefault="003A1330" w:rsidP="00F82F5E">
            <w:pPr>
              <w:suppressAutoHyphens w:val="0"/>
              <w:spacing w:before="20" w:after="20" w:line="216" w:lineRule="auto"/>
              <w:ind w:left="1418" w:hanging="1411"/>
              <w:jc w:val="center"/>
              <w:rPr>
                <w:b/>
                <w:bCs/>
                <w:lang w:val="en-US"/>
              </w:rPr>
            </w:pPr>
            <w:r w:rsidRPr="003B758F">
              <w:rPr>
                <w:b/>
                <w:bCs/>
                <w:lang w:val="en-US"/>
              </w:rPr>
              <w:t xml:space="preserve">Bulk </w:t>
            </w:r>
          </w:p>
          <w:p w:rsidR="003A1330" w:rsidRPr="003B758F" w:rsidRDefault="003A1330" w:rsidP="00F82F5E">
            <w:pPr>
              <w:suppressAutoHyphens w:val="0"/>
              <w:spacing w:before="20" w:after="20" w:line="216" w:lineRule="auto"/>
              <w:ind w:left="1418" w:hanging="1411"/>
              <w:jc w:val="center"/>
              <w:rPr>
                <w:b/>
                <w:bCs/>
                <w:lang w:val="en-US"/>
              </w:rPr>
            </w:pPr>
            <w:r w:rsidRPr="003B758F">
              <w:rPr>
                <w:b/>
                <w:bCs/>
                <w:lang w:val="en-US"/>
              </w:rPr>
              <w:t>(kg)</w:t>
            </w:r>
            <w:r w:rsidRPr="003B758F">
              <w:rPr>
                <w:b/>
                <w:bCs/>
                <w:vertAlign w:val="superscript"/>
                <w:lang w:val="en-US"/>
              </w:rPr>
              <w:t xml:space="preserve"> d</w:t>
            </w:r>
          </w:p>
        </w:tc>
        <w:tc>
          <w:tcPr>
            <w:tcW w:w="1085" w:type="dxa"/>
          </w:tcPr>
          <w:p w:rsidR="003A1330" w:rsidRPr="003B758F" w:rsidRDefault="003A1330" w:rsidP="00F82F5E">
            <w:pPr>
              <w:suppressAutoHyphens w:val="0"/>
              <w:spacing w:before="20" w:after="20" w:line="216" w:lineRule="auto"/>
              <w:ind w:left="49"/>
              <w:jc w:val="center"/>
              <w:rPr>
                <w:b/>
                <w:bCs/>
                <w:lang w:val="en-US"/>
              </w:rPr>
            </w:pPr>
            <w:r w:rsidRPr="003B758F">
              <w:rPr>
                <w:b/>
                <w:bCs/>
                <w:lang w:val="en-US"/>
              </w:rPr>
              <w:t xml:space="preserve">Packages </w:t>
            </w:r>
          </w:p>
          <w:p w:rsidR="003A1330" w:rsidRPr="003B758F" w:rsidRDefault="003A1330" w:rsidP="00F82F5E">
            <w:pPr>
              <w:suppressAutoHyphens w:val="0"/>
              <w:spacing w:before="20" w:after="20" w:line="216" w:lineRule="auto"/>
              <w:ind w:left="43"/>
              <w:jc w:val="center"/>
              <w:rPr>
                <w:b/>
                <w:bCs/>
                <w:lang w:val="en-US"/>
              </w:rPr>
            </w:pPr>
            <w:r w:rsidRPr="003B758F">
              <w:rPr>
                <w:b/>
                <w:bCs/>
                <w:lang w:val="en-US"/>
              </w:rPr>
              <w:t>(kg)</w:t>
            </w:r>
          </w:p>
        </w:tc>
      </w:tr>
      <w:tr w:rsidR="003A1330" w:rsidRPr="003B758F" w:rsidTr="00F82F5E">
        <w:trPr>
          <w:cantSplit/>
          <w:jc w:val="center"/>
        </w:trPr>
        <w:tc>
          <w:tcPr>
            <w:tcW w:w="1134" w:type="dxa"/>
          </w:tcPr>
          <w:p w:rsidR="003A1330" w:rsidRPr="003B758F" w:rsidRDefault="003A1330" w:rsidP="00F82F5E">
            <w:pPr>
              <w:keepNext/>
              <w:keepLines/>
              <w:suppressAutoHyphens w:val="0"/>
              <w:spacing w:before="20" w:after="20" w:line="216" w:lineRule="auto"/>
              <w:ind w:left="1418" w:hanging="1418"/>
              <w:jc w:val="center"/>
              <w:rPr>
                <w:lang w:val="en-US"/>
              </w:rPr>
            </w:pPr>
            <w:r w:rsidRPr="003B758F">
              <w:rPr>
                <w:lang w:val="en-US"/>
              </w:rPr>
              <w:t>1</w:t>
            </w:r>
          </w:p>
        </w:tc>
        <w:tc>
          <w:tcPr>
            <w:tcW w:w="1276" w:type="dxa"/>
          </w:tcPr>
          <w:p w:rsidR="003A1330" w:rsidRPr="003B758F" w:rsidRDefault="003A1330" w:rsidP="00F82F5E">
            <w:pPr>
              <w:keepNext/>
              <w:keepLines/>
              <w:suppressAutoHyphens w:val="0"/>
              <w:spacing w:before="20" w:after="20" w:line="216" w:lineRule="auto"/>
              <w:ind w:left="1418" w:hanging="1418"/>
              <w:jc w:val="center"/>
              <w:rPr>
                <w:lang w:val="en-US"/>
              </w:rPr>
            </w:pPr>
            <w:r w:rsidRPr="003B758F">
              <w:rPr>
                <w:lang w:val="en-US"/>
              </w:rPr>
              <w:t>1.6</w:t>
            </w:r>
          </w:p>
        </w:tc>
        <w:tc>
          <w:tcPr>
            <w:tcW w:w="2268" w:type="dxa"/>
          </w:tcPr>
          <w:p w:rsidR="003A1330" w:rsidRPr="003B758F" w:rsidRDefault="003A1330" w:rsidP="00F82F5E">
            <w:pPr>
              <w:keepLines/>
              <w:suppressAutoHyphens w:val="0"/>
              <w:spacing w:before="20" w:after="20" w:line="216" w:lineRule="auto"/>
              <w:rPr>
                <w:lang w:val="en-US"/>
              </w:rPr>
            </w:pPr>
            <w:r w:rsidRPr="003B758F">
              <w:rPr>
                <w:lang w:val="en-US"/>
              </w:rPr>
              <w:t>Explosives</w:t>
            </w:r>
          </w:p>
        </w:tc>
        <w:tc>
          <w:tcPr>
            <w:tcW w:w="813" w:type="dxa"/>
          </w:tcPr>
          <w:p w:rsidR="003A1330" w:rsidRPr="003B758F" w:rsidRDefault="003A1330" w:rsidP="00F82F5E">
            <w:pPr>
              <w:keepNext/>
              <w:keepLines/>
              <w:suppressAutoHyphens w:val="0"/>
              <w:spacing w:before="20" w:after="20" w:line="216" w:lineRule="auto"/>
              <w:ind w:left="1418" w:hanging="1418"/>
              <w:jc w:val="center"/>
              <w:rPr>
                <w:lang w:val="en-US"/>
              </w:rPr>
            </w:pPr>
            <w:r w:rsidRPr="003B758F">
              <w:rPr>
                <w:b/>
                <w:bCs/>
                <w:vertAlign w:val="superscript"/>
                <w:lang w:val="en-US"/>
              </w:rPr>
              <w:t>a</w:t>
            </w:r>
          </w:p>
        </w:tc>
        <w:tc>
          <w:tcPr>
            <w:tcW w:w="1083" w:type="dxa"/>
          </w:tcPr>
          <w:p w:rsidR="003A1330" w:rsidRPr="003B758F" w:rsidRDefault="003A1330" w:rsidP="00F82F5E">
            <w:pPr>
              <w:keepNext/>
              <w:keepLines/>
              <w:suppressAutoHyphens w:val="0"/>
              <w:spacing w:before="20" w:after="20" w:line="216" w:lineRule="auto"/>
              <w:ind w:left="1418" w:hanging="1418"/>
              <w:jc w:val="center"/>
              <w:rPr>
                <w:lang w:val="en-US"/>
              </w:rPr>
            </w:pPr>
            <w:r w:rsidRPr="003B758F">
              <w:rPr>
                <w:b/>
                <w:bCs/>
                <w:vertAlign w:val="superscript"/>
                <w:lang w:val="en-US"/>
              </w:rPr>
              <w:t>a</w:t>
            </w:r>
          </w:p>
        </w:tc>
        <w:tc>
          <w:tcPr>
            <w:tcW w:w="1085" w:type="dxa"/>
          </w:tcPr>
          <w:p w:rsidR="003A1330" w:rsidRPr="003B758F" w:rsidRDefault="003A1330" w:rsidP="00F82F5E">
            <w:pPr>
              <w:keepNext/>
              <w:keepLines/>
              <w:suppressAutoHyphens w:val="0"/>
              <w:spacing w:before="20" w:after="20" w:line="216" w:lineRule="auto"/>
              <w:ind w:left="1418" w:hanging="1418"/>
              <w:jc w:val="center"/>
              <w:rPr>
                <w:lang w:val="en-US"/>
              </w:rPr>
            </w:pPr>
            <w:r w:rsidRPr="003B758F">
              <w:rPr>
                <w:lang w:val="en-US"/>
              </w:rPr>
              <w:t>0</w:t>
            </w:r>
          </w:p>
        </w:tc>
      </w:tr>
    </w:tbl>
    <w:p w:rsidR="003A1330" w:rsidRDefault="003A1330" w:rsidP="003A1330">
      <w:pPr>
        <w:pStyle w:val="SingleTxtG"/>
        <w:tabs>
          <w:tab w:val="left" w:pos="2268"/>
        </w:tabs>
        <w:spacing w:before="120"/>
        <w:ind w:left="2257" w:hanging="1123"/>
        <w:rPr>
          <w:color w:val="000000"/>
        </w:rPr>
      </w:pPr>
      <w:r>
        <w:tab/>
      </w:r>
      <w:r w:rsidRPr="003B758F">
        <w:t xml:space="preserve">For Class 6.2, amend the text in column “Substance or article” to read </w:t>
      </w:r>
      <w:r w:rsidRPr="007A3EE4">
        <w:t>“I</w:t>
      </w:r>
      <w:r w:rsidRPr="007A3EE4">
        <w:rPr>
          <w:color w:val="000000"/>
        </w:rPr>
        <w:t>nfectious substances of Category A (UN Nos. 2814 and 2900 [</w:t>
      </w:r>
      <w:r w:rsidRPr="007A3EE4">
        <w:t>, except for animal material]</w:t>
      </w:r>
      <w:r w:rsidRPr="007A3EE4">
        <w:rPr>
          <w:color w:val="000000"/>
        </w:rPr>
        <w:t>) and medical waste of Category A (UN No. 3549)”.</w:t>
      </w:r>
    </w:p>
    <w:p w:rsidR="003A1330" w:rsidRPr="00C54F00" w:rsidRDefault="003A1330" w:rsidP="003A1330">
      <w:pPr>
        <w:pStyle w:val="SingleTxtG"/>
        <w:tabs>
          <w:tab w:val="left" w:pos="2268"/>
        </w:tabs>
        <w:ind w:left="2259" w:hanging="1125"/>
      </w:pPr>
      <w:r w:rsidRPr="003B758F">
        <w:t>1.10.5</w:t>
      </w:r>
      <w:r w:rsidRPr="003B758F">
        <w:tab/>
        <w:t xml:space="preserve">Replace “The Physical Protection of Nuclear Material and Nuclear Facilities” by “Nuclear Security Recommendations on Physical Protection of Nuclear Material and Nuclear Facilities”. In footnote </w:t>
      </w:r>
      <w:r>
        <w:t>22/</w:t>
      </w:r>
      <w:r w:rsidRPr="003B758F">
        <w:t>2, replace “INFCIRC/225/Rev.4 (corrected), IAEA Vienna (1999)” by “INFCIRC/225/Rev.5, IAEA, Vienna (2011)”.</w:t>
      </w:r>
    </w:p>
    <w:p w:rsidR="003A1330" w:rsidRPr="00D36F84" w:rsidRDefault="003A1330" w:rsidP="003A1330">
      <w:pPr>
        <w:pStyle w:val="H1G"/>
      </w:pPr>
      <w:r>
        <w:tab/>
      </w:r>
      <w:r>
        <w:tab/>
      </w:r>
      <w:r w:rsidRPr="00D36F84">
        <w:t>Chapter 2.1</w:t>
      </w:r>
    </w:p>
    <w:p w:rsidR="003A1330" w:rsidRPr="00D36F84" w:rsidRDefault="003A1330" w:rsidP="003A1330">
      <w:pPr>
        <w:pStyle w:val="SingleTxtG"/>
        <w:ind w:left="2259" w:hanging="1125"/>
      </w:pPr>
      <w:r w:rsidRPr="00D36F84">
        <w:t>2.1.5.4</w:t>
      </w:r>
      <w:r w:rsidRPr="00D36F84">
        <w:tab/>
        <w:t>At the end, add the following new sentence “However, this section applies to articles containing explosives which are excluded from Class 1 in accordance with 2.2.1.1.8.2.”.</w:t>
      </w:r>
    </w:p>
    <w:p w:rsidR="003A1330" w:rsidRPr="00A11E49" w:rsidRDefault="003A1330" w:rsidP="003A1330">
      <w:pPr>
        <w:pStyle w:val="H1G"/>
      </w:pPr>
      <w:r w:rsidRPr="00A11E49">
        <w:lastRenderedPageBreak/>
        <w:tab/>
      </w:r>
      <w:r>
        <w:tab/>
      </w:r>
      <w:r w:rsidRPr="00A11E49">
        <w:t>Chapter 2.2</w:t>
      </w:r>
    </w:p>
    <w:p w:rsidR="003A1330" w:rsidRDefault="003A1330" w:rsidP="003A1330">
      <w:pPr>
        <w:pStyle w:val="SingleTxtG"/>
        <w:ind w:left="2259" w:hanging="1125"/>
      </w:pPr>
      <w:bookmarkStart w:id="5" w:name="_Hlk10113789"/>
      <w:r w:rsidRPr="00B92DE4">
        <w:rPr>
          <w:b/>
          <w:bCs/>
        </w:rPr>
        <w:t xml:space="preserve">(ADR:) </w:t>
      </w:r>
      <w:r w:rsidRPr="00B92DE4">
        <w:t>2.2.1.1.7.2</w:t>
      </w:r>
      <w:r w:rsidRPr="00B92DE4">
        <w:tab/>
      </w:r>
    </w:p>
    <w:p w:rsidR="003A1330" w:rsidRPr="00B92DE4" w:rsidRDefault="003A1330" w:rsidP="003A1330">
      <w:pPr>
        <w:pStyle w:val="SingleTxtG"/>
        <w:ind w:left="2259"/>
        <w:rPr>
          <w:b/>
          <w:bCs/>
        </w:rPr>
      </w:pPr>
      <w:r w:rsidRPr="00B92DE4">
        <w:t>In the first sentence, replace “and 0336” by “or 0336”.</w:t>
      </w:r>
    </w:p>
    <w:bookmarkEnd w:id="5"/>
    <w:p w:rsidR="003A1330" w:rsidRDefault="003A1330" w:rsidP="003A1330">
      <w:pPr>
        <w:pStyle w:val="SingleTxtG"/>
        <w:ind w:left="2259" w:hanging="1125"/>
      </w:pPr>
      <w:r w:rsidRPr="003B758F">
        <w:rPr>
          <w:lang w:eastAsia="en-GB"/>
        </w:rPr>
        <w:t>2.2.1.1.7.2</w:t>
      </w:r>
      <w:r>
        <w:rPr>
          <w:lang w:eastAsia="en-GB"/>
        </w:rPr>
        <w:tab/>
      </w:r>
      <w:r w:rsidRPr="003B758F">
        <w:t xml:space="preserve">In the first sentence, after “0336” insert “, and </w:t>
      </w:r>
      <w:r>
        <w:t xml:space="preserve">[assignment of] </w:t>
      </w:r>
      <w:r w:rsidRPr="003B758F">
        <w:t>articles to UN</w:t>
      </w:r>
      <w:r>
        <w:t> </w:t>
      </w:r>
      <w:r w:rsidRPr="003B758F">
        <w:t xml:space="preserve">No. 0431 for those used for theatrical effects meeting the definition for article type and </w:t>
      </w:r>
      <w:r>
        <w:t xml:space="preserve">[the] </w:t>
      </w:r>
      <w:r w:rsidRPr="003B758F">
        <w:t xml:space="preserve">1.4 G specification in the default fireworks classification table in </w:t>
      </w:r>
      <w:r w:rsidRPr="003B758F">
        <w:rPr>
          <w:lang w:eastAsia="en-GB"/>
        </w:rPr>
        <w:t>2.2.1.1.7.5</w:t>
      </w:r>
      <w:r w:rsidRPr="003B758F">
        <w:t>”.</w:t>
      </w:r>
    </w:p>
    <w:p w:rsidR="003A1330" w:rsidRDefault="003A1330" w:rsidP="003A1330">
      <w:pPr>
        <w:pStyle w:val="SingleTxtG"/>
        <w:ind w:left="2259" w:hanging="1125"/>
      </w:pPr>
      <w:bookmarkStart w:id="6" w:name="_Hlk10113808"/>
      <w:r w:rsidRPr="007A3EE4">
        <w:rPr>
          <w:lang w:eastAsia="en-GB"/>
        </w:rPr>
        <w:t xml:space="preserve">2.2.1.1.8.2 </w:t>
      </w:r>
      <w:r w:rsidRPr="007A3EE4">
        <w:t>(b)</w:t>
      </w:r>
      <w:r w:rsidRPr="007A3EE4">
        <w:tab/>
      </w:r>
    </w:p>
    <w:p w:rsidR="003A1330" w:rsidRPr="00C54F00" w:rsidRDefault="003A1330" w:rsidP="003A1330">
      <w:pPr>
        <w:pStyle w:val="SingleTxtG"/>
        <w:ind w:left="2259" w:hanging="1125"/>
      </w:pPr>
      <w:r w:rsidRPr="007A3EE4">
        <w:tab/>
        <w:t>In the Note, delete “, such as described in ISO 12097-3” and add the following new second sentence: “</w:t>
      </w:r>
      <w:r w:rsidRPr="007A3EE4">
        <w:rPr>
          <w:i/>
          <w:iCs/>
        </w:rPr>
        <w:t>One such method is described in ISO 14451-2 using a heating rate of 80 K/min.</w:t>
      </w:r>
      <w:r w:rsidRPr="007A3EE4">
        <w:t>”</w:t>
      </w:r>
      <w:r w:rsidRPr="00C54F00">
        <w:t xml:space="preserve">  </w:t>
      </w:r>
    </w:p>
    <w:p w:rsidR="003A1330" w:rsidRPr="00B00092" w:rsidRDefault="003A1330" w:rsidP="003A1330">
      <w:pPr>
        <w:pStyle w:val="SingleTxtG"/>
        <w:ind w:left="2268" w:hanging="1134"/>
      </w:pPr>
      <w:r>
        <w:t>2.2.1.4</w:t>
      </w:r>
      <w:r>
        <w:tab/>
        <w:t>For “ARTICLES, EXPLOSIVE, EXTREMELY INSENSITIVE (ARTICLES, EEI)”, replace “Articles that contain only extremely insensitive substances” by “Articles that predominantly contain extremely insensitive substances”.</w:t>
      </w:r>
    </w:p>
    <w:p w:rsidR="003A1330" w:rsidRDefault="003A1330" w:rsidP="003A1330">
      <w:pPr>
        <w:pStyle w:val="SingleTxtG"/>
        <w:rPr>
          <w:i/>
          <w:iCs/>
        </w:rPr>
      </w:pPr>
      <w:r w:rsidRPr="00674F2F">
        <w:rPr>
          <w:i/>
          <w:iCs/>
        </w:rPr>
        <w:t xml:space="preserve">(Correction to the </w:t>
      </w:r>
      <w:r>
        <w:rPr>
          <w:i/>
          <w:iCs/>
        </w:rPr>
        <w:t>20th revised edition of the Model Regulations</w:t>
      </w:r>
      <w:r w:rsidRPr="00674F2F">
        <w:rPr>
          <w:i/>
          <w:iCs/>
        </w:rPr>
        <w:t>)</w:t>
      </w:r>
    </w:p>
    <w:bookmarkEnd w:id="6"/>
    <w:p w:rsidR="003A1330" w:rsidRPr="003B758F" w:rsidRDefault="003A1330" w:rsidP="003A1330">
      <w:pPr>
        <w:pStyle w:val="SingleTxtG"/>
        <w:ind w:left="2259" w:hanging="1125"/>
      </w:pPr>
      <w:r w:rsidRPr="003B758F">
        <w:t>2.2.1.4</w:t>
      </w:r>
      <w:r w:rsidRPr="003B758F">
        <w:tab/>
        <w:t xml:space="preserve">After the definition for “DETONATORS, ELECTRIC for blasting”, add the following new definition: </w:t>
      </w:r>
    </w:p>
    <w:p w:rsidR="003A1330" w:rsidRPr="009B2586" w:rsidRDefault="003A1330" w:rsidP="003A1330">
      <w:pPr>
        <w:pStyle w:val="SingleTxtG"/>
        <w:ind w:left="2259"/>
      </w:pPr>
      <w:r w:rsidRPr="009B2586">
        <w:t>“</w:t>
      </w:r>
      <w:bookmarkStart w:id="7" w:name="_Hlk2329088"/>
      <w:r w:rsidRPr="009B2586">
        <w:t>DETONATORS, ELECTRONIC programmable for blasting: UN Nos. 0511, 0512, 0513</w:t>
      </w:r>
    </w:p>
    <w:p w:rsidR="003A1330" w:rsidRPr="00C54F00" w:rsidRDefault="003A1330" w:rsidP="003A1330">
      <w:pPr>
        <w:pStyle w:val="SingleTxtG"/>
        <w:ind w:left="2259"/>
      </w:pPr>
      <w:r w:rsidRPr="003B758F">
        <w:t>Detonators with enhanced safety and security features, utilizing electronic components to transmit a firing signal with validated commands and secure communications. Detonators of this type cannot be initiated by other means.</w:t>
      </w:r>
      <w:bookmarkEnd w:id="7"/>
      <w:r w:rsidRPr="003B758F">
        <w:t>”.</w:t>
      </w:r>
    </w:p>
    <w:p w:rsidR="003A1330" w:rsidRDefault="003A1330" w:rsidP="003A1330">
      <w:pPr>
        <w:pStyle w:val="SingleTxtG"/>
        <w:ind w:left="2259" w:hanging="1125"/>
      </w:pPr>
      <w:r w:rsidRPr="003B758F">
        <w:t>2.2.2.1.5</w:t>
      </w:r>
      <w:r w:rsidRPr="003B758F">
        <w:tab/>
        <w:t>For “Flammable gases” and for “Oxidizing gases”, replace “ISO 10156:2010” by “ISO 10156:2017”.</w:t>
      </w:r>
    </w:p>
    <w:p w:rsidR="003A1330" w:rsidRDefault="003A1330" w:rsidP="003A1330">
      <w:pPr>
        <w:pStyle w:val="SingleTxtG"/>
      </w:pPr>
      <w:bookmarkStart w:id="8" w:name="_Hlk10113904"/>
      <w:r>
        <w:t>2.2.41.1.4</w:t>
      </w:r>
      <w:r>
        <w:tab/>
        <w:t>Replace “Part III, sub-section 33.2.1” by “Part III, sub-section 33.2”, twice.</w:t>
      </w:r>
    </w:p>
    <w:p w:rsidR="003A1330" w:rsidRDefault="003A1330" w:rsidP="003A1330">
      <w:pPr>
        <w:pStyle w:val="SingleTxtG"/>
      </w:pPr>
      <w:r>
        <w:t>2.2.41.1.5</w:t>
      </w:r>
      <w:r>
        <w:tab/>
        <w:t>Replace “Part III, sub-section 33.2.1” by “Part III, sub-section 33.2”.</w:t>
      </w:r>
    </w:p>
    <w:p w:rsidR="003A1330" w:rsidRDefault="003A1330" w:rsidP="003A1330">
      <w:pPr>
        <w:pStyle w:val="SingleTxtG"/>
      </w:pPr>
      <w:r>
        <w:t>2.2.41.1.6</w:t>
      </w:r>
      <w:r>
        <w:tab/>
        <w:t>Replace “Part III, sub-section 33.2.1” by “Part III, sub-section 33.2”.</w:t>
      </w:r>
    </w:p>
    <w:p w:rsidR="003A1330" w:rsidRDefault="003A1330" w:rsidP="003A1330">
      <w:pPr>
        <w:pStyle w:val="SingleTxtG"/>
      </w:pPr>
      <w:r>
        <w:t>2.2.41.1.8</w:t>
      </w:r>
      <w:r>
        <w:tab/>
        <w:t>Replace “Part III, sub-section 33.2.1” by “Part III, sub-section 33.2”.</w:t>
      </w:r>
    </w:p>
    <w:p w:rsidR="003A1330" w:rsidRDefault="003A1330" w:rsidP="003A1330">
      <w:pPr>
        <w:pStyle w:val="SingleTxtG"/>
      </w:pPr>
      <w:r w:rsidRPr="00674F2F">
        <w:t>2.2.41.1.10</w:t>
      </w:r>
      <w:r w:rsidRPr="00674F2F">
        <w:tab/>
      </w:r>
      <w:r>
        <w:t>Replace “a</w:t>
      </w:r>
      <w:r w:rsidRPr="00674F2F">
        <w:t xml:space="preserve">romatic </w:t>
      </w:r>
      <w:proofErr w:type="spellStart"/>
      <w:r w:rsidRPr="00674F2F">
        <w:t>sulphohydrazides</w:t>
      </w:r>
      <w:proofErr w:type="spellEnd"/>
      <w:r>
        <w:t>”</w:t>
      </w:r>
      <w:r w:rsidRPr="00674F2F">
        <w:t xml:space="preserve"> </w:t>
      </w:r>
      <w:r>
        <w:t>by “a</w:t>
      </w:r>
      <w:r w:rsidRPr="00674F2F">
        <w:t xml:space="preserve">romatic </w:t>
      </w:r>
      <w:proofErr w:type="spellStart"/>
      <w:r w:rsidRPr="00674F2F">
        <w:t>sulphonylhydrazides</w:t>
      </w:r>
      <w:proofErr w:type="spellEnd"/>
      <w:r>
        <w:t>”.</w:t>
      </w:r>
    </w:p>
    <w:p w:rsidR="003A1330" w:rsidRPr="00674F2F" w:rsidRDefault="003A1330" w:rsidP="003A1330">
      <w:pPr>
        <w:pStyle w:val="SingleTxtG"/>
        <w:rPr>
          <w:i/>
          <w:iCs/>
        </w:rPr>
      </w:pPr>
      <w:r w:rsidRPr="00674F2F">
        <w:rPr>
          <w:i/>
          <w:iCs/>
        </w:rPr>
        <w:t xml:space="preserve">(Correction to the </w:t>
      </w:r>
      <w:r>
        <w:rPr>
          <w:i/>
          <w:iCs/>
        </w:rPr>
        <w:t>20th revised edition of the Model Regulations</w:t>
      </w:r>
      <w:r w:rsidRPr="00674F2F">
        <w:rPr>
          <w:i/>
          <w:iCs/>
        </w:rPr>
        <w:t>)</w:t>
      </w:r>
    </w:p>
    <w:p w:rsidR="003A1330" w:rsidRDefault="003A1330" w:rsidP="003A1330">
      <w:pPr>
        <w:pStyle w:val="SingleTxtG"/>
      </w:pPr>
      <w:bookmarkStart w:id="9" w:name="_Hlk10113960"/>
      <w:bookmarkEnd w:id="8"/>
      <w:r>
        <w:t>2.2.42.1.4</w:t>
      </w:r>
      <w:r>
        <w:tab/>
        <w:t>Replace “Part III, Section 33.3” by “Part III, sub-section 33.4”, twice.</w:t>
      </w:r>
    </w:p>
    <w:p w:rsidR="003A1330" w:rsidRDefault="003A1330" w:rsidP="003A1330">
      <w:pPr>
        <w:pStyle w:val="SingleTxtG"/>
      </w:pPr>
      <w:r>
        <w:t>2.2.42.1.5</w:t>
      </w:r>
      <w:r>
        <w:tab/>
        <w:t>Replace “Part III, section 33.3” by “Part III, sub-section 33.4”.</w:t>
      </w:r>
    </w:p>
    <w:p w:rsidR="003A1330" w:rsidRDefault="003A1330" w:rsidP="003A1330">
      <w:pPr>
        <w:pStyle w:val="SingleTxtG"/>
      </w:pPr>
      <w:r>
        <w:t>2.2.42.1.7</w:t>
      </w:r>
      <w:r>
        <w:tab/>
        <w:t>Replace “Part III, section 33.3” by “Part III, sub-section 33.4”.</w:t>
      </w:r>
    </w:p>
    <w:p w:rsidR="003A1330" w:rsidRDefault="003A1330" w:rsidP="003A1330">
      <w:pPr>
        <w:pStyle w:val="SingleTxtG"/>
      </w:pPr>
      <w:r>
        <w:t>2.2.42.1.8</w:t>
      </w:r>
      <w:r>
        <w:tab/>
        <w:t>Replace “Part III, section 33.3” by “Part III, sub-section 33.4”.</w:t>
      </w:r>
    </w:p>
    <w:p w:rsidR="003A1330" w:rsidRDefault="003A1330" w:rsidP="003A1330">
      <w:pPr>
        <w:pStyle w:val="SingleTxtG"/>
      </w:pPr>
      <w:r>
        <w:t>2.2.43.1.4</w:t>
      </w:r>
      <w:r>
        <w:tab/>
        <w:t>Replace “Part III, Section 33.4” by “Part III, sub-section 33.5”.</w:t>
      </w:r>
    </w:p>
    <w:p w:rsidR="003A1330" w:rsidRDefault="003A1330" w:rsidP="003A1330">
      <w:pPr>
        <w:pStyle w:val="SingleTxtG"/>
      </w:pPr>
      <w:r>
        <w:t>2.2.43.1.5</w:t>
      </w:r>
      <w:r>
        <w:tab/>
        <w:t>Replace “Part III, Section 33.4” by “Part III, sub-section 33.5”.</w:t>
      </w:r>
    </w:p>
    <w:p w:rsidR="003A1330" w:rsidRDefault="003A1330" w:rsidP="003A1330">
      <w:pPr>
        <w:pStyle w:val="SingleTxtG"/>
      </w:pPr>
      <w:r>
        <w:t>2.2.43.1.7</w:t>
      </w:r>
      <w:r>
        <w:tab/>
        <w:t>Replace “Part III, Section 33.4” by “Part III, sub-section 33.5”.</w:t>
      </w:r>
    </w:p>
    <w:p w:rsidR="003A1330" w:rsidRDefault="003A1330" w:rsidP="003A1330">
      <w:pPr>
        <w:pStyle w:val="SingleTxtG"/>
      </w:pPr>
      <w:r>
        <w:t>2.2.43.1.8</w:t>
      </w:r>
      <w:r>
        <w:tab/>
        <w:t>Replace “Part III, section 33.4” by “Part III, sub-section 33.5”.</w:t>
      </w:r>
    </w:p>
    <w:p w:rsidR="003A1330" w:rsidRDefault="003A1330" w:rsidP="003D5772">
      <w:pPr>
        <w:pStyle w:val="SingleTxtG"/>
        <w:pageBreakBefore/>
        <w:ind w:left="2257" w:hanging="1123"/>
        <w:rPr>
          <w:lang w:eastAsia="en-GB"/>
        </w:rPr>
      </w:pPr>
      <w:r w:rsidRPr="00B92DE4">
        <w:rPr>
          <w:b/>
          <w:bCs/>
          <w:lang w:eastAsia="en-GB"/>
        </w:rPr>
        <w:lastRenderedPageBreak/>
        <w:t>(ADR/ADN:)</w:t>
      </w:r>
      <w:r>
        <w:rPr>
          <w:b/>
          <w:bCs/>
          <w:lang w:eastAsia="en-GB"/>
        </w:rPr>
        <w:t xml:space="preserve"> </w:t>
      </w:r>
      <w:bookmarkEnd w:id="9"/>
      <w:r w:rsidRPr="003B758F">
        <w:rPr>
          <w:lang w:eastAsia="en-GB"/>
        </w:rPr>
        <w:t>2.2.52.4</w:t>
      </w:r>
    </w:p>
    <w:p w:rsidR="003A1330" w:rsidRDefault="003A1330" w:rsidP="003A1330">
      <w:pPr>
        <w:pStyle w:val="SingleTxtG"/>
        <w:ind w:left="2259" w:hanging="1125"/>
      </w:pPr>
      <w:r>
        <w:rPr>
          <w:lang w:eastAsia="en-GB"/>
        </w:rPr>
        <w:tab/>
      </w:r>
      <w:r w:rsidRPr="003B758F">
        <w:t>In the table, for “DI-(4-tert-BUTYLCYCLOHEXYL) PEROXYDICARBONATE”, for concentration “≤ 42 as a paste”, in column “Packing Method”, replace “OP7” by “OP8” and in column “Number (Generic entry)”, replace “3116” by “3118”.</w:t>
      </w:r>
    </w:p>
    <w:p w:rsidR="003A1330" w:rsidRPr="003B758F" w:rsidRDefault="003A1330" w:rsidP="003A1330">
      <w:pPr>
        <w:pStyle w:val="SingleTxtG"/>
        <w:ind w:left="2259" w:hanging="1125"/>
      </w:pPr>
      <w:r w:rsidRPr="003B758F">
        <w:t>2.2.62.1.1</w:t>
      </w:r>
      <w:r w:rsidRPr="003B758F">
        <w:tab/>
        <w:t xml:space="preserve">Delete “, </w:t>
      </w:r>
      <w:proofErr w:type="spellStart"/>
      <w:r w:rsidRPr="003B758F">
        <w:t>rickettsiae</w:t>
      </w:r>
      <w:proofErr w:type="spellEnd"/>
      <w:r w:rsidRPr="003B758F">
        <w:t>”.</w:t>
      </w:r>
    </w:p>
    <w:p w:rsidR="003A1330" w:rsidRPr="003B758F" w:rsidRDefault="003A1330" w:rsidP="003A1330">
      <w:pPr>
        <w:pStyle w:val="SingleTxtG"/>
        <w:ind w:left="2259" w:hanging="1125"/>
      </w:pPr>
      <w:r w:rsidRPr="003B758F">
        <w:t>2.2.62.1.3</w:t>
      </w:r>
      <w:r w:rsidRPr="003B758F">
        <w:tab/>
        <w:t>Amend the definition of “Medical or clinical wastes” to read as follows:</w:t>
      </w:r>
    </w:p>
    <w:p w:rsidR="003A1330" w:rsidRPr="003B758F" w:rsidRDefault="003A1330" w:rsidP="003A1330">
      <w:pPr>
        <w:pStyle w:val="SingleTxtG"/>
        <w:ind w:left="2259" w:hanging="1125"/>
      </w:pPr>
      <w:r>
        <w:tab/>
      </w:r>
      <w:r w:rsidRPr="003B758F">
        <w:t>“</w:t>
      </w:r>
      <w:r w:rsidRPr="003B758F">
        <w:rPr>
          <w:i/>
          <w:iCs/>
        </w:rPr>
        <w:t>Medical or clinical wastes</w:t>
      </w:r>
      <w:r w:rsidRPr="003B758F">
        <w:t xml:space="preserve"> are wastes derived from the veterinary treatment of animals</w:t>
      </w:r>
      <w:r w:rsidRPr="003B758F">
        <w:rPr>
          <w:u w:val="single"/>
        </w:rPr>
        <w:t>,</w:t>
      </w:r>
      <w:r w:rsidRPr="003B758F">
        <w:t xml:space="preserve"> the medical treatment of humans or from bio-research.”</w:t>
      </w:r>
    </w:p>
    <w:p w:rsidR="003A1330" w:rsidRPr="003B758F" w:rsidRDefault="003A1330" w:rsidP="003A1330">
      <w:pPr>
        <w:pStyle w:val="SingleTxtG"/>
        <w:ind w:left="2259" w:hanging="1125"/>
      </w:pPr>
      <w:r w:rsidRPr="003B758F">
        <w:rPr>
          <w:lang w:eastAsia="en-GB"/>
        </w:rPr>
        <w:t>2.2.62.1.4</w:t>
      </w:r>
      <w:r w:rsidRPr="003B758F">
        <w:tab/>
        <w:t>Replace “or 3373” by “,</w:t>
      </w:r>
      <w:r>
        <w:t xml:space="preserve"> </w:t>
      </w:r>
      <w:r w:rsidRPr="003B758F">
        <w:t>3373 or 3549”.</w:t>
      </w:r>
    </w:p>
    <w:p w:rsidR="003A1330" w:rsidRDefault="003A1330" w:rsidP="003A1330">
      <w:pPr>
        <w:pStyle w:val="SingleTxtG"/>
        <w:ind w:left="2259" w:hanging="1125"/>
      </w:pPr>
      <w:r w:rsidRPr="00AD29D4">
        <w:t>2.2.62.1.4.1, Note 1</w:t>
      </w:r>
    </w:p>
    <w:p w:rsidR="003A1330" w:rsidRPr="00AD29D4" w:rsidRDefault="003A1330" w:rsidP="003A1330">
      <w:pPr>
        <w:pStyle w:val="SingleTxtG"/>
        <w:ind w:left="2259" w:hanging="1125"/>
      </w:pPr>
      <w:r w:rsidRPr="00AD29D4">
        <w:t xml:space="preserve"> </w:t>
      </w:r>
      <w:r w:rsidRPr="00AD29D4">
        <w:tab/>
        <w:t>Replace “proper shipping name” by “name” (twice).</w:t>
      </w:r>
    </w:p>
    <w:p w:rsidR="003A1330" w:rsidRPr="003B758F" w:rsidRDefault="003A1330" w:rsidP="003A1330">
      <w:pPr>
        <w:pStyle w:val="SingleTxtG"/>
        <w:ind w:left="2259" w:hanging="1125"/>
      </w:pPr>
      <w:r w:rsidRPr="003B758F">
        <w:t>2.2.62.1.4.1</w:t>
      </w:r>
      <w:r w:rsidRPr="003B758F">
        <w:tab/>
        <w:t>In Note 3, delete “, mycoplasmas, rickettsia”.</w:t>
      </w:r>
    </w:p>
    <w:p w:rsidR="003A1330" w:rsidRDefault="003A1330" w:rsidP="003A1330">
      <w:pPr>
        <w:pStyle w:val="SingleTxtG"/>
        <w:ind w:left="2259" w:hanging="1125"/>
      </w:pPr>
      <w:bookmarkStart w:id="10" w:name="_Hlk10123398"/>
      <w:r w:rsidRPr="00AD29D4">
        <w:t>2.2.62.1.4.2, Note</w:t>
      </w:r>
    </w:p>
    <w:p w:rsidR="003A1330" w:rsidRPr="00AD29D4" w:rsidRDefault="003A1330" w:rsidP="003A1330">
      <w:pPr>
        <w:pStyle w:val="SingleTxtG"/>
        <w:ind w:left="2259" w:hanging="1125"/>
      </w:pPr>
      <w:r w:rsidRPr="00AD29D4">
        <w:t xml:space="preserve"> </w:t>
      </w:r>
      <w:r w:rsidRPr="00AD29D4">
        <w:tab/>
        <w:t>Replace “proper shipping name” by “name”.</w:t>
      </w:r>
    </w:p>
    <w:bookmarkEnd w:id="10"/>
    <w:p w:rsidR="003A1330" w:rsidRDefault="003A1330" w:rsidP="003A1330">
      <w:pPr>
        <w:pStyle w:val="SingleTxtG"/>
        <w:ind w:left="2259" w:hanging="1125"/>
      </w:pPr>
      <w:r w:rsidRPr="003B758F">
        <w:rPr>
          <w:lang w:eastAsia="en-GB"/>
        </w:rPr>
        <w:t>2.2.62.1.5.9</w:t>
      </w:r>
      <w:r>
        <w:rPr>
          <w:lang w:eastAsia="en-GB"/>
        </w:rPr>
        <w:t xml:space="preserve"> </w:t>
      </w:r>
      <w:r w:rsidRPr="003B758F">
        <w:t>(a)</w:t>
      </w:r>
    </w:p>
    <w:p w:rsidR="003A1330" w:rsidRPr="003B758F" w:rsidRDefault="003A1330" w:rsidP="003A1330">
      <w:pPr>
        <w:pStyle w:val="SingleTxtG"/>
        <w:ind w:left="2259" w:hanging="1125"/>
      </w:pPr>
      <w:r w:rsidRPr="003B758F">
        <w:tab/>
        <w:t>In the parenthesis, replace “UN No. 3291” by “UN</w:t>
      </w:r>
      <w:r>
        <w:t> </w:t>
      </w:r>
      <w:r w:rsidRPr="003B758F">
        <w:t>Nos. 3291 and 3549”.</w:t>
      </w:r>
    </w:p>
    <w:p w:rsidR="003A1330" w:rsidRPr="003B758F" w:rsidRDefault="003A1330" w:rsidP="003A1330">
      <w:pPr>
        <w:pStyle w:val="SingleTxtG"/>
        <w:ind w:left="2259" w:hanging="1125"/>
      </w:pPr>
      <w:r w:rsidRPr="003B758F">
        <w:rPr>
          <w:lang w:eastAsia="en-GB"/>
        </w:rPr>
        <w:t>2.2.62.1.11.1</w:t>
      </w:r>
      <w:r>
        <w:rPr>
          <w:lang w:eastAsia="en-GB"/>
        </w:rPr>
        <w:tab/>
      </w:r>
      <w:r w:rsidRPr="003B758F">
        <w:t>Amend to read as follows:</w:t>
      </w:r>
    </w:p>
    <w:p w:rsidR="003A1330" w:rsidRPr="003B758F" w:rsidRDefault="003A1330" w:rsidP="003A1330">
      <w:pPr>
        <w:pStyle w:val="SingleTxtG"/>
        <w:tabs>
          <w:tab w:val="left" w:pos="2268"/>
          <w:tab w:val="left" w:pos="2694"/>
        </w:tabs>
        <w:ind w:left="2259" w:hanging="1125"/>
      </w:pPr>
      <w:r w:rsidRPr="003B758F">
        <w:t>“</w:t>
      </w:r>
      <w:r w:rsidRPr="003B758F">
        <w:rPr>
          <w:lang w:eastAsia="en-GB"/>
        </w:rPr>
        <w:t>2.2.62.1.11.1</w:t>
      </w:r>
      <w:r>
        <w:rPr>
          <w:lang w:eastAsia="en-GB"/>
        </w:rPr>
        <w:tab/>
      </w:r>
      <w:r w:rsidRPr="003B758F">
        <w:t>Medical or clinical waste containing:</w:t>
      </w:r>
    </w:p>
    <w:p w:rsidR="003A1330" w:rsidRPr="003B758F" w:rsidRDefault="003A1330" w:rsidP="003A1330">
      <w:pPr>
        <w:pStyle w:val="SingleTxtG"/>
        <w:tabs>
          <w:tab w:val="left" w:pos="2268"/>
        </w:tabs>
        <w:ind w:left="3120" w:hanging="426"/>
      </w:pPr>
      <w:r w:rsidRPr="003B758F">
        <w:t>(a)</w:t>
      </w:r>
      <w:r w:rsidRPr="003B758F">
        <w:tab/>
        <w:t>Category A infectious substances shall be assigned to UN No. 2814, UN No. 2900 or UN No. 3549, as appropriate. Solid medical waste containing Category A infectious substances generated from the medical treatment of humans or veterinary treatment of animals may be assigned to UN No. 3549. The UN No. 3549 entry shall not be used for waste from bio-research or liquid waste;</w:t>
      </w:r>
      <w:r w:rsidRPr="003B758F">
        <w:rPr>
          <w:u w:val="single"/>
        </w:rPr>
        <w:t xml:space="preserve"> </w:t>
      </w:r>
    </w:p>
    <w:p w:rsidR="003A1330" w:rsidRPr="003B758F" w:rsidRDefault="003A1330" w:rsidP="003A1330">
      <w:pPr>
        <w:pStyle w:val="SingleTxtG"/>
        <w:tabs>
          <w:tab w:val="left" w:pos="2268"/>
        </w:tabs>
        <w:ind w:left="3120" w:hanging="426"/>
      </w:pPr>
      <w:r w:rsidRPr="003B758F">
        <w:t>(b)</w:t>
      </w:r>
      <w:r w:rsidRPr="003B758F">
        <w:tab/>
        <w:t>Category B infectious substances shall be assigned to UN No. 3291.</w:t>
      </w:r>
    </w:p>
    <w:p w:rsidR="003A1330" w:rsidRDefault="003A1330" w:rsidP="003A1330">
      <w:pPr>
        <w:pStyle w:val="SingleTxtG"/>
        <w:tabs>
          <w:tab w:val="left" w:pos="2268"/>
        </w:tabs>
        <w:ind w:left="2694"/>
      </w:pPr>
      <w:r w:rsidRPr="003B758F">
        <w:rPr>
          <w:b/>
          <w:bCs/>
          <w:i/>
          <w:iCs/>
        </w:rPr>
        <w:t>NOTE 1</w:t>
      </w:r>
      <w:r w:rsidRPr="003B758F">
        <w:t xml:space="preserve">: </w:t>
      </w:r>
      <w:r w:rsidRPr="003B758F">
        <w:rPr>
          <w:i/>
          <w:iCs/>
        </w:rPr>
        <w:t xml:space="preserve">The </w:t>
      </w:r>
      <w:r>
        <w:rPr>
          <w:i/>
          <w:iCs/>
        </w:rPr>
        <w:t xml:space="preserve">name </w:t>
      </w:r>
      <w:r w:rsidRPr="003B758F">
        <w:rPr>
          <w:i/>
          <w:iCs/>
        </w:rPr>
        <w:t>for UN No. 3549 is "MEDICAL WASTE, CATEGORY A, AFFECTING HUMANS, solid" or "MEDICAL WASTE, CATEGORY A, AFFECTING ANIMALS only, solid".</w:t>
      </w:r>
      <w:r w:rsidRPr="003B758F">
        <w:t xml:space="preserve">”. </w:t>
      </w:r>
    </w:p>
    <w:p w:rsidR="003A1330" w:rsidRPr="00D36F84" w:rsidRDefault="003A1330" w:rsidP="003A1330">
      <w:pPr>
        <w:pStyle w:val="SingleTxtG"/>
        <w:ind w:left="2259"/>
      </w:pPr>
      <w:r w:rsidRPr="00D36F84">
        <w:t>Renumber existing Note as Note 2.</w:t>
      </w:r>
    </w:p>
    <w:p w:rsidR="003A1330" w:rsidRPr="00AD29D4" w:rsidRDefault="003A1330" w:rsidP="003A1330">
      <w:pPr>
        <w:pStyle w:val="SingleTxtG"/>
        <w:ind w:left="2259" w:hanging="1125"/>
      </w:pPr>
      <w:bookmarkStart w:id="11" w:name="_Hlk10123476"/>
      <w:r w:rsidRPr="00AD29D4">
        <w:t xml:space="preserve">2.2.62.1.11.4 </w:t>
      </w:r>
      <w:r>
        <w:tab/>
      </w:r>
      <w:r w:rsidRPr="00AD29D4">
        <w:t>Delete and insert “2.2.62.1.11.4 (Deleted)”.</w:t>
      </w:r>
    </w:p>
    <w:p w:rsidR="003A1330" w:rsidRPr="003B758F" w:rsidRDefault="003A1330" w:rsidP="003A1330">
      <w:pPr>
        <w:pStyle w:val="SingleTxtG"/>
        <w:ind w:left="2259" w:hanging="1125"/>
      </w:pPr>
      <w:r w:rsidRPr="003B758F">
        <w:t>2.2.62.3</w:t>
      </w:r>
      <w:r w:rsidRPr="003B758F">
        <w:tab/>
        <w:t>In the list of collective entries, for I3, add the following new entries:</w:t>
      </w:r>
    </w:p>
    <w:p w:rsidR="003A1330" w:rsidRDefault="003A1330" w:rsidP="003A1330">
      <w:pPr>
        <w:pStyle w:val="SingleTxtG"/>
        <w:ind w:left="2259" w:hanging="1125"/>
      </w:pPr>
      <w:r>
        <w:tab/>
      </w:r>
      <w:r w:rsidRPr="003B758F">
        <w:t>“3549</w:t>
      </w:r>
      <w:r>
        <w:t xml:space="preserve"> </w:t>
      </w:r>
      <w:r w:rsidRPr="003B758F">
        <w:t>MEDICAL WASTE, CATEGORY A, AFFECTING HUMANS, solid or</w:t>
      </w:r>
      <w:r>
        <w:br/>
      </w:r>
      <w:r w:rsidRPr="003B758F">
        <w:t>3549</w:t>
      </w:r>
      <w:r>
        <w:t xml:space="preserve"> </w:t>
      </w:r>
      <w:r w:rsidRPr="003B758F">
        <w:t>MEDICAL WASTE, CATEGORY A, AFFECTING ANIMALS only, solid”.</w:t>
      </w:r>
    </w:p>
    <w:bookmarkEnd w:id="11"/>
    <w:p w:rsidR="003A1330" w:rsidRDefault="003A1330" w:rsidP="003A1330">
      <w:pPr>
        <w:pStyle w:val="SingleTxtG"/>
        <w:ind w:left="2259" w:hanging="1125"/>
        <w:rPr>
          <w:lang w:eastAsia="en-GB"/>
        </w:rPr>
      </w:pPr>
      <w:r>
        <w:t xml:space="preserve">Table </w:t>
      </w:r>
      <w:r w:rsidRPr="003B758F">
        <w:rPr>
          <w:lang w:eastAsia="en-GB"/>
        </w:rPr>
        <w:t>2.2.7.2.1.1</w:t>
      </w:r>
    </w:p>
    <w:p w:rsidR="003A1330" w:rsidRPr="003B758F" w:rsidRDefault="003A1330" w:rsidP="003A1330">
      <w:pPr>
        <w:pStyle w:val="SingleTxtG"/>
        <w:ind w:left="2259" w:hanging="1125"/>
      </w:pPr>
      <w:r w:rsidRPr="003B758F">
        <w:tab/>
        <w:t>For UN 2913, in the “Proper shipping name and description” column, replace “SCO-I or SCO-II” by “SCO-I, SCO-II or SCO-III”.</w:t>
      </w:r>
    </w:p>
    <w:p w:rsidR="003A1330" w:rsidRDefault="003A1330" w:rsidP="003D5772">
      <w:pPr>
        <w:pStyle w:val="SingleTxtG"/>
        <w:pageBreakBefore/>
        <w:ind w:left="2257" w:hanging="1123"/>
      </w:pPr>
      <w:bookmarkStart w:id="12" w:name="_Hlk11158223"/>
      <w:r w:rsidRPr="007A3EE4">
        <w:lastRenderedPageBreak/>
        <w:t>Table 2.2.7.2.1.1</w:t>
      </w:r>
    </w:p>
    <w:p w:rsidR="003A1330" w:rsidRPr="007A3EE4" w:rsidRDefault="003A1330" w:rsidP="003A1330">
      <w:pPr>
        <w:pStyle w:val="SingleTxtG"/>
        <w:ind w:left="2259" w:hanging="1125"/>
      </w:pPr>
      <w:r w:rsidRPr="007A3EE4">
        <w:tab/>
        <w:t>For UN No. 3325, in the second column, delete the comma before “(LSA-III)”.</w:t>
      </w:r>
    </w:p>
    <w:p w:rsidR="003A1330" w:rsidRPr="00691310" w:rsidRDefault="003A1330" w:rsidP="003A1330">
      <w:pPr>
        <w:pStyle w:val="SingleTxtG"/>
        <w:ind w:left="2259" w:hanging="1125"/>
        <w:rPr>
          <w:i/>
          <w:iCs/>
        </w:rPr>
      </w:pPr>
      <w:r w:rsidRPr="007A3EE4">
        <w:rPr>
          <w:i/>
          <w:iCs/>
        </w:rPr>
        <w:t>(Editorial)</w:t>
      </w:r>
    </w:p>
    <w:bookmarkEnd w:id="12"/>
    <w:p w:rsidR="003A1330" w:rsidRDefault="003A1330" w:rsidP="003A1330">
      <w:pPr>
        <w:pStyle w:val="SingleTxtG"/>
        <w:ind w:left="2259" w:hanging="1125"/>
        <w:rPr>
          <w:lang w:eastAsia="en-GB"/>
        </w:rPr>
      </w:pPr>
      <w:r w:rsidRPr="003B758F">
        <w:t>Table</w:t>
      </w:r>
      <w:r>
        <w:t xml:space="preserve"> </w:t>
      </w:r>
      <w:r w:rsidRPr="003B758F">
        <w:rPr>
          <w:lang w:eastAsia="en-GB"/>
        </w:rPr>
        <w:t>2.2.7.2.2.1</w:t>
      </w:r>
    </w:p>
    <w:p w:rsidR="003A1330" w:rsidRPr="003B758F" w:rsidRDefault="003A1330" w:rsidP="003A1330">
      <w:pPr>
        <w:pStyle w:val="SingleTxtG"/>
        <w:ind w:left="2259" w:hanging="1125"/>
      </w:pPr>
      <w:r w:rsidRPr="003B758F">
        <w:tab/>
        <w:t>Add the following rows in proper order</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3A1330" w:rsidRPr="00E9372A" w:rsidTr="00F82F5E">
        <w:trPr>
          <w:trHeight w:hRule="exact" w:val="300"/>
        </w:trPr>
        <w:tc>
          <w:tcPr>
            <w:tcW w:w="1526" w:type="dxa"/>
            <w:shd w:val="clear" w:color="auto" w:fill="auto"/>
            <w:hideMark/>
          </w:tcPr>
          <w:p w:rsidR="003A1330" w:rsidRPr="003B758F" w:rsidRDefault="003A1330" w:rsidP="00F82F5E">
            <w:pPr>
              <w:ind w:right="-20"/>
              <w:jc w:val="both"/>
              <w:rPr>
                <w:sz w:val="18"/>
                <w:szCs w:val="18"/>
                <w:lang w:eastAsia="en-GB"/>
              </w:rPr>
            </w:pPr>
            <w:r w:rsidRPr="003B758F">
              <w:rPr>
                <w:color w:val="231F20"/>
                <w:sz w:val="18"/>
                <w:szCs w:val="18"/>
                <w:lang w:eastAsia="en-GB"/>
              </w:rPr>
              <w:t>Ba-135m</w:t>
            </w:r>
          </w:p>
        </w:tc>
        <w:tc>
          <w:tcPr>
            <w:tcW w:w="1060" w:type="dxa"/>
            <w:shd w:val="clear" w:color="auto" w:fill="auto"/>
            <w:hideMark/>
          </w:tcPr>
          <w:p w:rsidR="003A1330" w:rsidRPr="003B758F" w:rsidRDefault="003A1330" w:rsidP="00F82F5E">
            <w:pPr>
              <w:ind w:right="-20"/>
              <w:jc w:val="center"/>
              <w:rPr>
                <w:sz w:val="18"/>
                <w:lang w:eastAsia="en-GB"/>
              </w:rPr>
            </w:pPr>
            <w:r w:rsidRPr="003B758F">
              <w:t>2 × 10</w:t>
            </w:r>
            <w:r w:rsidRPr="003B758F">
              <w:rPr>
                <w:vertAlign w:val="superscript"/>
              </w:rPr>
              <w:t>1</w:t>
            </w:r>
          </w:p>
        </w:tc>
        <w:tc>
          <w:tcPr>
            <w:tcW w:w="992" w:type="dxa"/>
            <w:shd w:val="clear" w:color="auto" w:fill="auto"/>
            <w:hideMark/>
          </w:tcPr>
          <w:p w:rsidR="003A1330" w:rsidRPr="003B758F" w:rsidRDefault="003A1330" w:rsidP="00F82F5E">
            <w:pPr>
              <w:ind w:right="-20"/>
              <w:jc w:val="center"/>
              <w:rPr>
                <w:sz w:val="18"/>
                <w:lang w:eastAsia="en-GB"/>
              </w:rPr>
            </w:pPr>
            <w:r w:rsidRPr="003B758F">
              <w:t>6 × 10</w:t>
            </w:r>
            <w:r w:rsidRPr="003B758F">
              <w:rPr>
                <w:vertAlign w:val="superscript"/>
              </w:rPr>
              <w:t>–1</w:t>
            </w:r>
          </w:p>
        </w:tc>
        <w:tc>
          <w:tcPr>
            <w:tcW w:w="992" w:type="dxa"/>
            <w:shd w:val="clear" w:color="auto" w:fill="auto"/>
            <w:hideMark/>
          </w:tcPr>
          <w:p w:rsidR="003A1330" w:rsidRPr="003B758F" w:rsidRDefault="003A1330" w:rsidP="00F82F5E">
            <w:pPr>
              <w:ind w:right="-20"/>
              <w:jc w:val="center"/>
              <w:rPr>
                <w:sz w:val="18"/>
                <w:lang w:eastAsia="en-GB"/>
              </w:rPr>
            </w:pPr>
            <w:r w:rsidRPr="003B758F">
              <w:t>1 × 10</w:t>
            </w:r>
            <w:r w:rsidRPr="003B758F">
              <w:rPr>
                <w:vertAlign w:val="superscript"/>
              </w:rPr>
              <w:t>2</w:t>
            </w:r>
          </w:p>
        </w:tc>
        <w:tc>
          <w:tcPr>
            <w:tcW w:w="992" w:type="dxa"/>
            <w:shd w:val="clear" w:color="auto" w:fill="auto"/>
            <w:hideMark/>
          </w:tcPr>
          <w:p w:rsidR="003A1330" w:rsidRPr="003B758F" w:rsidRDefault="003A1330" w:rsidP="00F82F5E">
            <w:pPr>
              <w:ind w:left="-171" w:right="-20" w:firstLine="205"/>
              <w:jc w:val="center"/>
              <w:rPr>
                <w:sz w:val="18"/>
                <w:lang w:eastAsia="en-GB"/>
              </w:rPr>
            </w:pPr>
            <w:r w:rsidRPr="003B758F">
              <w:t>1 × 10</w:t>
            </w:r>
            <w:r w:rsidRPr="003B758F">
              <w:rPr>
                <w:vertAlign w:val="superscript"/>
              </w:rPr>
              <w:t>6</w:t>
            </w:r>
          </w:p>
        </w:tc>
      </w:tr>
      <w:tr w:rsidR="003A1330" w:rsidRPr="00E9372A" w:rsidTr="00F82F5E">
        <w:trPr>
          <w:trHeight w:val="301"/>
        </w:trPr>
        <w:tc>
          <w:tcPr>
            <w:tcW w:w="1526" w:type="dxa"/>
            <w:shd w:val="clear" w:color="auto" w:fill="auto"/>
          </w:tcPr>
          <w:p w:rsidR="003A1330" w:rsidRPr="003B758F" w:rsidRDefault="003A1330" w:rsidP="00F82F5E">
            <w:pPr>
              <w:tabs>
                <w:tab w:val="left" w:pos="2460"/>
                <w:tab w:val="left" w:pos="3640"/>
                <w:tab w:val="left" w:pos="4700"/>
                <w:tab w:val="left" w:pos="6040"/>
              </w:tabs>
              <w:ind w:right="-20"/>
              <w:rPr>
                <w:color w:val="231F20"/>
                <w:sz w:val="18"/>
                <w:szCs w:val="18"/>
                <w:lang w:eastAsia="en-GB"/>
              </w:rPr>
            </w:pPr>
            <w:r w:rsidRPr="003B758F">
              <w:rPr>
                <w:color w:val="231F20"/>
                <w:sz w:val="18"/>
                <w:szCs w:val="18"/>
                <w:lang w:eastAsia="en-GB"/>
              </w:rPr>
              <w:t>Ge-69</w:t>
            </w:r>
          </w:p>
        </w:tc>
        <w:tc>
          <w:tcPr>
            <w:tcW w:w="1060" w:type="dxa"/>
            <w:shd w:val="clear" w:color="auto" w:fill="auto"/>
          </w:tcPr>
          <w:p w:rsidR="003A1330" w:rsidRPr="003B758F" w:rsidRDefault="003A1330" w:rsidP="00F82F5E">
            <w:pPr>
              <w:spacing w:line="280" w:lineRule="atLeast"/>
              <w:jc w:val="center"/>
              <w:rPr>
                <w:sz w:val="18"/>
                <w:szCs w:val="18"/>
              </w:rPr>
            </w:pPr>
            <w:r w:rsidRPr="003B758F">
              <w:t>1 × 10</w:t>
            </w:r>
            <w:r w:rsidRPr="003B758F">
              <w:rPr>
                <w:vertAlign w:val="superscript"/>
              </w:rPr>
              <w:t>0</w:t>
            </w:r>
          </w:p>
        </w:tc>
        <w:tc>
          <w:tcPr>
            <w:tcW w:w="992" w:type="dxa"/>
            <w:shd w:val="clear" w:color="auto" w:fill="auto"/>
          </w:tcPr>
          <w:p w:rsidR="003A1330" w:rsidRPr="003B758F" w:rsidRDefault="003A1330" w:rsidP="00F82F5E">
            <w:pPr>
              <w:spacing w:line="280" w:lineRule="atLeast"/>
              <w:jc w:val="center"/>
              <w:rPr>
                <w:sz w:val="18"/>
                <w:szCs w:val="18"/>
              </w:rPr>
            </w:pPr>
            <w:r w:rsidRPr="003B758F">
              <w:t>1 × 10</w:t>
            </w:r>
            <w:r w:rsidRPr="003B758F">
              <w:rPr>
                <w:vertAlign w:val="superscript"/>
              </w:rPr>
              <w:t>0</w:t>
            </w:r>
          </w:p>
        </w:tc>
        <w:tc>
          <w:tcPr>
            <w:tcW w:w="992" w:type="dxa"/>
            <w:shd w:val="clear" w:color="auto" w:fill="auto"/>
          </w:tcPr>
          <w:p w:rsidR="003A1330" w:rsidRPr="003B758F" w:rsidRDefault="003A1330" w:rsidP="00F82F5E">
            <w:pPr>
              <w:spacing w:line="280" w:lineRule="atLeast"/>
              <w:jc w:val="center"/>
              <w:rPr>
                <w:sz w:val="18"/>
                <w:szCs w:val="18"/>
              </w:rPr>
            </w:pPr>
            <w:r w:rsidRPr="003B758F">
              <w:t>1 × 10</w:t>
            </w:r>
            <w:r w:rsidRPr="003B758F">
              <w:rPr>
                <w:vertAlign w:val="superscript"/>
              </w:rPr>
              <w:t>1</w:t>
            </w:r>
          </w:p>
        </w:tc>
        <w:tc>
          <w:tcPr>
            <w:tcW w:w="992" w:type="dxa"/>
            <w:shd w:val="clear" w:color="auto" w:fill="auto"/>
          </w:tcPr>
          <w:p w:rsidR="003A1330" w:rsidRPr="003B758F" w:rsidRDefault="003A1330" w:rsidP="00F82F5E">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6</w:t>
            </w:r>
          </w:p>
        </w:tc>
      </w:tr>
      <w:tr w:rsidR="003A1330" w:rsidRPr="00E9372A" w:rsidTr="00F82F5E">
        <w:trPr>
          <w:trHeight w:val="301"/>
        </w:trPr>
        <w:tc>
          <w:tcPr>
            <w:tcW w:w="1526" w:type="dxa"/>
            <w:shd w:val="clear" w:color="auto" w:fill="auto"/>
          </w:tcPr>
          <w:p w:rsidR="003A1330" w:rsidRPr="003B758F" w:rsidRDefault="003A1330" w:rsidP="00F82F5E">
            <w:pPr>
              <w:tabs>
                <w:tab w:val="left" w:pos="2460"/>
                <w:tab w:val="left" w:pos="3640"/>
                <w:tab w:val="left" w:pos="4700"/>
                <w:tab w:val="left" w:pos="6040"/>
              </w:tabs>
              <w:ind w:right="-20"/>
              <w:rPr>
                <w:sz w:val="18"/>
                <w:szCs w:val="18"/>
                <w:lang w:eastAsia="en-GB"/>
              </w:rPr>
            </w:pPr>
            <w:r w:rsidRPr="003B758F">
              <w:rPr>
                <w:color w:val="231F20"/>
                <w:sz w:val="18"/>
                <w:szCs w:val="18"/>
                <w:lang w:eastAsia="en-GB"/>
              </w:rPr>
              <w:t>I</w:t>
            </w:r>
            <w:r w:rsidRPr="003B758F">
              <w:rPr>
                <w:color w:val="231F20"/>
                <w:spacing w:val="-5"/>
                <w:sz w:val="18"/>
                <w:szCs w:val="18"/>
                <w:lang w:eastAsia="en-GB"/>
              </w:rPr>
              <w:t>r</w:t>
            </w:r>
            <w:r w:rsidRPr="003B758F">
              <w:rPr>
                <w:color w:val="231F20"/>
                <w:sz w:val="18"/>
                <w:szCs w:val="18"/>
                <w:lang w:eastAsia="en-GB"/>
              </w:rPr>
              <w:t>-193m</w:t>
            </w:r>
          </w:p>
        </w:tc>
        <w:tc>
          <w:tcPr>
            <w:tcW w:w="1060" w:type="dxa"/>
            <w:shd w:val="clear" w:color="auto" w:fill="auto"/>
          </w:tcPr>
          <w:p w:rsidR="003A1330" w:rsidRPr="003B758F" w:rsidRDefault="003A1330" w:rsidP="00F82F5E">
            <w:pPr>
              <w:spacing w:line="280" w:lineRule="atLeast"/>
              <w:jc w:val="center"/>
              <w:rPr>
                <w:sz w:val="18"/>
                <w:szCs w:val="18"/>
              </w:rPr>
            </w:pPr>
            <w:r w:rsidRPr="003B758F">
              <w:t>4 × 10</w:t>
            </w:r>
            <w:r w:rsidRPr="003B758F">
              <w:rPr>
                <w:vertAlign w:val="superscript"/>
              </w:rPr>
              <w:t>1</w:t>
            </w:r>
          </w:p>
        </w:tc>
        <w:tc>
          <w:tcPr>
            <w:tcW w:w="992" w:type="dxa"/>
            <w:shd w:val="clear" w:color="auto" w:fill="auto"/>
          </w:tcPr>
          <w:p w:rsidR="003A1330" w:rsidRPr="003B758F" w:rsidRDefault="003A1330" w:rsidP="00F82F5E">
            <w:pPr>
              <w:spacing w:line="280" w:lineRule="atLeast"/>
              <w:jc w:val="center"/>
              <w:rPr>
                <w:sz w:val="18"/>
                <w:szCs w:val="18"/>
              </w:rPr>
            </w:pPr>
            <w:r w:rsidRPr="003B758F">
              <w:t>4 × 10</w:t>
            </w:r>
            <w:r w:rsidRPr="003B758F">
              <w:rPr>
                <w:vertAlign w:val="superscript"/>
              </w:rPr>
              <w:t>0</w:t>
            </w:r>
          </w:p>
        </w:tc>
        <w:tc>
          <w:tcPr>
            <w:tcW w:w="992" w:type="dxa"/>
            <w:shd w:val="clear" w:color="auto" w:fill="auto"/>
          </w:tcPr>
          <w:p w:rsidR="003A1330" w:rsidRPr="003B758F" w:rsidRDefault="003A1330" w:rsidP="00F82F5E">
            <w:pPr>
              <w:spacing w:line="280" w:lineRule="atLeast"/>
              <w:jc w:val="center"/>
              <w:rPr>
                <w:sz w:val="18"/>
                <w:szCs w:val="18"/>
              </w:rPr>
            </w:pPr>
            <w:r w:rsidRPr="003B758F">
              <w:t>1 × 10</w:t>
            </w:r>
            <w:r w:rsidRPr="003B758F">
              <w:rPr>
                <w:vertAlign w:val="superscript"/>
              </w:rPr>
              <w:t>4</w:t>
            </w:r>
          </w:p>
        </w:tc>
        <w:tc>
          <w:tcPr>
            <w:tcW w:w="992" w:type="dxa"/>
            <w:shd w:val="clear" w:color="auto" w:fill="auto"/>
          </w:tcPr>
          <w:p w:rsidR="003A1330" w:rsidRPr="003B758F" w:rsidRDefault="003A1330" w:rsidP="00F82F5E">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7</w:t>
            </w:r>
          </w:p>
        </w:tc>
      </w:tr>
      <w:tr w:rsidR="003A1330" w:rsidRPr="00E9372A" w:rsidTr="00F82F5E">
        <w:trPr>
          <w:trHeight w:hRule="exact" w:val="300"/>
        </w:trPr>
        <w:tc>
          <w:tcPr>
            <w:tcW w:w="1526" w:type="dxa"/>
            <w:shd w:val="clear" w:color="auto" w:fill="auto"/>
          </w:tcPr>
          <w:p w:rsidR="003A1330" w:rsidRPr="003B758F" w:rsidRDefault="003A1330" w:rsidP="00F82F5E">
            <w:pPr>
              <w:ind w:right="-20"/>
              <w:rPr>
                <w:color w:val="231F20"/>
                <w:sz w:val="18"/>
                <w:szCs w:val="18"/>
                <w:lang w:eastAsia="en-GB"/>
              </w:rPr>
            </w:pPr>
            <w:r w:rsidRPr="003B758F">
              <w:rPr>
                <w:color w:val="231F20"/>
                <w:sz w:val="18"/>
                <w:szCs w:val="18"/>
                <w:lang w:eastAsia="en-GB"/>
              </w:rPr>
              <w:t>Ni-57</w:t>
            </w:r>
          </w:p>
        </w:tc>
        <w:tc>
          <w:tcPr>
            <w:tcW w:w="1060" w:type="dxa"/>
            <w:shd w:val="clear" w:color="auto" w:fill="auto"/>
          </w:tcPr>
          <w:p w:rsidR="003A1330" w:rsidRPr="003B758F" w:rsidRDefault="003A1330" w:rsidP="00F82F5E">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tcPr>
          <w:p w:rsidR="003A1330" w:rsidRPr="003B758F" w:rsidRDefault="003A1330" w:rsidP="00F82F5E">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hideMark/>
          </w:tcPr>
          <w:p w:rsidR="003A1330" w:rsidRPr="003B758F" w:rsidRDefault="003A1330" w:rsidP="00F82F5E">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rsidR="003A1330" w:rsidRPr="003B758F" w:rsidRDefault="003A1330" w:rsidP="00F82F5E">
            <w:pPr>
              <w:ind w:left="-171" w:right="-20" w:firstLine="205"/>
              <w:jc w:val="center"/>
              <w:rPr>
                <w:color w:val="231F20"/>
                <w:sz w:val="18"/>
                <w:szCs w:val="18"/>
                <w:lang w:eastAsia="en-GB"/>
              </w:rPr>
            </w:pPr>
            <w:r w:rsidRPr="003B758F">
              <w:t>1 × 10</w:t>
            </w:r>
            <w:r w:rsidRPr="003B758F">
              <w:rPr>
                <w:vertAlign w:val="superscript"/>
              </w:rPr>
              <w:t>6</w:t>
            </w:r>
          </w:p>
        </w:tc>
      </w:tr>
      <w:tr w:rsidR="003A1330" w:rsidRPr="00E9372A" w:rsidTr="00F82F5E">
        <w:trPr>
          <w:trHeight w:hRule="exact" w:val="300"/>
        </w:trPr>
        <w:tc>
          <w:tcPr>
            <w:tcW w:w="1526" w:type="dxa"/>
            <w:shd w:val="clear" w:color="auto" w:fill="auto"/>
            <w:hideMark/>
          </w:tcPr>
          <w:p w:rsidR="003A1330" w:rsidRPr="003B758F" w:rsidRDefault="003A1330" w:rsidP="00F82F5E">
            <w:pPr>
              <w:ind w:right="-20"/>
              <w:rPr>
                <w:color w:val="231F20"/>
                <w:sz w:val="18"/>
                <w:szCs w:val="18"/>
                <w:lang w:eastAsia="en-GB"/>
              </w:rPr>
            </w:pPr>
            <w:r w:rsidRPr="003B758F">
              <w:rPr>
                <w:color w:val="231F20"/>
                <w:sz w:val="18"/>
                <w:szCs w:val="18"/>
                <w:lang w:eastAsia="en-GB"/>
              </w:rPr>
              <w:t>S</w:t>
            </w:r>
            <w:r w:rsidRPr="003B758F">
              <w:rPr>
                <w:color w:val="231F20"/>
                <w:spacing w:val="-4"/>
                <w:sz w:val="18"/>
                <w:szCs w:val="18"/>
                <w:lang w:eastAsia="en-GB"/>
              </w:rPr>
              <w:t>r</w:t>
            </w:r>
            <w:r w:rsidRPr="003B758F">
              <w:rPr>
                <w:color w:val="231F20"/>
                <w:sz w:val="18"/>
                <w:szCs w:val="18"/>
                <w:lang w:eastAsia="en-GB"/>
              </w:rPr>
              <w:t>-83</w:t>
            </w:r>
          </w:p>
        </w:tc>
        <w:tc>
          <w:tcPr>
            <w:tcW w:w="1060" w:type="dxa"/>
            <w:shd w:val="clear" w:color="auto" w:fill="auto"/>
            <w:hideMark/>
          </w:tcPr>
          <w:p w:rsidR="003A1330" w:rsidRPr="003B758F" w:rsidRDefault="003A1330" w:rsidP="00F82F5E">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rsidR="003A1330" w:rsidRPr="003B758F" w:rsidRDefault="003A1330" w:rsidP="00F82F5E">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rsidR="003A1330" w:rsidRPr="003B758F" w:rsidRDefault="003A1330" w:rsidP="00F82F5E">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rsidR="003A1330" w:rsidRPr="003B758F" w:rsidRDefault="003A1330" w:rsidP="00F82F5E">
            <w:pPr>
              <w:ind w:left="-171" w:right="-20" w:firstLine="205"/>
              <w:jc w:val="center"/>
              <w:rPr>
                <w:color w:val="231F20"/>
                <w:sz w:val="18"/>
                <w:szCs w:val="18"/>
                <w:lang w:eastAsia="en-GB"/>
              </w:rPr>
            </w:pPr>
            <w:r w:rsidRPr="003B758F">
              <w:t>1 × 10</w:t>
            </w:r>
            <w:r w:rsidRPr="003B758F">
              <w:rPr>
                <w:vertAlign w:val="superscript"/>
              </w:rPr>
              <w:t>6</w:t>
            </w:r>
          </w:p>
        </w:tc>
      </w:tr>
      <w:tr w:rsidR="003A1330" w:rsidRPr="00E9372A" w:rsidTr="00F82F5E">
        <w:trPr>
          <w:trHeight w:hRule="exact" w:val="300"/>
        </w:trPr>
        <w:tc>
          <w:tcPr>
            <w:tcW w:w="1526" w:type="dxa"/>
            <w:shd w:val="clear" w:color="auto" w:fill="auto"/>
          </w:tcPr>
          <w:p w:rsidR="003A1330" w:rsidRPr="003B758F" w:rsidRDefault="003A1330" w:rsidP="00F82F5E">
            <w:pPr>
              <w:ind w:right="-20"/>
              <w:rPr>
                <w:color w:val="231F20"/>
                <w:sz w:val="18"/>
                <w:szCs w:val="18"/>
                <w:lang w:eastAsia="en-GB"/>
              </w:rPr>
            </w:pPr>
            <w:r w:rsidRPr="003B758F">
              <w:rPr>
                <w:color w:val="231F20"/>
                <w:sz w:val="18"/>
                <w:szCs w:val="18"/>
                <w:lang w:eastAsia="en-GB"/>
              </w:rPr>
              <w:t>Tb-149</w:t>
            </w:r>
          </w:p>
        </w:tc>
        <w:tc>
          <w:tcPr>
            <w:tcW w:w="1060" w:type="dxa"/>
            <w:shd w:val="clear" w:color="auto" w:fill="auto"/>
          </w:tcPr>
          <w:p w:rsidR="003A1330" w:rsidRPr="003B758F" w:rsidRDefault="003A1330" w:rsidP="00F82F5E">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rsidR="003A1330" w:rsidRPr="003B758F" w:rsidRDefault="003A1330" w:rsidP="00F82F5E">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rsidR="003A1330" w:rsidRPr="003B758F" w:rsidRDefault="003A1330" w:rsidP="00F82F5E">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tcPr>
          <w:p w:rsidR="003A1330" w:rsidRPr="003B758F" w:rsidRDefault="003A1330" w:rsidP="00F82F5E">
            <w:pPr>
              <w:ind w:left="-171" w:right="-20" w:firstLine="205"/>
              <w:jc w:val="center"/>
              <w:rPr>
                <w:color w:val="231F20"/>
                <w:sz w:val="18"/>
                <w:szCs w:val="18"/>
                <w:lang w:eastAsia="en-GB"/>
              </w:rPr>
            </w:pPr>
            <w:r w:rsidRPr="003B758F">
              <w:t>1 × 10</w:t>
            </w:r>
            <w:r w:rsidRPr="003B758F">
              <w:rPr>
                <w:vertAlign w:val="superscript"/>
              </w:rPr>
              <w:t>6</w:t>
            </w:r>
          </w:p>
        </w:tc>
      </w:tr>
      <w:tr w:rsidR="003A1330" w:rsidRPr="00E9372A" w:rsidTr="00F82F5E">
        <w:trPr>
          <w:trHeight w:hRule="exact" w:val="288"/>
        </w:trPr>
        <w:tc>
          <w:tcPr>
            <w:tcW w:w="1526" w:type="dxa"/>
            <w:shd w:val="clear" w:color="auto" w:fill="auto"/>
          </w:tcPr>
          <w:p w:rsidR="003A1330" w:rsidRPr="003B758F" w:rsidRDefault="003A1330" w:rsidP="00F82F5E">
            <w:pPr>
              <w:ind w:right="-20"/>
              <w:rPr>
                <w:color w:val="231F20"/>
                <w:sz w:val="18"/>
                <w:szCs w:val="18"/>
                <w:lang w:eastAsia="en-GB"/>
              </w:rPr>
            </w:pPr>
            <w:r w:rsidRPr="003B758F">
              <w:rPr>
                <w:color w:val="231F20"/>
                <w:sz w:val="18"/>
                <w:szCs w:val="18"/>
                <w:lang w:eastAsia="en-GB"/>
              </w:rPr>
              <w:t>Tb-161</w:t>
            </w:r>
          </w:p>
        </w:tc>
        <w:tc>
          <w:tcPr>
            <w:tcW w:w="1060" w:type="dxa"/>
            <w:shd w:val="clear" w:color="auto" w:fill="auto"/>
          </w:tcPr>
          <w:p w:rsidR="003A1330" w:rsidRPr="003B758F" w:rsidRDefault="003A1330" w:rsidP="00F82F5E">
            <w:pPr>
              <w:ind w:right="-20"/>
              <w:jc w:val="center"/>
              <w:rPr>
                <w:color w:val="231F20"/>
                <w:sz w:val="18"/>
                <w:szCs w:val="18"/>
                <w:lang w:eastAsia="en-GB"/>
              </w:rPr>
            </w:pPr>
            <w:r w:rsidRPr="003B758F">
              <w:t>3 × 10</w:t>
            </w:r>
            <w:r w:rsidRPr="003B758F">
              <w:rPr>
                <w:vertAlign w:val="superscript"/>
              </w:rPr>
              <w:t>1</w:t>
            </w:r>
          </w:p>
        </w:tc>
        <w:tc>
          <w:tcPr>
            <w:tcW w:w="992" w:type="dxa"/>
            <w:shd w:val="clear" w:color="auto" w:fill="auto"/>
          </w:tcPr>
          <w:p w:rsidR="003A1330" w:rsidRPr="003B758F" w:rsidRDefault="003A1330" w:rsidP="00F82F5E">
            <w:pPr>
              <w:ind w:right="-20"/>
              <w:jc w:val="center"/>
              <w:rPr>
                <w:color w:val="231F20"/>
                <w:sz w:val="18"/>
                <w:szCs w:val="18"/>
                <w:lang w:eastAsia="en-GB"/>
              </w:rPr>
            </w:pPr>
            <w:r w:rsidRPr="003B758F">
              <w:t>7 × 10</w:t>
            </w:r>
            <w:r w:rsidRPr="003B758F">
              <w:rPr>
                <w:vertAlign w:val="superscript"/>
              </w:rPr>
              <w:t>-1</w:t>
            </w:r>
          </w:p>
        </w:tc>
        <w:tc>
          <w:tcPr>
            <w:tcW w:w="992" w:type="dxa"/>
            <w:shd w:val="clear" w:color="auto" w:fill="auto"/>
          </w:tcPr>
          <w:p w:rsidR="003A1330" w:rsidRPr="003B758F" w:rsidRDefault="003A1330" w:rsidP="00F82F5E">
            <w:pPr>
              <w:ind w:right="-20"/>
              <w:jc w:val="center"/>
              <w:rPr>
                <w:color w:val="231F20"/>
                <w:sz w:val="18"/>
                <w:szCs w:val="18"/>
                <w:lang w:eastAsia="en-GB"/>
              </w:rPr>
            </w:pPr>
            <w:r w:rsidRPr="003B758F">
              <w:t>1 × 10</w:t>
            </w:r>
            <w:r w:rsidRPr="003B758F">
              <w:rPr>
                <w:vertAlign w:val="superscript"/>
              </w:rPr>
              <w:t>3</w:t>
            </w:r>
          </w:p>
        </w:tc>
        <w:tc>
          <w:tcPr>
            <w:tcW w:w="992" w:type="dxa"/>
            <w:shd w:val="clear" w:color="auto" w:fill="auto"/>
          </w:tcPr>
          <w:p w:rsidR="003A1330" w:rsidRPr="003B758F" w:rsidRDefault="003A1330" w:rsidP="00F82F5E">
            <w:pPr>
              <w:ind w:left="-171" w:right="-20" w:firstLine="205"/>
              <w:jc w:val="center"/>
              <w:rPr>
                <w:color w:val="231F20"/>
                <w:sz w:val="18"/>
                <w:szCs w:val="18"/>
                <w:lang w:eastAsia="en-GB"/>
              </w:rPr>
            </w:pPr>
            <w:r w:rsidRPr="003B758F">
              <w:t>1 × 10</w:t>
            </w:r>
            <w:r w:rsidRPr="003B758F">
              <w:rPr>
                <w:vertAlign w:val="superscript"/>
              </w:rPr>
              <w:t>6</w:t>
            </w:r>
          </w:p>
        </w:tc>
      </w:tr>
    </w:tbl>
    <w:p w:rsidR="003A1330" w:rsidRDefault="003A1330" w:rsidP="003A1330">
      <w:pPr>
        <w:pStyle w:val="SingleTxtG"/>
        <w:spacing w:before="120"/>
        <w:ind w:left="2257" w:hanging="1123"/>
        <w:rPr>
          <w:lang w:eastAsia="en-GB"/>
        </w:rPr>
      </w:pPr>
      <w:r w:rsidRPr="003B758F">
        <w:t>Table</w:t>
      </w:r>
      <w:r>
        <w:t xml:space="preserve"> </w:t>
      </w:r>
      <w:r w:rsidRPr="003B758F">
        <w:rPr>
          <w:lang w:eastAsia="en-GB"/>
        </w:rPr>
        <w:t>2.2.7.2.2.1</w:t>
      </w:r>
    </w:p>
    <w:p w:rsidR="003A1330" w:rsidRDefault="003A1330" w:rsidP="003A1330">
      <w:pPr>
        <w:pStyle w:val="SingleTxtG"/>
        <w:spacing w:before="120"/>
        <w:ind w:left="2257" w:hanging="1123"/>
      </w:pPr>
      <w:r w:rsidRPr="003B758F">
        <w:tab/>
        <w:t>In table note (b), at the end of the introductory sentence, add “(the activity to be taken into account is that of the parent nuclide only)”. After “Th-</w:t>
      </w:r>
      <w:proofErr w:type="spellStart"/>
      <w:r w:rsidRPr="003B758F">
        <w:t>nat</w:t>
      </w:r>
      <w:proofErr w:type="spellEnd"/>
      <w:r w:rsidRPr="003B758F">
        <w:t>” and “U-</w:t>
      </w:r>
      <w:proofErr w:type="spellStart"/>
      <w:r w:rsidRPr="003B758F">
        <w:t>nat</w:t>
      </w:r>
      <w:proofErr w:type="spellEnd"/>
      <w:r w:rsidRPr="003B758F">
        <w:t>”, insert a reference to footnote *. The footnote reads: “*</w:t>
      </w:r>
      <w:r>
        <w:t> </w:t>
      </w:r>
      <w:r w:rsidRPr="003B758F">
        <w:rPr>
          <w:i/>
          <w:iCs/>
        </w:rPr>
        <w:t>In the case of Th-natural, the parent nuclide is Th-232, in the case of U-natural the parent nuclide is U-238.</w:t>
      </w:r>
      <w:r w:rsidRPr="003B758F">
        <w:t>”.</w:t>
      </w:r>
    </w:p>
    <w:p w:rsidR="003A1330" w:rsidRDefault="003A1330" w:rsidP="003A1330">
      <w:pPr>
        <w:pStyle w:val="SingleTxtG"/>
        <w:spacing w:before="120"/>
        <w:ind w:left="2257" w:hanging="1123"/>
        <w:rPr>
          <w:lang w:eastAsia="en-GB"/>
        </w:rPr>
      </w:pPr>
      <w:bookmarkStart w:id="13" w:name="_Hlk10123530"/>
      <w:r w:rsidRPr="003B758F">
        <w:t>Table</w:t>
      </w:r>
      <w:r>
        <w:t xml:space="preserve"> </w:t>
      </w:r>
      <w:r w:rsidRPr="003B758F">
        <w:rPr>
          <w:lang w:eastAsia="en-GB"/>
        </w:rPr>
        <w:t>2.2.7.2.2.1</w:t>
      </w:r>
    </w:p>
    <w:p w:rsidR="003A1330" w:rsidRPr="003B758F" w:rsidRDefault="003A1330" w:rsidP="003A1330">
      <w:pPr>
        <w:pStyle w:val="SingleTxtG"/>
        <w:spacing w:before="120"/>
        <w:ind w:left="2257" w:hanging="1123"/>
      </w:pPr>
      <w:r w:rsidRPr="003B758F">
        <w:tab/>
      </w:r>
      <w:r>
        <w:t xml:space="preserve">In </w:t>
      </w:r>
      <w:r w:rsidRPr="003B758F">
        <w:t>table note (</w:t>
      </w:r>
      <w:r>
        <w:t>c</w:t>
      </w:r>
      <w:r w:rsidRPr="003B758F">
        <w:t>),</w:t>
      </w:r>
      <w:r>
        <w:t xml:space="preserve"> replace “radiation level” by “dose rate”.</w:t>
      </w:r>
    </w:p>
    <w:bookmarkEnd w:id="13"/>
    <w:p w:rsidR="003A1330" w:rsidRDefault="003A1330" w:rsidP="003A1330">
      <w:pPr>
        <w:pStyle w:val="SingleTxtG"/>
        <w:ind w:left="2259" w:hanging="1125"/>
      </w:pPr>
      <w:r w:rsidRPr="003B758F">
        <w:rPr>
          <w:lang w:eastAsia="en-GB"/>
        </w:rPr>
        <w:t>2.2.7.2.2.2</w:t>
      </w:r>
      <w:r>
        <w:rPr>
          <w:lang w:eastAsia="en-GB"/>
        </w:rPr>
        <w:t xml:space="preserve"> </w:t>
      </w:r>
      <w:r>
        <w:rPr>
          <w:lang w:eastAsia="en-GB"/>
        </w:rPr>
        <w:tab/>
      </w:r>
      <w:r w:rsidRPr="003B758F">
        <w:t>In (a), replace “the International Basic Safety Standards for Protection against Ionizing Radiation and for the Safety of Radiation Sources, Safety Series No.115, IAEA, Vienna (1996)” by ““Radiation</w:t>
      </w:r>
      <w:r w:rsidRPr="003B758F">
        <w:rPr>
          <w:bCs/>
        </w:rPr>
        <w:t xml:space="preserve"> Protection and Safety of Radiation Sources: International Basic Safety Standards”, </w:t>
      </w:r>
      <w:r w:rsidRPr="003B758F">
        <w:t>IAEA Safety Standards</w:t>
      </w:r>
      <w:r w:rsidRPr="003B758F">
        <w:rPr>
          <w:bCs/>
        </w:rPr>
        <w:t xml:space="preserve"> </w:t>
      </w:r>
      <w:r w:rsidRPr="003B758F">
        <w:t>Series No. GSR Part 3, IAEA, Vienna (2014)”.</w:t>
      </w:r>
    </w:p>
    <w:p w:rsidR="003A1330" w:rsidRPr="003B758F" w:rsidRDefault="003A1330" w:rsidP="003A1330">
      <w:pPr>
        <w:pStyle w:val="SingleTxtG"/>
        <w:ind w:left="2259" w:hanging="1125"/>
      </w:pPr>
      <w:r>
        <w:tab/>
      </w:r>
      <w:r w:rsidRPr="003B758F">
        <w:t>In (b), at the end, replace “the International Basic Safety Standards for Protection against Ionizing Radiation and for the Safety of Radiation Sources, Safety Series No.115, IAEA, Vienna (1996)” by “GSR Part 3”.</w:t>
      </w:r>
    </w:p>
    <w:p w:rsidR="003A1330" w:rsidRPr="003B758F" w:rsidRDefault="003A1330" w:rsidP="003A1330">
      <w:pPr>
        <w:pStyle w:val="SingleTxtG"/>
        <w:ind w:left="2259" w:hanging="1125"/>
      </w:pPr>
      <w:r w:rsidRPr="003B758F">
        <w:rPr>
          <w:lang w:eastAsia="en-GB"/>
        </w:rPr>
        <w:t>2.2.7.2.2.3</w:t>
      </w:r>
      <w:r>
        <w:rPr>
          <w:lang w:eastAsia="en-GB"/>
        </w:rPr>
        <w:tab/>
      </w:r>
      <w:r w:rsidRPr="003B758F">
        <w:t xml:space="preserve">Replace “daughter nuclide” by “progeny nuclide” (twice). At the end, replace “daughter nuclides” by “progeny nuclides”. </w:t>
      </w:r>
    </w:p>
    <w:p w:rsidR="003A1330" w:rsidRDefault="003A1330" w:rsidP="003A1330">
      <w:pPr>
        <w:pStyle w:val="SingleTxtG"/>
        <w:ind w:left="2259" w:hanging="1125"/>
      </w:pPr>
      <w:r w:rsidRPr="003B758F">
        <w:rPr>
          <w:lang w:eastAsia="en-GB"/>
        </w:rPr>
        <w:t>2.2.7.2.3.1.2</w:t>
      </w:r>
      <w:r w:rsidRPr="003B758F" w:rsidDel="005D74FF">
        <w:t xml:space="preserve"> </w:t>
      </w:r>
      <w:r w:rsidRPr="003B758F">
        <w:t>(c)</w:t>
      </w:r>
    </w:p>
    <w:p w:rsidR="003A1330" w:rsidRDefault="003A1330" w:rsidP="003A1330">
      <w:pPr>
        <w:pStyle w:val="SingleTxtG"/>
        <w:ind w:left="2259" w:hanging="1125"/>
      </w:pPr>
      <w:r>
        <w:tab/>
      </w:r>
      <w:r w:rsidRPr="003B758F">
        <w:t xml:space="preserve">Delete “that meet the requirements of </w:t>
      </w:r>
      <w:r w:rsidRPr="003B758F">
        <w:rPr>
          <w:lang w:eastAsia="en-GB"/>
        </w:rPr>
        <w:t>2.2.7.2.3.1.3</w:t>
      </w:r>
      <w:r w:rsidRPr="003B758F">
        <w:t xml:space="preserve">,”. Delete sub-paragraph (ii) and renumber sub-paragraph (iii) as (ii). </w:t>
      </w:r>
      <w:r w:rsidRPr="003B758F">
        <w:tab/>
      </w:r>
    </w:p>
    <w:p w:rsidR="003A1330" w:rsidRPr="003B758F" w:rsidRDefault="003A1330" w:rsidP="003A1330">
      <w:pPr>
        <w:pStyle w:val="SingleTxtG"/>
        <w:ind w:left="2259" w:hanging="1125"/>
      </w:pPr>
      <w:r w:rsidRPr="003B758F">
        <w:rPr>
          <w:lang w:eastAsia="en-GB"/>
        </w:rPr>
        <w:t>2.2.7.2.3.1.3</w:t>
      </w:r>
      <w:r>
        <w:rPr>
          <w:lang w:eastAsia="en-GB"/>
        </w:rPr>
        <w:tab/>
      </w:r>
      <w:r w:rsidRPr="003B758F">
        <w:t>Delete and add “</w:t>
      </w:r>
      <w:r w:rsidRPr="003B758F">
        <w:rPr>
          <w:lang w:eastAsia="en-GB"/>
        </w:rPr>
        <w:t>2.2.7.2.3.1.3</w:t>
      </w:r>
      <w:r w:rsidRPr="003B758F">
        <w:t xml:space="preserve"> </w:t>
      </w:r>
      <w:r w:rsidRPr="003B758F">
        <w:tab/>
      </w:r>
      <w:r w:rsidRPr="003B758F">
        <w:rPr>
          <w:i/>
          <w:iCs/>
        </w:rPr>
        <w:t>(</w:t>
      </w:r>
      <w:r w:rsidRPr="003B758F">
        <w:rPr>
          <w:i/>
        </w:rPr>
        <w:t>Deleted)</w:t>
      </w:r>
      <w:r w:rsidRPr="003B758F">
        <w:t>”.</w:t>
      </w:r>
    </w:p>
    <w:p w:rsidR="003A1330" w:rsidRPr="003B758F" w:rsidRDefault="003A1330" w:rsidP="003A1330">
      <w:pPr>
        <w:pStyle w:val="SingleTxtG"/>
        <w:ind w:left="2259" w:hanging="1125"/>
      </w:pPr>
      <w:r w:rsidRPr="003B758F">
        <w:t>2.2.7.2.3.2</w:t>
      </w:r>
      <w:r w:rsidRPr="003B758F">
        <w:tab/>
        <w:t>In the introductory sentence before (a), replace “two” by “three”. Add the following new sub-paragraph (c):</w:t>
      </w:r>
    </w:p>
    <w:p w:rsidR="003A1330" w:rsidRPr="003B758F" w:rsidRDefault="003A1330" w:rsidP="003A1330">
      <w:pPr>
        <w:pStyle w:val="SingleTxtG"/>
        <w:tabs>
          <w:tab w:val="left" w:pos="2835"/>
        </w:tabs>
        <w:ind w:left="2835" w:hanging="576"/>
      </w:pPr>
      <w:r w:rsidRPr="003B758F">
        <w:t>“</w:t>
      </w:r>
      <w:bookmarkStart w:id="14" w:name="_Hlk2261198"/>
      <w:r w:rsidRPr="003B758F">
        <w:t>(c)</w:t>
      </w:r>
      <w:r w:rsidRPr="003B758F">
        <w:tab/>
        <w:t xml:space="preserve">SCO-III: A large solid object which, because of its size, cannot be carried in a type of package described in RID/ADR/ADN and for which: </w:t>
      </w:r>
    </w:p>
    <w:p w:rsidR="003A1330" w:rsidRPr="003B758F" w:rsidRDefault="003A1330" w:rsidP="003A1330">
      <w:pPr>
        <w:pStyle w:val="SingleTxtG"/>
        <w:ind w:left="3261" w:hanging="426"/>
      </w:pPr>
      <w:r w:rsidRPr="003B758F">
        <w:t>(</w:t>
      </w:r>
      <w:proofErr w:type="spellStart"/>
      <w:r w:rsidRPr="003B758F">
        <w:t>i</w:t>
      </w:r>
      <w:proofErr w:type="spellEnd"/>
      <w:r w:rsidRPr="003B758F">
        <w:t>)</w:t>
      </w:r>
      <w:r w:rsidRPr="003B758F">
        <w:tab/>
        <w:t>All openings are sealed to prevent release of radioactive material during conditions defined in 4.1.9.2.4 (e) (ADN: of ADR);</w:t>
      </w:r>
    </w:p>
    <w:p w:rsidR="003A1330" w:rsidRPr="003B758F" w:rsidRDefault="003A1330" w:rsidP="003A1330">
      <w:pPr>
        <w:pStyle w:val="SingleTxtG"/>
        <w:ind w:left="3261" w:hanging="426"/>
      </w:pPr>
      <w:r w:rsidRPr="003B758F">
        <w:t xml:space="preserve">(ii) </w:t>
      </w:r>
      <w:r w:rsidRPr="003B758F">
        <w:tab/>
        <w:t xml:space="preserve">The inside of the object is as dry as practicable; </w:t>
      </w:r>
    </w:p>
    <w:p w:rsidR="003A1330" w:rsidRPr="003B758F" w:rsidRDefault="003A1330" w:rsidP="003A1330">
      <w:pPr>
        <w:pStyle w:val="SingleTxtG"/>
        <w:ind w:left="3261" w:hanging="426"/>
      </w:pPr>
      <w:r w:rsidRPr="003B758F">
        <w:lastRenderedPageBreak/>
        <w:t>(iii)</w:t>
      </w:r>
      <w:r w:rsidRPr="003B758F">
        <w:tab/>
        <w:t xml:space="preserve">The non-fixed contamination on the external surfaces does not </w:t>
      </w:r>
      <w:r w:rsidRPr="003B758F">
        <w:tab/>
        <w:t>exceed the limits specified in 4.1.9.1.2 (ADN: of ADR); and</w:t>
      </w:r>
    </w:p>
    <w:p w:rsidR="003A1330" w:rsidRPr="003B758F" w:rsidRDefault="003A1330" w:rsidP="003A1330">
      <w:pPr>
        <w:pStyle w:val="SingleTxtG"/>
        <w:ind w:left="3261" w:hanging="426"/>
      </w:pPr>
      <w:r w:rsidRPr="003B758F">
        <w:t>(iv)</w:t>
      </w:r>
      <w:r w:rsidRPr="003B758F">
        <w:tab/>
        <w:t>The non-fixed contamination plus the fixed contamination on the inaccessible surface averaged over 300 cm</w:t>
      </w:r>
      <w:r w:rsidRPr="003B758F">
        <w:rPr>
          <w:vertAlign w:val="superscript"/>
        </w:rPr>
        <w:t>2</w:t>
      </w:r>
      <w:r w:rsidRPr="003B758F">
        <w:t xml:space="preserve"> does not exceed 8 × 10</w:t>
      </w:r>
      <w:r w:rsidRPr="003B758F">
        <w:rPr>
          <w:vertAlign w:val="superscript"/>
        </w:rPr>
        <w:t xml:space="preserve">5 </w:t>
      </w:r>
      <w:proofErr w:type="spellStart"/>
      <w:r w:rsidRPr="003B758F">
        <w:t>Bq</w:t>
      </w:r>
      <w:proofErr w:type="spellEnd"/>
      <w:r w:rsidRPr="003B758F">
        <w:t>/cm</w:t>
      </w:r>
      <w:r w:rsidRPr="003B758F">
        <w:rPr>
          <w:vertAlign w:val="superscript"/>
        </w:rPr>
        <w:t>2</w:t>
      </w:r>
      <w:r w:rsidRPr="003B758F">
        <w:t xml:space="preserve"> for beta and gamma emitters and low toxicity alpha emitters, or 8 × 10</w:t>
      </w:r>
      <w:r w:rsidRPr="003B758F">
        <w:rPr>
          <w:vertAlign w:val="superscript"/>
        </w:rPr>
        <w:t>4</w:t>
      </w:r>
      <w:r w:rsidRPr="003B758F">
        <w:t xml:space="preserve"> </w:t>
      </w:r>
      <w:proofErr w:type="spellStart"/>
      <w:r w:rsidRPr="003B758F">
        <w:t>Bq</w:t>
      </w:r>
      <w:proofErr w:type="spellEnd"/>
      <w:r w:rsidRPr="003B758F">
        <w:t>/cm</w:t>
      </w:r>
      <w:r w:rsidRPr="003B758F">
        <w:rPr>
          <w:vertAlign w:val="superscript"/>
        </w:rPr>
        <w:t>2</w:t>
      </w:r>
      <w:r w:rsidRPr="003B758F">
        <w:t xml:space="preserve"> for all other alpha emitters.</w:t>
      </w:r>
      <w:bookmarkEnd w:id="14"/>
      <w:r w:rsidRPr="003B758F">
        <w:t>”.</w:t>
      </w:r>
    </w:p>
    <w:p w:rsidR="003A1330" w:rsidRDefault="003A1330" w:rsidP="003A1330">
      <w:pPr>
        <w:pStyle w:val="SingleTxtG"/>
        <w:ind w:left="2259" w:hanging="1125"/>
      </w:pPr>
      <w:r w:rsidRPr="003B758F">
        <w:rPr>
          <w:lang w:eastAsia="en-GB"/>
        </w:rPr>
        <w:t>2.2.7.2.3.3.5</w:t>
      </w:r>
      <w:r w:rsidRPr="003B758F">
        <w:t xml:space="preserve"> (b)</w:t>
      </w:r>
    </w:p>
    <w:p w:rsidR="003A1330" w:rsidRPr="003B758F" w:rsidRDefault="003A1330" w:rsidP="003A1330">
      <w:pPr>
        <w:pStyle w:val="SingleTxtG"/>
        <w:ind w:left="2259" w:hanging="1125"/>
      </w:pPr>
      <w:r w:rsidRPr="003B758F">
        <w:tab/>
        <w:t>After “a free drop of 1.4 kg”, replace “through 1 m” by “from a height of 1 m”.</w:t>
      </w:r>
    </w:p>
    <w:p w:rsidR="003A1330" w:rsidRDefault="003A1330" w:rsidP="003A1330">
      <w:pPr>
        <w:pStyle w:val="SingleTxtG"/>
        <w:ind w:left="2259" w:hanging="1125"/>
      </w:pPr>
      <w:r w:rsidRPr="003B758F">
        <w:rPr>
          <w:lang w:eastAsia="en-GB"/>
        </w:rPr>
        <w:t>2.2.7.2.3.3.5</w:t>
      </w:r>
      <w:r w:rsidRPr="003B758F" w:rsidDel="00FE30CF">
        <w:t xml:space="preserve"> </w:t>
      </w:r>
      <w:r w:rsidRPr="003B758F">
        <w:t>(c)</w:t>
      </w:r>
    </w:p>
    <w:p w:rsidR="003A1330" w:rsidRDefault="003A1330" w:rsidP="003A1330">
      <w:pPr>
        <w:pStyle w:val="SingleTxtG"/>
        <w:ind w:left="2259" w:hanging="1125"/>
      </w:pPr>
      <w:r w:rsidRPr="003B758F">
        <w:tab/>
        <w:t>After “a free vertical drop of 1.4 kg”, replace “through 1 m” by “from a height of 1 m”.</w:t>
      </w:r>
      <w:r w:rsidRPr="003B758F">
        <w:tab/>
      </w:r>
    </w:p>
    <w:p w:rsidR="003A1330" w:rsidRPr="003B758F" w:rsidRDefault="003A1330" w:rsidP="003A1330">
      <w:pPr>
        <w:pStyle w:val="SingleTxtG"/>
        <w:ind w:left="2259" w:hanging="1125"/>
      </w:pPr>
      <w:r w:rsidRPr="003B758F">
        <w:rPr>
          <w:lang w:eastAsia="en-GB"/>
        </w:rPr>
        <w:t>2.2.7.2.3.3.7</w:t>
      </w:r>
      <w:r w:rsidRPr="003B758F">
        <w:tab/>
      </w:r>
      <w:r w:rsidRPr="003B758F">
        <w:tab/>
        <w:t>In sub-paragraph (b), replace “with specimen” by “and the specimen”.  In sub-paragraph (e), replace “with the specimen” by “and the specimen”.</w:t>
      </w:r>
    </w:p>
    <w:p w:rsidR="003A1330" w:rsidRDefault="003A1330" w:rsidP="003A1330">
      <w:pPr>
        <w:pStyle w:val="SingleTxtG"/>
        <w:ind w:left="2259" w:hanging="1125"/>
      </w:pPr>
      <w:r w:rsidRPr="003B758F">
        <w:t xml:space="preserve"> </w:t>
      </w:r>
      <w:r w:rsidRPr="003B758F">
        <w:rPr>
          <w:lang w:eastAsia="en-GB"/>
        </w:rPr>
        <w:t>2.2.7.2.3.3.8</w:t>
      </w:r>
      <w:r w:rsidRPr="003B758F">
        <w:t xml:space="preserve"> (a) (ii)</w:t>
      </w:r>
    </w:p>
    <w:p w:rsidR="003A1330" w:rsidRPr="003B758F" w:rsidRDefault="003A1330" w:rsidP="003A1330">
      <w:pPr>
        <w:pStyle w:val="SingleTxtG"/>
        <w:ind w:left="2259" w:hanging="1125"/>
      </w:pPr>
      <w:r w:rsidRPr="003B758F">
        <w:tab/>
        <w:t>Replace “shall be heated” by “shall then be heated”.</w:t>
      </w:r>
    </w:p>
    <w:p w:rsidR="003A1330" w:rsidRDefault="003A1330" w:rsidP="003A1330">
      <w:pPr>
        <w:pStyle w:val="SingleTxtG"/>
        <w:ind w:left="2259" w:hanging="1125"/>
      </w:pPr>
      <w:r w:rsidRPr="003B758F">
        <w:t xml:space="preserve"> </w:t>
      </w:r>
      <w:r w:rsidRPr="003B758F">
        <w:rPr>
          <w:lang w:eastAsia="en-GB"/>
        </w:rPr>
        <w:t>2.2.7.2.3.4.1</w:t>
      </w:r>
      <w:r w:rsidRPr="003B758F">
        <w:t xml:space="preserve"> (a)</w:t>
      </w:r>
    </w:p>
    <w:p w:rsidR="003A1330" w:rsidRPr="003B758F" w:rsidRDefault="003A1330" w:rsidP="003A1330">
      <w:pPr>
        <w:pStyle w:val="SingleTxtG"/>
        <w:ind w:left="2259" w:hanging="1125"/>
      </w:pPr>
      <w:r w:rsidRPr="003B758F">
        <w:tab/>
        <w:t>Replace “radiation level” by “dose rate”.</w:t>
      </w:r>
    </w:p>
    <w:p w:rsidR="003A1330" w:rsidRDefault="003A1330" w:rsidP="003A1330">
      <w:pPr>
        <w:pStyle w:val="SingleTxtG"/>
        <w:ind w:left="2259" w:hanging="1125"/>
      </w:pPr>
      <w:r w:rsidRPr="003B758F">
        <w:t>2.2.7.2.3.5 (e)</w:t>
      </w:r>
      <w:r w:rsidRPr="003B758F">
        <w:tab/>
      </w:r>
      <w:r>
        <w:tab/>
      </w:r>
    </w:p>
    <w:p w:rsidR="003A1330" w:rsidRPr="003B758F" w:rsidRDefault="003A1330" w:rsidP="003A1330">
      <w:pPr>
        <w:pStyle w:val="SingleTxtG"/>
        <w:ind w:left="2259" w:hanging="1125"/>
      </w:pPr>
      <w:r>
        <w:tab/>
      </w:r>
      <w:r w:rsidRPr="003B758F">
        <w:t>Replace “limits provided in” by “the requirements of”.</w:t>
      </w:r>
    </w:p>
    <w:p w:rsidR="003A1330" w:rsidRPr="003B758F" w:rsidRDefault="003A1330" w:rsidP="003A1330">
      <w:pPr>
        <w:pStyle w:val="SingleTxtG"/>
        <w:ind w:left="2259" w:hanging="1125"/>
      </w:pPr>
      <w:r w:rsidRPr="003B758F">
        <w:rPr>
          <w:lang w:eastAsia="en-GB"/>
        </w:rPr>
        <w:t>2.2.7.2.3.6</w:t>
      </w:r>
      <w:r w:rsidRPr="003B758F">
        <w:tab/>
      </w:r>
      <w:r w:rsidRPr="003B758F">
        <w:tab/>
        <w:t>At the beginning, replace “A fissile material” by “Fissile material”.</w:t>
      </w:r>
    </w:p>
    <w:p w:rsidR="003A1330" w:rsidRPr="003B758F" w:rsidRDefault="003A1330" w:rsidP="003A1330">
      <w:pPr>
        <w:pStyle w:val="SingleTxtG"/>
        <w:spacing w:before="120"/>
        <w:ind w:left="2257" w:hanging="1123"/>
      </w:pPr>
      <w:r>
        <w:t>2.2.7.2.4.1.2</w:t>
      </w:r>
      <w:r w:rsidRPr="003B758F">
        <w:tab/>
      </w:r>
      <w:r>
        <w:t>Replace “radiation level” by “dose rate”.</w:t>
      </w:r>
    </w:p>
    <w:p w:rsidR="003A1330" w:rsidRDefault="003A1330" w:rsidP="003A1330">
      <w:pPr>
        <w:pStyle w:val="SingleTxtG"/>
        <w:spacing w:before="120"/>
        <w:ind w:left="2257" w:hanging="1123"/>
      </w:pPr>
      <w:r>
        <w:t>2.2.7.2.4.1.3 (a)</w:t>
      </w:r>
    </w:p>
    <w:p w:rsidR="003A1330" w:rsidRDefault="003A1330" w:rsidP="003A1330">
      <w:pPr>
        <w:pStyle w:val="SingleTxtG"/>
        <w:spacing w:before="120"/>
        <w:ind w:left="2257" w:hanging="1123"/>
      </w:pPr>
      <w:r w:rsidRPr="003B758F">
        <w:tab/>
      </w:r>
      <w:r>
        <w:t>Replace “radiation level” by “dose rate”.</w:t>
      </w:r>
    </w:p>
    <w:p w:rsidR="003A1330" w:rsidRPr="003B758F" w:rsidRDefault="003A1330" w:rsidP="003A1330">
      <w:pPr>
        <w:pStyle w:val="SingleTxtG"/>
        <w:ind w:left="2259" w:hanging="1125"/>
        <w:rPr>
          <w:i/>
        </w:rPr>
      </w:pPr>
      <w:r w:rsidRPr="003B758F">
        <w:rPr>
          <w:lang w:eastAsia="en-GB"/>
        </w:rPr>
        <w:t>2.2.7.2.4.1.3</w:t>
      </w:r>
      <w:r>
        <w:rPr>
          <w:lang w:eastAsia="en-GB"/>
        </w:rPr>
        <w:tab/>
      </w:r>
      <w:r w:rsidRPr="003B758F">
        <w:t>At the end of sub-paragraph (c), delete “and”. At the end of sub-paragraph (d), replace the full stop by a semicolon. Add additional sub-paragraphs (e) and (f) as follows:</w:t>
      </w:r>
    </w:p>
    <w:p w:rsidR="003A1330" w:rsidRPr="003B758F" w:rsidRDefault="003A1330" w:rsidP="003A1330">
      <w:pPr>
        <w:pStyle w:val="SingleTxtG"/>
        <w:ind w:left="2835" w:hanging="576"/>
      </w:pPr>
      <w:r w:rsidRPr="003B758F">
        <w:t>“(e)</w:t>
      </w:r>
      <w:r w:rsidRPr="003B758F">
        <w:tab/>
      </w:r>
      <w:r w:rsidRPr="00F71D36">
        <w:rPr>
          <w:i/>
          <w:iCs/>
        </w:rPr>
        <w:t>(Reserved)</w:t>
      </w:r>
      <w:r w:rsidRPr="003B758F">
        <w:t>;</w:t>
      </w:r>
    </w:p>
    <w:p w:rsidR="003A1330" w:rsidRPr="003B758F" w:rsidRDefault="003A1330" w:rsidP="003A1330">
      <w:pPr>
        <w:pStyle w:val="SingleTxtG"/>
        <w:ind w:left="2835" w:hanging="576"/>
      </w:pPr>
      <w:r w:rsidRPr="003B758F">
        <w:t>(f)</w:t>
      </w:r>
      <w:r w:rsidRPr="003B758F">
        <w:tab/>
      </w:r>
      <w:bookmarkStart w:id="15" w:name="_Hlk2262352"/>
      <w:r w:rsidRPr="003B758F">
        <w:t>If the package contains fissile material, one of the provisions of 2.2.7.2.3.5 (a) to (f) shall apply.</w:t>
      </w:r>
      <w:bookmarkEnd w:id="15"/>
      <w:r w:rsidRPr="003B758F">
        <w:t>”</w:t>
      </w:r>
    </w:p>
    <w:p w:rsidR="003A1330" w:rsidRPr="003B758F" w:rsidRDefault="003A1330" w:rsidP="003A1330">
      <w:pPr>
        <w:pStyle w:val="SingleTxtG"/>
        <w:ind w:left="2259" w:hanging="1125"/>
      </w:pPr>
      <w:r w:rsidRPr="003B758F">
        <w:t>2.2.7.2.4.1.4</w:t>
      </w:r>
      <w:r>
        <w:tab/>
      </w:r>
      <w:r w:rsidRPr="003B758F">
        <w:t>At the end of sub-paragraph (a), delete “and”. At the end of existing (b)</w:t>
      </w:r>
      <w:r>
        <w:t> </w:t>
      </w:r>
      <w:r w:rsidRPr="003B758F">
        <w:t xml:space="preserve">(ii), replace </w:t>
      </w:r>
      <w:r w:rsidRPr="003B758F">
        <w:rPr>
          <w:lang w:val="en-US"/>
        </w:rPr>
        <w:t>“</w:t>
      </w:r>
      <w:r w:rsidRPr="003B758F">
        <w:t>.” by “; and”. Add additional sub-paragraph (c):</w:t>
      </w:r>
    </w:p>
    <w:p w:rsidR="003A1330" w:rsidRPr="003B758F" w:rsidRDefault="003A1330" w:rsidP="003A1330">
      <w:pPr>
        <w:pStyle w:val="SingleTxtG"/>
        <w:ind w:left="2835" w:hanging="576"/>
      </w:pPr>
      <w:r w:rsidRPr="003B758F">
        <w:t>“(c)</w:t>
      </w:r>
      <w:r>
        <w:tab/>
      </w:r>
      <w:r w:rsidRPr="003B758F">
        <w:t>If the package contains fissile material, one of the provisions of 2.2.7.2.3.5 (a) to (f) shall apply.”</w:t>
      </w:r>
    </w:p>
    <w:p w:rsidR="003A1330" w:rsidRPr="003B758F" w:rsidRDefault="003A1330" w:rsidP="003A1330">
      <w:pPr>
        <w:pStyle w:val="SingleTxtG"/>
        <w:ind w:left="2259" w:hanging="1125"/>
      </w:pPr>
      <w:r w:rsidRPr="003B758F">
        <w:rPr>
          <w:lang w:eastAsia="en-GB"/>
        </w:rPr>
        <w:t>2.2.7.2.4.1.7</w:t>
      </w:r>
      <w:r>
        <w:rPr>
          <w:lang w:eastAsia="en-GB"/>
        </w:rPr>
        <w:tab/>
      </w:r>
      <w:r w:rsidRPr="003B5B89">
        <w:t>At the end of (</w:t>
      </w:r>
      <w:r>
        <w:t>c</w:t>
      </w:r>
      <w:r w:rsidRPr="003B5B89">
        <w:t>)</w:t>
      </w:r>
      <w:r>
        <w:t xml:space="preserve"> (ii)</w:t>
      </w:r>
      <w:r w:rsidRPr="003B5B89">
        <w:t xml:space="preserve">, delete </w:t>
      </w:r>
      <w:r>
        <w:t>“</w:t>
      </w:r>
      <w:r w:rsidRPr="003B5B89">
        <w:t>and</w:t>
      </w:r>
      <w:r>
        <w:t>”</w:t>
      </w:r>
      <w:r w:rsidRPr="003B5B89">
        <w:t>.</w:t>
      </w:r>
      <w:r>
        <w:t xml:space="preserve"> </w:t>
      </w:r>
      <w:r w:rsidRPr="00C54F00">
        <w:t>At the end of (</w:t>
      </w:r>
      <w:r>
        <w:t xml:space="preserve">d), replace </w:t>
      </w:r>
      <w:r>
        <w:rPr>
          <w:lang w:val="en-US"/>
        </w:rPr>
        <w:t>“</w:t>
      </w:r>
      <w:r>
        <w:t xml:space="preserve">.” by “; and”. </w:t>
      </w:r>
      <w:r w:rsidRPr="003B758F">
        <w:t>Add additional sub-paragraph (e):</w:t>
      </w:r>
    </w:p>
    <w:p w:rsidR="003A1330" w:rsidRPr="003B758F" w:rsidRDefault="003A1330" w:rsidP="003A1330">
      <w:pPr>
        <w:pStyle w:val="SingleTxtG"/>
        <w:ind w:left="2835" w:hanging="576"/>
      </w:pPr>
      <w:r w:rsidRPr="003B758F">
        <w:t>“</w:t>
      </w:r>
      <w:bookmarkStart w:id="16" w:name="_Hlk2263168"/>
      <w:r w:rsidRPr="003B758F">
        <w:t>(e)</w:t>
      </w:r>
      <w:r w:rsidRPr="003B758F">
        <w:tab/>
        <w:t>If the packaging has contained fissile material, one of the provisions of 2.2.7.2.3.5 (a) to (f) or one of the provisions for exclusion in 2.2.7.1.3 shall apply.</w:t>
      </w:r>
      <w:bookmarkEnd w:id="16"/>
      <w:r w:rsidRPr="003B758F">
        <w:t>”</w:t>
      </w:r>
    </w:p>
    <w:p w:rsidR="003A1330" w:rsidRPr="003B758F" w:rsidRDefault="003A1330" w:rsidP="003A1330">
      <w:pPr>
        <w:pStyle w:val="SingleTxtG"/>
        <w:ind w:left="2259" w:hanging="1125"/>
      </w:pPr>
      <w:r w:rsidRPr="003B758F">
        <w:rPr>
          <w:lang w:eastAsia="en-GB"/>
        </w:rPr>
        <w:t>2.2.8.1.1</w:t>
      </w:r>
      <w:r>
        <w:rPr>
          <w:lang w:eastAsia="en-GB"/>
        </w:rPr>
        <w:tab/>
      </w:r>
      <w:r w:rsidRPr="003B758F">
        <w:t>The amendment to the French version does not apply to the English text.</w:t>
      </w:r>
    </w:p>
    <w:p w:rsidR="003A1330" w:rsidRPr="003B758F" w:rsidRDefault="003A1330" w:rsidP="003A1330">
      <w:pPr>
        <w:pStyle w:val="SingleTxtG"/>
        <w:ind w:left="2259" w:hanging="1125"/>
      </w:pPr>
      <w:r w:rsidRPr="003B758F">
        <w:rPr>
          <w:lang w:eastAsia="en-GB"/>
        </w:rPr>
        <w:lastRenderedPageBreak/>
        <w:t>2.2.8.1.5.2</w:t>
      </w:r>
      <w:r w:rsidRPr="003B758F">
        <w:tab/>
        <w:t>In the second sentence, replace “the assignment” by “classification” and replace “OECD Test Guideline 404</w:t>
      </w:r>
      <w:r w:rsidRPr="003B758F">
        <w:rPr>
          <w:vertAlign w:val="superscript"/>
        </w:rPr>
        <w:t>5</w:t>
      </w:r>
      <w:r w:rsidRPr="003B758F">
        <w:t xml:space="preserve"> or 435</w:t>
      </w:r>
      <w:r w:rsidRPr="003B758F">
        <w:rPr>
          <w:vertAlign w:val="superscript"/>
        </w:rPr>
        <w:t>6</w:t>
      </w:r>
      <w:r w:rsidRPr="003B758F">
        <w:t>” by “OECD Test Guidelines</w:t>
      </w:r>
      <w:r w:rsidRPr="003B758F">
        <w:rPr>
          <w:vertAlign w:val="superscript"/>
        </w:rPr>
        <w:t>5,6,7,8</w:t>
      </w:r>
      <w:r w:rsidRPr="003B758F">
        <w:t>”.</w:t>
      </w:r>
    </w:p>
    <w:p w:rsidR="003A1330" w:rsidRPr="003B758F" w:rsidRDefault="003A1330" w:rsidP="003A1330">
      <w:pPr>
        <w:pStyle w:val="SingleTxtG"/>
        <w:ind w:left="2259"/>
      </w:pPr>
      <w:r w:rsidRPr="003B758F">
        <w:t>In the third sentence replace “OECD Test Guideline 430</w:t>
      </w:r>
      <w:r w:rsidRPr="003B758F">
        <w:rPr>
          <w:vertAlign w:val="superscript"/>
        </w:rPr>
        <w:t>7</w:t>
      </w:r>
      <w:r w:rsidRPr="003B758F">
        <w:t xml:space="preserve"> or 431</w:t>
      </w:r>
      <w:r w:rsidRPr="003B758F">
        <w:rPr>
          <w:vertAlign w:val="superscript"/>
        </w:rPr>
        <w:t>8</w:t>
      </w:r>
      <w:r w:rsidRPr="003B758F">
        <w:t>” by “OECD Test Guidelines</w:t>
      </w:r>
      <w:r w:rsidRPr="003B758F">
        <w:rPr>
          <w:vertAlign w:val="superscript"/>
        </w:rPr>
        <w:t>5,6,7,8</w:t>
      </w:r>
      <w:r w:rsidRPr="003B758F">
        <w:t>”.</w:t>
      </w:r>
    </w:p>
    <w:p w:rsidR="003A1330" w:rsidRPr="003B758F" w:rsidRDefault="003A1330" w:rsidP="003A1330">
      <w:pPr>
        <w:pStyle w:val="SingleTxtG"/>
        <w:ind w:left="2259" w:hanging="1125"/>
      </w:pPr>
      <w:r>
        <w:tab/>
      </w:r>
      <w:r w:rsidRPr="003B758F">
        <w:t>Delete the existing footnote 8 and renumber the current footnote 7 to 8. In the renumbered footnote, add “</w:t>
      </w:r>
      <w:r w:rsidRPr="003B758F">
        <w:rPr>
          <w:i/>
          <w:iCs/>
        </w:rPr>
        <w:t>Method</w:t>
      </w:r>
      <w:r w:rsidRPr="003B758F">
        <w:t>” between “</w:t>
      </w:r>
      <w:r w:rsidRPr="003B758F">
        <w:rPr>
          <w:i/>
          <w:iCs/>
        </w:rPr>
        <w:t>Test</w:t>
      </w:r>
      <w:r w:rsidRPr="003B758F">
        <w:t>” and “</w:t>
      </w:r>
      <w:r w:rsidRPr="003B758F">
        <w:rPr>
          <w:i/>
          <w:iCs/>
        </w:rPr>
        <w:t>(TER)</w:t>
      </w:r>
      <w:r w:rsidRPr="003B758F">
        <w:t>”. Insert a new footnote 7 as follows: “</w:t>
      </w:r>
      <w:r w:rsidRPr="003B758F">
        <w:rPr>
          <w:b/>
          <w:bCs/>
          <w:vertAlign w:val="superscript"/>
        </w:rPr>
        <w:t>7</w:t>
      </w:r>
      <w:r w:rsidRPr="003B758F">
        <w:t xml:space="preserve"> </w:t>
      </w:r>
      <w:r w:rsidRPr="003B758F">
        <w:rPr>
          <w:i/>
          <w:iCs/>
        </w:rPr>
        <w:t>OECD Guideline for the testing of chemicals No. 431 “In vitro skin corrosion: reconstructed human epidermis (RHE) test method” 2016</w:t>
      </w:r>
      <w:r w:rsidRPr="00D36F84">
        <w:rPr>
          <w:i/>
          <w:iCs/>
        </w:rPr>
        <w:t>.</w:t>
      </w:r>
      <w:r w:rsidRPr="003B758F">
        <w:t>”.</w:t>
      </w:r>
    </w:p>
    <w:p w:rsidR="003A1330" w:rsidRDefault="003A1330" w:rsidP="003A1330">
      <w:pPr>
        <w:pStyle w:val="SingleTxtG"/>
        <w:ind w:left="2259" w:hanging="1125"/>
      </w:pPr>
      <w:r>
        <w:tab/>
      </w:r>
      <w:r w:rsidRPr="003B758F">
        <w:t>At the end of the paragraph, add the following new sentence: “</w:t>
      </w:r>
      <w:bookmarkStart w:id="17" w:name="_Hlk2321753"/>
      <w:r w:rsidRPr="003B758F">
        <w:t xml:space="preserve">If the </w:t>
      </w:r>
      <w:r w:rsidRPr="003B758F">
        <w:rPr>
          <w:i/>
          <w:iCs/>
        </w:rPr>
        <w:t>in vitro</w:t>
      </w:r>
      <w:r w:rsidRPr="003B758F">
        <w:t xml:space="preserve"> test results indicate that the substance or mixture is corrosive and not assigned to packing group I, but the test method does not allow discrimination between packing groups II and III, it shall be considered to be packing group II.</w:t>
      </w:r>
      <w:bookmarkEnd w:id="17"/>
      <w:r w:rsidRPr="003B758F">
        <w:t>”.</w:t>
      </w:r>
    </w:p>
    <w:p w:rsidR="003A1330" w:rsidRDefault="003A1330" w:rsidP="003A1330">
      <w:pPr>
        <w:pStyle w:val="SingleTxtG"/>
        <w:ind w:left="2259" w:hanging="1125"/>
      </w:pPr>
      <w:bookmarkStart w:id="18" w:name="_Hlk9931794"/>
      <w:r w:rsidRPr="00674F2F">
        <w:t>2.2.</w:t>
      </w:r>
      <w:r>
        <w:t>8.1.6.3.3</w:t>
      </w:r>
      <w:bookmarkEnd w:id="18"/>
      <w:r w:rsidRPr="00674F2F">
        <w:tab/>
      </w:r>
      <w:r>
        <w:t xml:space="preserve">At the end, add </w:t>
      </w:r>
      <w:r w:rsidRPr="003B758F">
        <w:t>the following new sentence:</w:t>
      </w:r>
      <w:r>
        <w:t xml:space="preserve"> “</w:t>
      </w:r>
      <w:r w:rsidRPr="00C54F00">
        <w:t>For this calculation method, generic concentration limits apply where 1% is used in the first step for the assessment of the packing group I substances, and where 5% is used for the other steps respectively.</w:t>
      </w:r>
      <w:r>
        <w:t>”.</w:t>
      </w:r>
    </w:p>
    <w:p w:rsidR="003A1330" w:rsidRDefault="003A1330" w:rsidP="003A1330">
      <w:pPr>
        <w:pStyle w:val="SingleTxtG"/>
        <w:rPr>
          <w:i/>
          <w:iCs/>
        </w:rPr>
      </w:pPr>
      <w:r w:rsidRPr="00674F2F">
        <w:rPr>
          <w:i/>
          <w:iCs/>
        </w:rPr>
        <w:t xml:space="preserve">(Correction to the </w:t>
      </w:r>
      <w:r>
        <w:rPr>
          <w:i/>
          <w:iCs/>
        </w:rPr>
        <w:t>20th revised edition of the Model Regulations</w:t>
      </w:r>
      <w:r w:rsidRPr="00674F2F">
        <w:rPr>
          <w:i/>
          <w:iCs/>
        </w:rPr>
        <w:t>)</w:t>
      </w:r>
    </w:p>
    <w:p w:rsidR="003A1330" w:rsidRPr="00B00092" w:rsidRDefault="003A1330" w:rsidP="003A1330">
      <w:pPr>
        <w:pStyle w:val="SingleTxtG"/>
      </w:pPr>
      <w:r>
        <w:t>2.2.8.1.6.3.4</w:t>
      </w:r>
      <w:r>
        <w:tab/>
        <w:t>Delete the last sentence.</w:t>
      </w:r>
    </w:p>
    <w:p w:rsidR="003A1330" w:rsidRDefault="003A1330" w:rsidP="003A1330">
      <w:pPr>
        <w:pStyle w:val="SingleTxtG"/>
        <w:rPr>
          <w:i/>
          <w:iCs/>
        </w:rPr>
      </w:pPr>
      <w:r w:rsidRPr="00674F2F">
        <w:rPr>
          <w:i/>
          <w:iCs/>
        </w:rPr>
        <w:t xml:space="preserve">(Correction to the </w:t>
      </w:r>
      <w:r>
        <w:rPr>
          <w:i/>
          <w:iCs/>
        </w:rPr>
        <w:t>20th revised edition of the Model Regulations</w:t>
      </w:r>
      <w:r w:rsidRPr="00674F2F">
        <w:rPr>
          <w:i/>
          <w:iCs/>
        </w:rPr>
        <w:t>)</w:t>
      </w:r>
    </w:p>
    <w:p w:rsidR="003A1330" w:rsidRDefault="003A1330" w:rsidP="003A1330">
      <w:pPr>
        <w:pStyle w:val="SingleTxtG"/>
        <w:ind w:left="2259" w:hanging="1125"/>
      </w:pPr>
      <w:r w:rsidRPr="00A9766C">
        <w:rPr>
          <w:lang w:eastAsia="en-GB"/>
        </w:rPr>
        <w:t>2.2.9.3</w:t>
      </w:r>
      <w:r w:rsidRPr="003B758F">
        <w:tab/>
        <w:t xml:space="preserve">For M11, “Other substances </w:t>
      </w:r>
      <w:r>
        <w:t>and</w:t>
      </w:r>
      <w:r w:rsidRPr="003B758F">
        <w:t xml:space="preserve"> articles presenting a danger during carriage…”, after “3359 FUMIGATED CARGO TRANSPORT UNIT”, add “</w:t>
      </w:r>
      <w:bookmarkStart w:id="19" w:name="_Hlk2321978"/>
      <w:r w:rsidRPr="003B758F">
        <w:t>3363 DANGEROUS GOODS IN ARTICLES or</w:t>
      </w:r>
      <w:bookmarkEnd w:id="19"/>
      <w:r w:rsidRPr="003B758F">
        <w:t>”.</w:t>
      </w:r>
    </w:p>
    <w:p w:rsidR="003A1330" w:rsidRPr="00E64F1C" w:rsidRDefault="003A1330" w:rsidP="003A1330">
      <w:pPr>
        <w:pStyle w:val="H1G"/>
      </w:pPr>
      <w:r>
        <w:tab/>
      </w:r>
      <w:r>
        <w:tab/>
      </w:r>
      <w:r w:rsidRPr="00E64F1C">
        <w:t>Chapter 3.</w:t>
      </w:r>
      <w:r>
        <w:t>1</w:t>
      </w:r>
    </w:p>
    <w:p w:rsidR="003A1330" w:rsidRPr="003B758F" w:rsidRDefault="003A1330" w:rsidP="003A1330">
      <w:pPr>
        <w:pStyle w:val="SingleTxtG"/>
        <w:ind w:left="2259" w:hanging="1125"/>
      </w:pPr>
      <w:r w:rsidRPr="003B758F">
        <w:t>3.1.2.8.1.4</w:t>
      </w:r>
      <w:r w:rsidRPr="003B758F">
        <w:tab/>
        <w:t xml:space="preserve">Add the following new </w:t>
      </w:r>
      <w:r w:rsidRPr="007A3EE4">
        <w:t>paragraph</w:t>
      </w:r>
      <w:r>
        <w:t xml:space="preserve"> </w:t>
      </w:r>
      <w:r w:rsidRPr="003B758F">
        <w:t>3.1.2.8.1.4:</w:t>
      </w:r>
    </w:p>
    <w:p w:rsidR="003A1330" w:rsidRPr="003B758F" w:rsidRDefault="003A1330" w:rsidP="003A1330">
      <w:pPr>
        <w:pStyle w:val="SingleTxtG"/>
        <w:ind w:left="2259" w:hanging="1125"/>
      </w:pPr>
      <w:r w:rsidRPr="003B758F">
        <w:t>“3.1.2.8.1.4</w:t>
      </w:r>
      <w:r w:rsidRPr="003B758F">
        <w:tab/>
        <w:t xml:space="preserve">For UN Nos. 3077 and 3082 only, the technical name may be a name shown in capital letters in column 2 of Table A of Chapter 3.2, provided that this name does not include “N.O.S.” and that special provision 274 is not </w:t>
      </w:r>
      <w:r w:rsidRPr="007A3EE4">
        <w:t>assigned [to it].</w:t>
      </w:r>
      <w:r w:rsidRPr="003B758F">
        <w:t xml:space="preserve"> The name which most appropriately describes the substance or mixture shall be used, e.g.:</w:t>
      </w:r>
    </w:p>
    <w:p w:rsidR="003A1330" w:rsidRPr="003B758F" w:rsidRDefault="003A1330" w:rsidP="003A1330">
      <w:pPr>
        <w:pStyle w:val="SingleTxtG"/>
        <w:ind w:left="2268" w:hanging="9"/>
        <w:rPr>
          <w:lang w:val="fr-CH"/>
        </w:rPr>
      </w:pPr>
      <w:r w:rsidRPr="003B758F">
        <w:rPr>
          <w:lang w:val="fr-CH"/>
        </w:rPr>
        <w:t>UN 3082, ENVIRONMENTALLY HAZARDOUS SUBSTANCE, LIQUID, N.O.S. (PAINT)</w:t>
      </w:r>
    </w:p>
    <w:p w:rsidR="003A1330" w:rsidRDefault="003A1330" w:rsidP="003A1330">
      <w:pPr>
        <w:pStyle w:val="SingleTxtG"/>
        <w:ind w:left="2268" w:hanging="9"/>
      </w:pPr>
      <w:r w:rsidRPr="0035446F">
        <w:t>UN 3082, ENVIRONMENTALLY HAZARDOUS SUBSTANCE, LIQUID, N.O.S. (PERFUMERY PRODUCTS).”.</w:t>
      </w:r>
    </w:p>
    <w:p w:rsidR="003A1330" w:rsidRPr="00E64F1C" w:rsidRDefault="003A1330" w:rsidP="003A1330">
      <w:pPr>
        <w:pStyle w:val="H1G"/>
      </w:pPr>
      <w:r>
        <w:tab/>
      </w:r>
      <w:r>
        <w:tab/>
      </w:r>
      <w:r w:rsidRPr="00E64F1C">
        <w:t>Chapter 3.2, Table A</w:t>
      </w:r>
    </w:p>
    <w:p w:rsidR="003A1330" w:rsidRPr="00990A56" w:rsidRDefault="003A1330" w:rsidP="003A1330">
      <w:pPr>
        <w:pStyle w:val="SingleTxtG"/>
        <w:ind w:left="2259" w:hanging="1125"/>
      </w:pPr>
      <w:r w:rsidRPr="00990A56">
        <w:t>Add the following new entries in proper order:</w:t>
      </w:r>
    </w:p>
    <w:p w:rsidR="003A1330" w:rsidRPr="00E64F1C" w:rsidRDefault="003A1330" w:rsidP="003A1330">
      <w:pPr>
        <w:pStyle w:val="SingleTxtG"/>
        <w:ind w:left="2259" w:hanging="1125"/>
        <w:rPr>
          <w:b/>
          <w:bCs/>
        </w:rPr>
      </w:pPr>
      <w:r w:rsidRPr="00E64F1C">
        <w:rPr>
          <w:b/>
          <w:bCs/>
        </w:rPr>
        <w:t>(ADN:)</w:t>
      </w:r>
    </w:p>
    <w:tbl>
      <w:tblPr>
        <w:tblW w:w="4629"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0"/>
        <w:gridCol w:w="3312"/>
        <w:gridCol w:w="609"/>
        <w:gridCol w:w="227"/>
        <w:gridCol w:w="471"/>
        <w:gridCol w:w="568"/>
        <w:gridCol w:w="308"/>
        <w:gridCol w:w="310"/>
        <w:gridCol w:w="644"/>
        <w:gridCol w:w="228"/>
        <w:gridCol w:w="310"/>
        <w:gridCol w:w="310"/>
        <w:gridCol w:w="310"/>
        <w:gridCol w:w="310"/>
      </w:tblGrid>
      <w:tr w:rsidR="003A1330" w:rsidRPr="00A9766C" w:rsidTr="00F82F5E">
        <w:trPr>
          <w:cantSplit/>
          <w:trHeight w:hRule="exact" w:val="370"/>
          <w:tblHeader/>
        </w:trPr>
        <w:tc>
          <w:tcPr>
            <w:tcW w:w="282"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(1)</w:t>
            </w:r>
          </w:p>
        </w:tc>
        <w:tc>
          <w:tcPr>
            <w:tcW w:w="2017"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(2)</w:t>
            </w:r>
          </w:p>
        </w:tc>
        <w:tc>
          <w:tcPr>
            <w:tcW w:w="342"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(3)</w:t>
            </w:r>
          </w:p>
        </w:tc>
        <w:tc>
          <w:tcPr>
            <w:tcW w:w="165"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(4)</w:t>
            </w:r>
          </w:p>
        </w:tc>
        <w:tc>
          <w:tcPr>
            <w:tcW w:w="209"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(5)</w:t>
            </w:r>
          </w:p>
        </w:tc>
        <w:tc>
          <w:tcPr>
            <w:tcW w:w="274"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(6)</w:t>
            </w:r>
          </w:p>
        </w:tc>
        <w:tc>
          <w:tcPr>
            <w:tcW w:w="213"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(7a)</w:t>
            </w:r>
          </w:p>
        </w:tc>
        <w:tc>
          <w:tcPr>
            <w:tcW w:w="197"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(7b)</w:t>
            </w:r>
          </w:p>
        </w:tc>
        <w:tc>
          <w:tcPr>
            <w:tcW w:w="432"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(8)</w:t>
            </w:r>
          </w:p>
        </w:tc>
        <w:tc>
          <w:tcPr>
            <w:tcW w:w="165"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(9)</w:t>
            </w:r>
          </w:p>
        </w:tc>
        <w:tc>
          <w:tcPr>
            <w:tcW w:w="183"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(10)</w:t>
            </w:r>
          </w:p>
        </w:tc>
        <w:tc>
          <w:tcPr>
            <w:tcW w:w="174" w:type="pct"/>
          </w:tcPr>
          <w:p w:rsidR="003A1330" w:rsidRPr="00A9766C" w:rsidRDefault="003A1330" w:rsidP="00F82F5E">
            <w:pPr>
              <w:suppressAutoHyphens w:val="0"/>
              <w:spacing w:before="40" w:after="120" w:line="276" w:lineRule="auto"/>
              <w:jc w:val="center"/>
              <w:rPr>
                <w:rFonts w:asciiTheme="majorBidi" w:hAnsiTheme="majorBidi" w:cstheme="majorBidi"/>
                <w:bCs/>
                <w:iCs/>
                <w:sz w:val="18"/>
                <w:szCs w:val="18"/>
              </w:rPr>
            </w:pPr>
            <w:r w:rsidRPr="00A9766C">
              <w:rPr>
                <w:rFonts w:asciiTheme="majorBidi" w:hAnsiTheme="majorBidi" w:cstheme="majorBidi"/>
                <w:bCs/>
                <w:iCs/>
                <w:sz w:val="18"/>
                <w:szCs w:val="18"/>
              </w:rPr>
              <w:t>(11)</w:t>
            </w:r>
          </w:p>
        </w:tc>
        <w:tc>
          <w:tcPr>
            <w:tcW w:w="174" w:type="pct"/>
          </w:tcPr>
          <w:p w:rsidR="003A1330" w:rsidRPr="00A9766C" w:rsidRDefault="003A1330" w:rsidP="00F82F5E">
            <w:pPr>
              <w:suppressAutoHyphens w:val="0"/>
              <w:spacing w:before="40" w:after="120" w:line="276" w:lineRule="auto"/>
              <w:jc w:val="center"/>
              <w:rPr>
                <w:rFonts w:asciiTheme="majorBidi" w:hAnsiTheme="majorBidi" w:cstheme="majorBidi"/>
                <w:bCs/>
                <w:iCs/>
                <w:sz w:val="18"/>
                <w:szCs w:val="18"/>
              </w:rPr>
            </w:pPr>
            <w:r w:rsidRPr="00A9766C">
              <w:rPr>
                <w:rFonts w:asciiTheme="majorBidi" w:hAnsiTheme="majorBidi" w:cstheme="majorBidi"/>
                <w:bCs/>
                <w:iCs/>
                <w:sz w:val="18"/>
                <w:szCs w:val="18"/>
              </w:rPr>
              <w:t>(12)</w:t>
            </w:r>
          </w:p>
        </w:tc>
        <w:tc>
          <w:tcPr>
            <w:tcW w:w="174" w:type="pct"/>
          </w:tcPr>
          <w:p w:rsidR="003A1330" w:rsidRPr="00A9766C" w:rsidRDefault="003A1330" w:rsidP="00F82F5E">
            <w:pPr>
              <w:suppressAutoHyphens w:val="0"/>
              <w:spacing w:before="40" w:after="120" w:line="276" w:lineRule="auto"/>
              <w:jc w:val="center"/>
              <w:rPr>
                <w:rFonts w:asciiTheme="majorBidi" w:hAnsiTheme="majorBidi" w:cstheme="majorBidi"/>
                <w:bCs/>
                <w:iCs/>
                <w:sz w:val="18"/>
                <w:szCs w:val="18"/>
              </w:rPr>
            </w:pPr>
            <w:r w:rsidRPr="00A9766C">
              <w:rPr>
                <w:rFonts w:asciiTheme="majorBidi" w:hAnsiTheme="majorBidi" w:cstheme="majorBidi"/>
                <w:bCs/>
                <w:iCs/>
                <w:sz w:val="18"/>
                <w:szCs w:val="18"/>
              </w:rPr>
              <w:t>(13)</w:t>
            </w:r>
          </w:p>
        </w:tc>
      </w:tr>
      <w:tr w:rsidR="003A1330" w:rsidRPr="00A9766C" w:rsidTr="00F82F5E">
        <w:trPr>
          <w:trHeight w:hRule="exact" w:val="775"/>
        </w:trPr>
        <w:tc>
          <w:tcPr>
            <w:tcW w:w="282"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0511</w:t>
            </w:r>
          </w:p>
        </w:tc>
        <w:tc>
          <w:tcPr>
            <w:tcW w:w="2017" w:type="pct"/>
          </w:tcPr>
          <w:p w:rsidR="003A1330" w:rsidRPr="00A9766C" w:rsidRDefault="003A1330" w:rsidP="00F82F5E">
            <w:pPr>
              <w:pStyle w:val="TableParagraph"/>
              <w:spacing w:before="6"/>
              <w:ind w:left="6" w:right="6"/>
              <w:jc w:val="left"/>
              <w:rPr>
                <w:rFonts w:asciiTheme="majorBidi" w:hAnsiTheme="majorBidi" w:cstheme="majorBidi"/>
                <w:b/>
                <w:sz w:val="18"/>
                <w:szCs w:val="18"/>
                <w:lang w:val="en-GB"/>
              </w:rPr>
            </w:pPr>
            <w:r w:rsidRPr="00A9766C">
              <w:rPr>
                <w:rFonts w:asciiTheme="majorBidi" w:hAnsiTheme="majorBidi" w:cstheme="majorBidi"/>
                <w:sz w:val="18"/>
                <w:szCs w:val="18"/>
                <w:lang w:val="en-GB"/>
              </w:rPr>
              <w:t>DETONATORS, ELECTRONIC programmable for blasting</w:t>
            </w:r>
          </w:p>
        </w:tc>
        <w:tc>
          <w:tcPr>
            <w:tcW w:w="342" w:type="pct"/>
          </w:tcPr>
          <w:p w:rsidR="003A1330" w:rsidRPr="00A9766C" w:rsidRDefault="003A1330" w:rsidP="00F82F5E">
            <w:pPr>
              <w:pStyle w:val="TableParagraph"/>
              <w:spacing w:before="6"/>
              <w:ind w:left="127" w:right="126"/>
              <w:rPr>
                <w:rFonts w:asciiTheme="majorBidi" w:hAnsiTheme="majorBidi" w:cstheme="majorBidi"/>
                <w:b/>
                <w:sz w:val="18"/>
                <w:szCs w:val="18"/>
                <w:lang w:val="en-GB"/>
              </w:rPr>
            </w:pPr>
            <w:r w:rsidRPr="00A9766C">
              <w:rPr>
                <w:rFonts w:asciiTheme="majorBidi" w:hAnsiTheme="majorBidi" w:cstheme="majorBidi"/>
                <w:sz w:val="18"/>
                <w:szCs w:val="18"/>
                <w:lang w:val="en-GB"/>
              </w:rPr>
              <w:t>1.1B</w:t>
            </w:r>
          </w:p>
        </w:tc>
        <w:tc>
          <w:tcPr>
            <w:tcW w:w="165" w:type="pct"/>
          </w:tcPr>
          <w:p w:rsidR="003A1330" w:rsidRPr="00A9766C" w:rsidRDefault="003A1330" w:rsidP="00F82F5E">
            <w:pPr>
              <w:pStyle w:val="TableParagraph"/>
              <w:spacing w:before="6"/>
              <w:ind w:left="107" w:right="107"/>
              <w:rPr>
                <w:rFonts w:asciiTheme="majorBidi" w:hAnsiTheme="majorBidi" w:cstheme="majorBidi"/>
                <w:b/>
                <w:sz w:val="18"/>
                <w:szCs w:val="18"/>
                <w:lang w:val="en-GB"/>
              </w:rPr>
            </w:pPr>
          </w:p>
        </w:tc>
        <w:tc>
          <w:tcPr>
            <w:tcW w:w="209" w:type="pct"/>
          </w:tcPr>
          <w:p w:rsidR="003A1330" w:rsidRPr="00A9766C" w:rsidRDefault="003A1330" w:rsidP="00F82F5E">
            <w:pPr>
              <w:pStyle w:val="TableParagraph"/>
              <w:spacing w:before="6"/>
              <w:ind w:left="67" w:right="67"/>
              <w:rPr>
                <w:rFonts w:asciiTheme="majorBidi" w:hAnsiTheme="majorBidi" w:cstheme="majorBidi"/>
                <w:b/>
                <w:sz w:val="18"/>
                <w:szCs w:val="18"/>
                <w:lang w:val="en-GB"/>
              </w:rPr>
            </w:pPr>
          </w:p>
        </w:tc>
        <w:tc>
          <w:tcPr>
            <w:tcW w:w="274" w:type="pct"/>
          </w:tcPr>
          <w:p w:rsidR="003A1330" w:rsidRPr="00A9766C" w:rsidRDefault="003A1330" w:rsidP="00F82F5E">
            <w:pPr>
              <w:pStyle w:val="TableParagraph"/>
              <w:spacing w:before="6"/>
              <w:ind w:left="106" w:right="102"/>
              <w:rPr>
                <w:rFonts w:asciiTheme="majorBidi" w:hAnsiTheme="majorBidi" w:cstheme="majorBidi"/>
                <w:b/>
                <w:sz w:val="18"/>
                <w:szCs w:val="18"/>
                <w:lang w:val="en-GB"/>
              </w:rPr>
            </w:pPr>
          </w:p>
        </w:tc>
        <w:tc>
          <w:tcPr>
            <w:tcW w:w="213" w:type="pct"/>
          </w:tcPr>
          <w:p w:rsidR="003A1330" w:rsidRPr="00A9766C" w:rsidRDefault="003A1330" w:rsidP="00F82F5E">
            <w:pPr>
              <w:pStyle w:val="TableParagraph"/>
              <w:spacing w:before="6"/>
              <w:ind w:left="-15" w:right="16"/>
              <w:rPr>
                <w:rFonts w:asciiTheme="majorBidi" w:hAnsiTheme="majorBidi" w:cstheme="majorBidi"/>
                <w:b/>
                <w:sz w:val="18"/>
                <w:szCs w:val="18"/>
                <w:lang w:val="en-GB"/>
              </w:rPr>
            </w:pPr>
            <w:r w:rsidRPr="00A9766C">
              <w:rPr>
                <w:rFonts w:asciiTheme="majorBidi" w:hAnsiTheme="majorBidi" w:cstheme="majorBidi"/>
                <w:sz w:val="18"/>
                <w:szCs w:val="18"/>
                <w:lang w:val="en-GB"/>
              </w:rPr>
              <w:t>0</w:t>
            </w:r>
          </w:p>
        </w:tc>
        <w:tc>
          <w:tcPr>
            <w:tcW w:w="197" w:type="pct"/>
          </w:tcPr>
          <w:p w:rsidR="003A1330" w:rsidRPr="00A9766C" w:rsidRDefault="003A1330" w:rsidP="00F82F5E">
            <w:pPr>
              <w:pStyle w:val="TableParagraph"/>
              <w:spacing w:before="6"/>
              <w:rPr>
                <w:rFonts w:asciiTheme="majorBidi" w:hAnsiTheme="majorBidi" w:cstheme="majorBidi"/>
                <w:b/>
                <w:sz w:val="18"/>
                <w:szCs w:val="18"/>
                <w:lang w:val="en-GB"/>
              </w:rPr>
            </w:pPr>
            <w:r w:rsidRPr="00A9766C">
              <w:rPr>
                <w:rFonts w:asciiTheme="majorBidi" w:hAnsiTheme="majorBidi" w:cstheme="majorBidi"/>
                <w:sz w:val="18"/>
                <w:szCs w:val="18"/>
                <w:lang w:val="en-GB"/>
              </w:rPr>
              <w:t>E0</w:t>
            </w:r>
          </w:p>
        </w:tc>
        <w:tc>
          <w:tcPr>
            <w:tcW w:w="432" w:type="pct"/>
          </w:tcPr>
          <w:p w:rsidR="003A1330" w:rsidRPr="00A9766C" w:rsidRDefault="003A1330" w:rsidP="00F82F5E">
            <w:pPr>
              <w:pStyle w:val="TableParagraph"/>
              <w:spacing w:before="6"/>
              <w:ind w:left="141" w:right="141"/>
              <w:rPr>
                <w:rFonts w:asciiTheme="majorBidi" w:hAnsiTheme="majorBidi" w:cstheme="majorBidi"/>
                <w:b/>
                <w:sz w:val="18"/>
                <w:szCs w:val="18"/>
                <w:lang w:val="en-GB"/>
              </w:rPr>
            </w:pPr>
          </w:p>
        </w:tc>
        <w:tc>
          <w:tcPr>
            <w:tcW w:w="165" w:type="pct"/>
          </w:tcPr>
          <w:p w:rsidR="003A1330" w:rsidRPr="00A9766C" w:rsidRDefault="003A1330" w:rsidP="00F82F5E">
            <w:pPr>
              <w:pStyle w:val="TableParagraph"/>
              <w:spacing w:before="6"/>
              <w:ind w:right="226"/>
              <w:jc w:val="right"/>
              <w:rPr>
                <w:rFonts w:asciiTheme="majorBidi" w:hAnsiTheme="majorBidi" w:cstheme="majorBidi"/>
                <w:b/>
                <w:sz w:val="18"/>
                <w:szCs w:val="18"/>
                <w:u w:val="single"/>
                <w:lang w:val="en-GB"/>
              </w:rPr>
            </w:pPr>
          </w:p>
        </w:tc>
        <w:tc>
          <w:tcPr>
            <w:tcW w:w="183" w:type="pct"/>
          </w:tcPr>
          <w:p w:rsidR="003A1330" w:rsidRPr="00A9766C" w:rsidRDefault="003A1330" w:rsidP="00F82F5E">
            <w:pPr>
              <w:pStyle w:val="TableParagraph"/>
              <w:spacing w:before="6"/>
              <w:ind w:left="7" w:right="8"/>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r>
      <w:tr w:rsidR="003A1330" w:rsidRPr="00A9766C" w:rsidTr="00F82F5E">
        <w:trPr>
          <w:trHeight w:hRule="exact" w:val="811"/>
        </w:trPr>
        <w:tc>
          <w:tcPr>
            <w:tcW w:w="282"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lastRenderedPageBreak/>
              <w:t>0512</w:t>
            </w:r>
          </w:p>
        </w:tc>
        <w:tc>
          <w:tcPr>
            <w:tcW w:w="2017" w:type="pct"/>
          </w:tcPr>
          <w:p w:rsidR="003A1330" w:rsidRPr="00A9766C" w:rsidRDefault="003A1330" w:rsidP="00F82F5E">
            <w:pPr>
              <w:pStyle w:val="TableParagraph"/>
              <w:spacing w:before="6"/>
              <w:ind w:left="6" w:right="6"/>
              <w:jc w:val="left"/>
              <w:rPr>
                <w:rFonts w:asciiTheme="majorBidi" w:hAnsiTheme="majorBidi" w:cstheme="majorBidi"/>
                <w:sz w:val="18"/>
                <w:szCs w:val="18"/>
                <w:lang w:val="en-GB"/>
              </w:rPr>
            </w:pPr>
            <w:r w:rsidRPr="00A9766C">
              <w:rPr>
                <w:rFonts w:asciiTheme="majorBidi" w:hAnsiTheme="majorBidi" w:cstheme="majorBidi"/>
                <w:sz w:val="18"/>
                <w:szCs w:val="18"/>
                <w:lang w:val="en-GB"/>
              </w:rPr>
              <w:t>DETONATORS, ELECTRONIC programmable for blasting</w:t>
            </w:r>
          </w:p>
        </w:tc>
        <w:tc>
          <w:tcPr>
            <w:tcW w:w="342" w:type="pct"/>
          </w:tcPr>
          <w:p w:rsidR="003A1330" w:rsidRPr="00A9766C" w:rsidRDefault="003A1330" w:rsidP="00F82F5E">
            <w:pPr>
              <w:pStyle w:val="TableParagraph"/>
              <w:spacing w:before="6"/>
              <w:ind w:left="127" w:right="126"/>
              <w:rPr>
                <w:rFonts w:asciiTheme="majorBidi" w:hAnsiTheme="majorBidi" w:cstheme="majorBidi"/>
                <w:sz w:val="18"/>
                <w:szCs w:val="18"/>
                <w:lang w:val="en-GB"/>
              </w:rPr>
            </w:pPr>
            <w:r w:rsidRPr="00A9766C">
              <w:rPr>
                <w:rFonts w:asciiTheme="majorBidi" w:hAnsiTheme="majorBidi" w:cstheme="majorBidi"/>
                <w:sz w:val="18"/>
                <w:szCs w:val="18"/>
                <w:lang w:val="en-GB"/>
              </w:rPr>
              <w:t>1.4B</w:t>
            </w:r>
          </w:p>
        </w:tc>
        <w:tc>
          <w:tcPr>
            <w:tcW w:w="165" w:type="pct"/>
          </w:tcPr>
          <w:p w:rsidR="003A1330" w:rsidRPr="00A9766C" w:rsidRDefault="003A1330" w:rsidP="00F82F5E">
            <w:pPr>
              <w:pStyle w:val="TableParagraph"/>
              <w:spacing w:before="6"/>
              <w:ind w:left="107" w:right="107"/>
              <w:rPr>
                <w:rFonts w:asciiTheme="majorBidi" w:hAnsiTheme="majorBidi" w:cstheme="majorBidi"/>
                <w:b/>
                <w:sz w:val="18"/>
                <w:szCs w:val="18"/>
                <w:lang w:val="en-GB"/>
              </w:rPr>
            </w:pPr>
          </w:p>
        </w:tc>
        <w:tc>
          <w:tcPr>
            <w:tcW w:w="209" w:type="pct"/>
          </w:tcPr>
          <w:p w:rsidR="003A1330" w:rsidRPr="00A9766C" w:rsidRDefault="003A1330" w:rsidP="00F82F5E">
            <w:pPr>
              <w:pStyle w:val="TableParagraph"/>
              <w:spacing w:before="6"/>
              <w:ind w:left="67" w:right="67"/>
              <w:rPr>
                <w:rFonts w:asciiTheme="majorBidi" w:hAnsiTheme="majorBidi" w:cstheme="majorBidi"/>
                <w:b/>
                <w:sz w:val="18"/>
                <w:szCs w:val="18"/>
                <w:lang w:val="en-GB"/>
              </w:rPr>
            </w:pPr>
          </w:p>
        </w:tc>
        <w:tc>
          <w:tcPr>
            <w:tcW w:w="274" w:type="pct"/>
          </w:tcPr>
          <w:p w:rsidR="003A1330" w:rsidRPr="00A9766C" w:rsidRDefault="003A1330" w:rsidP="00F82F5E">
            <w:pPr>
              <w:pStyle w:val="TableParagraph"/>
              <w:spacing w:before="6"/>
              <w:ind w:left="106" w:right="102"/>
              <w:rPr>
                <w:rFonts w:asciiTheme="majorBidi" w:hAnsiTheme="majorBidi" w:cstheme="majorBidi"/>
                <w:b/>
                <w:sz w:val="18"/>
                <w:szCs w:val="18"/>
                <w:lang w:val="en-GB"/>
              </w:rPr>
            </w:pPr>
          </w:p>
        </w:tc>
        <w:tc>
          <w:tcPr>
            <w:tcW w:w="213" w:type="pct"/>
          </w:tcPr>
          <w:p w:rsidR="003A1330" w:rsidRPr="00A9766C" w:rsidRDefault="003A1330" w:rsidP="00F82F5E">
            <w:pPr>
              <w:pStyle w:val="TableParagraph"/>
              <w:spacing w:before="6"/>
              <w:ind w:left="-15" w:right="16"/>
              <w:rPr>
                <w:rFonts w:asciiTheme="majorBidi" w:hAnsiTheme="majorBidi" w:cstheme="majorBidi"/>
                <w:sz w:val="18"/>
                <w:szCs w:val="18"/>
                <w:lang w:val="en-GB"/>
              </w:rPr>
            </w:pPr>
            <w:r w:rsidRPr="00A9766C">
              <w:rPr>
                <w:rFonts w:asciiTheme="majorBidi" w:hAnsiTheme="majorBidi" w:cstheme="majorBidi"/>
                <w:sz w:val="18"/>
                <w:szCs w:val="18"/>
                <w:lang w:val="en-GB"/>
              </w:rPr>
              <w:t>0</w:t>
            </w:r>
          </w:p>
        </w:tc>
        <w:tc>
          <w:tcPr>
            <w:tcW w:w="197" w:type="pct"/>
          </w:tcPr>
          <w:p w:rsidR="003A1330" w:rsidRPr="00A9766C" w:rsidRDefault="003A1330" w:rsidP="00F82F5E">
            <w:pPr>
              <w:pStyle w:val="TableParagraph"/>
              <w:spacing w:before="6"/>
              <w:rPr>
                <w:rFonts w:asciiTheme="majorBidi" w:hAnsiTheme="majorBidi" w:cstheme="majorBidi"/>
                <w:sz w:val="18"/>
                <w:szCs w:val="18"/>
                <w:lang w:val="en-GB"/>
              </w:rPr>
            </w:pPr>
            <w:r w:rsidRPr="00A9766C">
              <w:rPr>
                <w:rFonts w:asciiTheme="majorBidi" w:hAnsiTheme="majorBidi" w:cstheme="majorBidi"/>
                <w:sz w:val="18"/>
                <w:szCs w:val="18"/>
                <w:lang w:val="en-GB"/>
              </w:rPr>
              <w:t>E0</w:t>
            </w:r>
          </w:p>
        </w:tc>
        <w:tc>
          <w:tcPr>
            <w:tcW w:w="432" w:type="pct"/>
          </w:tcPr>
          <w:p w:rsidR="003A1330" w:rsidRPr="00A9766C" w:rsidRDefault="003A1330" w:rsidP="00F82F5E">
            <w:pPr>
              <w:pStyle w:val="TableParagraph"/>
              <w:spacing w:before="6"/>
              <w:ind w:left="141" w:right="141"/>
              <w:rPr>
                <w:rFonts w:asciiTheme="majorBidi" w:hAnsiTheme="majorBidi" w:cstheme="majorBidi"/>
                <w:sz w:val="18"/>
                <w:szCs w:val="18"/>
                <w:lang w:val="en-GB"/>
              </w:rPr>
            </w:pPr>
          </w:p>
        </w:tc>
        <w:tc>
          <w:tcPr>
            <w:tcW w:w="165" w:type="pct"/>
          </w:tcPr>
          <w:p w:rsidR="003A1330" w:rsidRPr="00A9766C" w:rsidRDefault="003A1330" w:rsidP="00F82F5E">
            <w:pPr>
              <w:pStyle w:val="TableParagraph"/>
              <w:spacing w:before="6"/>
              <w:ind w:right="226"/>
              <w:jc w:val="right"/>
              <w:rPr>
                <w:rFonts w:asciiTheme="majorBidi" w:hAnsiTheme="majorBidi" w:cstheme="majorBidi"/>
                <w:b/>
                <w:sz w:val="18"/>
                <w:szCs w:val="18"/>
                <w:u w:val="single"/>
                <w:lang w:val="en-GB"/>
              </w:rPr>
            </w:pPr>
          </w:p>
        </w:tc>
        <w:tc>
          <w:tcPr>
            <w:tcW w:w="183" w:type="pct"/>
          </w:tcPr>
          <w:p w:rsidR="003A1330" w:rsidRPr="00A9766C" w:rsidRDefault="003A1330" w:rsidP="00F82F5E">
            <w:pPr>
              <w:pStyle w:val="TableParagraph"/>
              <w:spacing w:before="6"/>
              <w:ind w:left="7" w:right="8"/>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r>
      <w:tr w:rsidR="003A1330" w:rsidRPr="00A9766C" w:rsidTr="00F82F5E">
        <w:trPr>
          <w:trHeight w:hRule="exact" w:val="811"/>
        </w:trPr>
        <w:tc>
          <w:tcPr>
            <w:tcW w:w="282"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bCs/>
                <w:sz w:val="18"/>
                <w:szCs w:val="18"/>
              </w:rPr>
              <w:t>0513</w:t>
            </w:r>
          </w:p>
        </w:tc>
        <w:tc>
          <w:tcPr>
            <w:tcW w:w="2017" w:type="pct"/>
          </w:tcPr>
          <w:p w:rsidR="003A1330" w:rsidRPr="00A9766C" w:rsidRDefault="003A1330" w:rsidP="00F82F5E">
            <w:pPr>
              <w:pStyle w:val="TableParagraph"/>
              <w:spacing w:before="6"/>
              <w:ind w:left="6" w:right="6"/>
              <w:jc w:val="left"/>
              <w:rPr>
                <w:rFonts w:asciiTheme="majorBidi" w:hAnsiTheme="majorBidi" w:cstheme="majorBidi"/>
                <w:sz w:val="18"/>
                <w:szCs w:val="18"/>
                <w:lang w:val="en-GB"/>
              </w:rPr>
            </w:pPr>
            <w:r w:rsidRPr="00A9766C">
              <w:rPr>
                <w:rFonts w:asciiTheme="majorBidi" w:hAnsiTheme="majorBidi" w:cstheme="majorBidi"/>
                <w:sz w:val="18"/>
                <w:szCs w:val="18"/>
                <w:lang w:val="en-GB"/>
              </w:rPr>
              <w:t>DETONATORS, ELECTRONIC programmable for blasting</w:t>
            </w:r>
          </w:p>
        </w:tc>
        <w:tc>
          <w:tcPr>
            <w:tcW w:w="342" w:type="pct"/>
          </w:tcPr>
          <w:p w:rsidR="003A1330" w:rsidRPr="00A9766C" w:rsidRDefault="003A1330" w:rsidP="00F82F5E">
            <w:pPr>
              <w:pStyle w:val="TableParagraph"/>
              <w:spacing w:before="6"/>
              <w:ind w:left="127" w:right="126"/>
              <w:rPr>
                <w:rFonts w:asciiTheme="majorBidi" w:hAnsiTheme="majorBidi" w:cstheme="majorBidi"/>
                <w:sz w:val="18"/>
                <w:szCs w:val="18"/>
                <w:lang w:val="en-GB"/>
              </w:rPr>
            </w:pPr>
            <w:r w:rsidRPr="00A9766C">
              <w:rPr>
                <w:rFonts w:asciiTheme="majorBidi" w:hAnsiTheme="majorBidi" w:cstheme="majorBidi"/>
                <w:sz w:val="18"/>
                <w:szCs w:val="18"/>
                <w:lang w:val="en-GB"/>
              </w:rPr>
              <w:t>1.4S</w:t>
            </w:r>
          </w:p>
        </w:tc>
        <w:tc>
          <w:tcPr>
            <w:tcW w:w="165" w:type="pct"/>
          </w:tcPr>
          <w:p w:rsidR="003A1330" w:rsidRPr="00A9766C" w:rsidRDefault="003A1330" w:rsidP="00F82F5E">
            <w:pPr>
              <w:pStyle w:val="TableParagraph"/>
              <w:spacing w:before="6"/>
              <w:ind w:left="107" w:right="107"/>
              <w:rPr>
                <w:rFonts w:asciiTheme="majorBidi" w:hAnsiTheme="majorBidi" w:cstheme="majorBidi"/>
                <w:b/>
                <w:sz w:val="18"/>
                <w:szCs w:val="18"/>
                <w:lang w:val="en-GB"/>
              </w:rPr>
            </w:pPr>
          </w:p>
        </w:tc>
        <w:tc>
          <w:tcPr>
            <w:tcW w:w="209" w:type="pct"/>
          </w:tcPr>
          <w:p w:rsidR="003A1330" w:rsidRPr="00A9766C" w:rsidRDefault="003A1330" w:rsidP="00F82F5E">
            <w:pPr>
              <w:pStyle w:val="TableParagraph"/>
              <w:spacing w:before="6"/>
              <w:ind w:left="67" w:right="67"/>
              <w:rPr>
                <w:rFonts w:asciiTheme="majorBidi" w:hAnsiTheme="majorBidi" w:cstheme="majorBidi"/>
                <w:b/>
                <w:sz w:val="18"/>
                <w:szCs w:val="18"/>
                <w:lang w:val="en-GB"/>
              </w:rPr>
            </w:pPr>
          </w:p>
        </w:tc>
        <w:tc>
          <w:tcPr>
            <w:tcW w:w="274" w:type="pct"/>
          </w:tcPr>
          <w:p w:rsidR="003A1330" w:rsidRPr="00A9766C" w:rsidRDefault="003A1330" w:rsidP="00F82F5E">
            <w:pPr>
              <w:pStyle w:val="TableParagraph"/>
              <w:spacing w:before="6"/>
              <w:ind w:left="106" w:right="102"/>
              <w:rPr>
                <w:rFonts w:asciiTheme="majorBidi" w:hAnsiTheme="majorBidi" w:cstheme="majorBidi"/>
                <w:b/>
                <w:sz w:val="18"/>
                <w:szCs w:val="18"/>
                <w:lang w:val="en-GB"/>
              </w:rPr>
            </w:pPr>
            <w:r w:rsidRPr="00A9766C">
              <w:rPr>
                <w:rFonts w:asciiTheme="majorBidi" w:hAnsiTheme="majorBidi" w:cstheme="majorBidi"/>
                <w:sz w:val="18"/>
                <w:szCs w:val="18"/>
                <w:lang w:val="en-GB"/>
              </w:rPr>
              <w:t>347</w:t>
            </w:r>
          </w:p>
        </w:tc>
        <w:tc>
          <w:tcPr>
            <w:tcW w:w="213" w:type="pct"/>
          </w:tcPr>
          <w:p w:rsidR="003A1330" w:rsidRPr="00A9766C" w:rsidRDefault="003A1330" w:rsidP="00F82F5E">
            <w:pPr>
              <w:pStyle w:val="TableParagraph"/>
              <w:spacing w:before="6"/>
              <w:ind w:left="-15" w:right="16"/>
              <w:rPr>
                <w:rFonts w:asciiTheme="majorBidi" w:hAnsiTheme="majorBidi" w:cstheme="majorBidi"/>
                <w:sz w:val="18"/>
                <w:szCs w:val="18"/>
                <w:lang w:val="en-GB"/>
              </w:rPr>
            </w:pPr>
            <w:r w:rsidRPr="00A9766C">
              <w:rPr>
                <w:rFonts w:asciiTheme="majorBidi" w:hAnsiTheme="majorBidi" w:cstheme="majorBidi"/>
                <w:sz w:val="18"/>
                <w:szCs w:val="18"/>
                <w:lang w:val="en-GB"/>
              </w:rPr>
              <w:t>0</w:t>
            </w:r>
          </w:p>
        </w:tc>
        <w:tc>
          <w:tcPr>
            <w:tcW w:w="197" w:type="pct"/>
          </w:tcPr>
          <w:p w:rsidR="003A1330" w:rsidRPr="00A9766C" w:rsidRDefault="003A1330" w:rsidP="00F82F5E">
            <w:pPr>
              <w:pStyle w:val="TableParagraph"/>
              <w:spacing w:before="6"/>
              <w:rPr>
                <w:rFonts w:asciiTheme="majorBidi" w:hAnsiTheme="majorBidi" w:cstheme="majorBidi"/>
                <w:sz w:val="18"/>
                <w:szCs w:val="18"/>
                <w:lang w:val="en-GB"/>
              </w:rPr>
            </w:pPr>
            <w:r w:rsidRPr="00A9766C">
              <w:rPr>
                <w:rFonts w:asciiTheme="majorBidi" w:hAnsiTheme="majorBidi" w:cstheme="majorBidi"/>
                <w:sz w:val="18"/>
                <w:szCs w:val="18"/>
                <w:lang w:val="en-GB"/>
              </w:rPr>
              <w:t>E0</w:t>
            </w:r>
          </w:p>
        </w:tc>
        <w:tc>
          <w:tcPr>
            <w:tcW w:w="432" w:type="pct"/>
          </w:tcPr>
          <w:p w:rsidR="003A1330" w:rsidRPr="00A9766C" w:rsidRDefault="003A1330" w:rsidP="00F82F5E">
            <w:pPr>
              <w:pStyle w:val="TableParagraph"/>
              <w:spacing w:before="6"/>
              <w:ind w:left="141" w:right="141"/>
              <w:rPr>
                <w:rFonts w:asciiTheme="majorBidi" w:hAnsiTheme="majorBidi" w:cstheme="majorBidi"/>
                <w:sz w:val="18"/>
                <w:szCs w:val="18"/>
                <w:lang w:val="en-GB"/>
              </w:rPr>
            </w:pPr>
          </w:p>
        </w:tc>
        <w:tc>
          <w:tcPr>
            <w:tcW w:w="165" w:type="pct"/>
          </w:tcPr>
          <w:p w:rsidR="003A1330" w:rsidRPr="00A9766C" w:rsidRDefault="003A1330" w:rsidP="00F82F5E">
            <w:pPr>
              <w:pStyle w:val="TableParagraph"/>
              <w:spacing w:before="6"/>
              <w:ind w:right="226"/>
              <w:jc w:val="right"/>
              <w:rPr>
                <w:rFonts w:asciiTheme="majorBidi" w:hAnsiTheme="majorBidi" w:cstheme="majorBidi"/>
                <w:b/>
                <w:sz w:val="18"/>
                <w:szCs w:val="18"/>
                <w:u w:val="single"/>
                <w:lang w:val="en-GB"/>
              </w:rPr>
            </w:pPr>
          </w:p>
        </w:tc>
        <w:tc>
          <w:tcPr>
            <w:tcW w:w="183" w:type="pct"/>
          </w:tcPr>
          <w:p w:rsidR="003A1330" w:rsidRPr="00A9766C" w:rsidRDefault="003A1330" w:rsidP="00F82F5E">
            <w:pPr>
              <w:pStyle w:val="TableParagraph"/>
              <w:spacing w:before="6"/>
              <w:ind w:left="7" w:right="8"/>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r>
      <w:tr w:rsidR="003A1330" w:rsidRPr="00A9766C" w:rsidTr="00F82F5E">
        <w:trPr>
          <w:trHeight w:hRule="exact" w:val="891"/>
        </w:trPr>
        <w:tc>
          <w:tcPr>
            <w:tcW w:w="282" w:type="pct"/>
          </w:tcPr>
          <w:p w:rsidR="003A1330" w:rsidRPr="00A9766C" w:rsidRDefault="003A1330" w:rsidP="00F82F5E">
            <w:pPr>
              <w:suppressAutoHyphens w:val="0"/>
              <w:spacing w:before="40" w:after="120" w:line="276" w:lineRule="auto"/>
              <w:jc w:val="center"/>
              <w:rPr>
                <w:rFonts w:asciiTheme="majorBidi" w:hAnsiTheme="majorBidi" w:cstheme="majorBidi"/>
                <w:bCs/>
                <w:sz w:val="18"/>
                <w:szCs w:val="18"/>
              </w:rPr>
            </w:pPr>
            <w:r w:rsidRPr="00A9766C">
              <w:rPr>
                <w:rFonts w:asciiTheme="majorBidi" w:hAnsiTheme="majorBidi" w:cstheme="majorBidi"/>
                <w:sz w:val="18"/>
                <w:szCs w:val="18"/>
              </w:rPr>
              <w:t>3549</w:t>
            </w:r>
          </w:p>
        </w:tc>
        <w:tc>
          <w:tcPr>
            <w:tcW w:w="2017" w:type="pct"/>
          </w:tcPr>
          <w:p w:rsidR="003A1330" w:rsidRPr="00A9766C" w:rsidRDefault="003A1330" w:rsidP="00F82F5E">
            <w:pPr>
              <w:pStyle w:val="TableParagraph"/>
              <w:spacing w:before="6"/>
              <w:ind w:left="6" w:right="6"/>
              <w:jc w:val="left"/>
              <w:rPr>
                <w:rFonts w:asciiTheme="majorBidi" w:hAnsiTheme="majorBidi" w:cstheme="majorBidi"/>
                <w:sz w:val="18"/>
                <w:szCs w:val="18"/>
                <w:lang w:val="en-GB"/>
              </w:rPr>
            </w:pPr>
            <w:r w:rsidRPr="00A9766C">
              <w:rPr>
                <w:rFonts w:asciiTheme="majorBidi" w:hAnsiTheme="majorBidi" w:cstheme="majorBidi"/>
                <w:sz w:val="18"/>
                <w:szCs w:val="18"/>
              </w:rPr>
              <w:t>MEDICAL WASTE, CATEGORY A, AFFECTING HUMANS, solid or MEDICAL WASTE, CATEGORY A, AFFECTING ANIMALS only, solid</w:t>
            </w:r>
          </w:p>
        </w:tc>
        <w:tc>
          <w:tcPr>
            <w:tcW w:w="342" w:type="pct"/>
          </w:tcPr>
          <w:p w:rsidR="003A1330" w:rsidRPr="00A9766C" w:rsidRDefault="003A1330" w:rsidP="00F82F5E">
            <w:pPr>
              <w:pStyle w:val="TableParagraph"/>
              <w:spacing w:before="6"/>
              <w:ind w:left="127" w:right="126"/>
              <w:rPr>
                <w:rFonts w:asciiTheme="majorBidi" w:hAnsiTheme="majorBidi" w:cstheme="majorBidi"/>
                <w:sz w:val="18"/>
                <w:szCs w:val="18"/>
                <w:lang w:val="en-GB"/>
              </w:rPr>
            </w:pPr>
            <w:r w:rsidRPr="00A9766C">
              <w:rPr>
                <w:rFonts w:asciiTheme="majorBidi" w:hAnsiTheme="majorBidi" w:cstheme="majorBidi"/>
                <w:sz w:val="18"/>
                <w:szCs w:val="18"/>
              </w:rPr>
              <w:t>6.2</w:t>
            </w:r>
          </w:p>
        </w:tc>
        <w:tc>
          <w:tcPr>
            <w:tcW w:w="165" w:type="pct"/>
          </w:tcPr>
          <w:p w:rsidR="003A1330" w:rsidRPr="00A9766C" w:rsidRDefault="003A1330" w:rsidP="00F82F5E">
            <w:pPr>
              <w:pStyle w:val="TableParagraph"/>
              <w:spacing w:before="6"/>
              <w:ind w:left="107" w:right="107"/>
              <w:rPr>
                <w:rFonts w:asciiTheme="majorBidi" w:hAnsiTheme="majorBidi" w:cstheme="majorBidi"/>
                <w:b/>
                <w:sz w:val="18"/>
                <w:szCs w:val="18"/>
                <w:lang w:val="en-GB"/>
              </w:rPr>
            </w:pPr>
          </w:p>
        </w:tc>
        <w:tc>
          <w:tcPr>
            <w:tcW w:w="209" w:type="pct"/>
          </w:tcPr>
          <w:p w:rsidR="003A1330" w:rsidRPr="00A9766C" w:rsidRDefault="003A1330" w:rsidP="00F82F5E">
            <w:pPr>
              <w:pStyle w:val="TableParagraph"/>
              <w:spacing w:before="6"/>
              <w:ind w:left="67" w:right="67"/>
              <w:rPr>
                <w:rFonts w:asciiTheme="majorBidi" w:hAnsiTheme="majorBidi" w:cstheme="majorBidi"/>
                <w:b/>
                <w:sz w:val="18"/>
                <w:szCs w:val="18"/>
                <w:lang w:val="en-GB"/>
              </w:rPr>
            </w:pPr>
          </w:p>
        </w:tc>
        <w:tc>
          <w:tcPr>
            <w:tcW w:w="274" w:type="pct"/>
          </w:tcPr>
          <w:p w:rsidR="003A1330" w:rsidRDefault="003A1330" w:rsidP="00F82F5E">
            <w:pPr>
              <w:pStyle w:val="TableParagraph"/>
              <w:spacing w:before="6"/>
              <w:ind w:left="106" w:right="102"/>
              <w:rPr>
                <w:rFonts w:asciiTheme="majorBidi" w:hAnsiTheme="majorBidi" w:cstheme="majorBidi"/>
                <w:sz w:val="18"/>
                <w:szCs w:val="18"/>
              </w:rPr>
            </w:pPr>
            <w:r w:rsidRPr="00A9766C">
              <w:rPr>
                <w:rFonts w:asciiTheme="majorBidi" w:hAnsiTheme="majorBidi" w:cstheme="majorBidi"/>
                <w:sz w:val="18"/>
                <w:szCs w:val="18"/>
              </w:rPr>
              <w:t>395</w:t>
            </w:r>
          </w:p>
          <w:p w:rsidR="003A1330" w:rsidRPr="00A9766C" w:rsidRDefault="003A1330" w:rsidP="00F82F5E">
            <w:pPr>
              <w:pStyle w:val="TableParagraph"/>
              <w:spacing w:before="6"/>
              <w:ind w:left="106" w:right="102"/>
              <w:rPr>
                <w:rFonts w:asciiTheme="majorBidi" w:hAnsiTheme="majorBidi" w:cstheme="majorBidi"/>
                <w:sz w:val="18"/>
                <w:szCs w:val="18"/>
                <w:lang w:val="en-GB"/>
              </w:rPr>
            </w:pPr>
            <w:r>
              <w:rPr>
                <w:rFonts w:asciiTheme="majorBidi" w:hAnsiTheme="majorBidi" w:cstheme="majorBidi"/>
                <w:sz w:val="18"/>
                <w:szCs w:val="18"/>
                <w:lang w:val="en-GB"/>
              </w:rPr>
              <w:t>6XX</w:t>
            </w:r>
          </w:p>
        </w:tc>
        <w:tc>
          <w:tcPr>
            <w:tcW w:w="213" w:type="pct"/>
          </w:tcPr>
          <w:p w:rsidR="003A1330" w:rsidRPr="00A9766C" w:rsidRDefault="003A1330" w:rsidP="00F82F5E">
            <w:pPr>
              <w:pStyle w:val="TableParagraph"/>
              <w:spacing w:before="6"/>
              <w:ind w:left="-15" w:right="16"/>
              <w:rPr>
                <w:rFonts w:asciiTheme="majorBidi" w:hAnsiTheme="majorBidi" w:cstheme="majorBidi"/>
                <w:sz w:val="18"/>
                <w:szCs w:val="18"/>
                <w:lang w:val="en-GB"/>
              </w:rPr>
            </w:pPr>
            <w:r w:rsidRPr="00A9766C">
              <w:rPr>
                <w:rFonts w:asciiTheme="majorBidi" w:hAnsiTheme="majorBidi" w:cstheme="majorBidi"/>
                <w:sz w:val="18"/>
                <w:szCs w:val="18"/>
              </w:rPr>
              <w:t>0</w:t>
            </w:r>
          </w:p>
        </w:tc>
        <w:tc>
          <w:tcPr>
            <w:tcW w:w="197" w:type="pct"/>
          </w:tcPr>
          <w:p w:rsidR="003A1330" w:rsidRPr="00A9766C" w:rsidRDefault="003A1330" w:rsidP="00F82F5E">
            <w:pPr>
              <w:pStyle w:val="TableParagraph"/>
              <w:spacing w:before="6"/>
              <w:rPr>
                <w:rFonts w:asciiTheme="majorBidi" w:hAnsiTheme="majorBidi" w:cstheme="majorBidi"/>
                <w:sz w:val="18"/>
                <w:szCs w:val="18"/>
                <w:lang w:val="en-GB"/>
              </w:rPr>
            </w:pPr>
            <w:r w:rsidRPr="00A9766C">
              <w:rPr>
                <w:rFonts w:asciiTheme="majorBidi" w:hAnsiTheme="majorBidi" w:cstheme="majorBidi"/>
                <w:sz w:val="18"/>
                <w:szCs w:val="18"/>
              </w:rPr>
              <w:t>E0</w:t>
            </w:r>
          </w:p>
        </w:tc>
        <w:tc>
          <w:tcPr>
            <w:tcW w:w="432" w:type="pct"/>
          </w:tcPr>
          <w:p w:rsidR="003A1330" w:rsidRPr="00A9766C" w:rsidRDefault="003A1330" w:rsidP="00F82F5E">
            <w:pPr>
              <w:pStyle w:val="TableParagraph"/>
              <w:spacing w:before="6"/>
              <w:ind w:left="141" w:right="141"/>
              <w:rPr>
                <w:rFonts w:asciiTheme="majorBidi" w:hAnsiTheme="majorBidi" w:cstheme="majorBidi"/>
                <w:sz w:val="18"/>
                <w:szCs w:val="18"/>
                <w:lang w:val="en-GB"/>
              </w:rPr>
            </w:pPr>
          </w:p>
        </w:tc>
        <w:tc>
          <w:tcPr>
            <w:tcW w:w="165" w:type="pct"/>
          </w:tcPr>
          <w:p w:rsidR="003A1330" w:rsidRPr="00A9766C" w:rsidRDefault="003A1330" w:rsidP="00F82F5E">
            <w:pPr>
              <w:pStyle w:val="TableParagraph"/>
              <w:spacing w:before="6"/>
              <w:ind w:right="226"/>
              <w:jc w:val="right"/>
              <w:rPr>
                <w:rFonts w:asciiTheme="majorBidi" w:hAnsiTheme="majorBidi" w:cstheme="majorBidi"/>
                <w:b/>
                <w:sz w:val="18"/>
                <w:szCs w:val="18"/>
                <w:u w:val="single"/>
                <w:lang w:val="en-GB"/>
              </w:rPr>
            </w:pPr>
          </w:p>
        </w:tc>
        <w:tc>
          <w:tcPr>
            <w:tcW w:w="183" w:type="pct"/>
          </w:tcPr>
          <w:p w:rsidR="003A1330" w:rsidRPr="00A9766C" w:rsidRDefault="003A1330" w:rsidP="00F82F5E">
            <w:pPr>
              <w:pStyle w:val="TableParagraph"/>
              <w:spacing w:before="6"/>
              <w:ind w:left="7" w:right="8"/>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r>
      <w:tr w:rsidR="003A1330" w:rsidRPr="00A9766C" w:rsidTr="00F13FDA">
        <w:trPr>
          <w:trHeight w:hRule="exact" w:val="1439"/>
        </w:trPr>
        <w:tc>
          <w:tcPr>
            <w:tcW w:w="282" w:type="pct"/>
          </w:tcPr>
          <w:p w:rsidR="003A1330" w:rsidRPr="00A9766C" w:rsidRDefault="003A1330" w:rsidP="00F82F5E">
            <w:pPr>
              <w:suppressAutoHyphens w:val="0"/>
              <w:spacing w:before="40" w:after="120" w:line="276" w:lineRule="auto"/>
              <w:jc w:val="center"/>
              <w:rPr>
                <w:rFonts w:asciiTheme="majorBidi" w:hAnsiTheme="majorBidi" w:cstheme="majorBidi"/>
                <w:sz w:val="18"/>
                <w:szCs w:val="18"/>
              </w:rPr>
            </w:pPr>
            <w:r w:rsidRPr="00A9766C">
              <w:rPr>
                <w:rFonts w:asciiTheme="majorBidi" w:hAnsiTheme="majorBidi" w:cstheme="majorBidi"/>
                <w:sz w:val="18"/>
                <w:szCs w:val="18"/>
              </w:rPr>
              <w:t>[3549</w:t>
            </w:r>
          </w:p>
        </w:tc>
        <w:tc>
          <w:tcPr>
            <w:tcW w:w="2017" w:type="pct"/>
          </w:tcPr>
          <w:p w:rsidR="003A1330" w:rsidRPr="00A9766C" w:rsidRDefault="003A1330" w:rsidP="00F82F5E">
            <w:pPr>
              <w:pStyle w:val="TableParagraph"/>
              <w:spacing w:before="6"/>
              <w:ind w:left="6" w:right="6"/>
              <w:jc w:val="left"/>
              <w:rPr>
                <w:rFonts w:asciiTheme="majorBidi" w:hAnsiTheme="majorBidi" w:cstheme="majorBidi"/>
                <w:sz w:val="18"/>
                <w:szCs w:val="18"/>
              </w:rPr>
            </w:pPr>
            <w:r w:rsidRPr="00A9766C">
              <w:rPr>
                <w:rFonts w:asciiTheme="majorBidi" w:hAnsiTheme="majorBidi" w:cstheme="majorBidi"/>
                <w:sz w:val="18"/>
                <w:szCs w:val="18"/>
              </w:rPr>
              <w:t>MEDICAL WASTE, CATEGORY A, AFFECTING HUMANS, solid, in refrigerated liquid nitrogen or MEDICAL WASTE, CATEGORY A, AFFECTING ANIMALS only, solid, in refrigerated liquid nitrogen</w:t>
            </w:r>
          </w:p>
        </w:tc>
        <w:tc>
          <w:tcPr>
            <w:tcW w:w="342" w:type="pct"/>
          </w:tcPr>
          <w:p w:rsidR="003A1330" w:rsidRPr="00A9766C" w:rsidRDefault="003A1330" w:rsidP="00F82F5E">
            <w:pPr>
              <w:pStyle w:val="TableParagraph"/>
              <w:spacing w:before="6"/>
              <w:ind w:left="127" w:right="126"/>
              <w:rPr>
                <w:rFonts w:asciiTheme="majorBidi" w:hAnsiTheme="majorBidi" w:cstheme="majorBidi"/>
                <w:sz w:val="18"/>
                <w:szCs w:val="18"/>
              </w:rPr>
            </w:pPr>
            <w:r w:rsidRPr="00A9766C">
              <w:rPr>
                <w:rFonts w:asciiTheme="majorBidi" w:hAnsiTheme="majorBidi" w:cstheme="majorBidi"/>
                <w:sz w:val="18"/>
                <w:szCs w:val="18"/>
              </w:rPr>
              <w:t>6.2</w:t>
            </w:r>
          </w:p>
        </w:tc>
        <w:tc>
          <w:tcPr>
            <w:tcW w:w="165" w:type="pct"/>
          </w:tcPr>
          <w:p w:rsidR="003A1330" w:rsidRPr="00A9766C" w:rsidRDefault="003A1330" w:rsidP="00F82F5E">
            <w:pPr>
              <w:pStyle w:val="TableParagraph"/>
              <w:spacing w:before="6"/>
              <w:ind w:left="107" w:right="107"/>
              <w:rPr>
                <w:rFonts w:asciiTheme="majorBidi" w:hAnsiTheme="majorBidi" w:cstheme="majorBidi"/>
                <w:b/>
                <w:sz w:val="18"/>
                <w:szCs w:val="18"/>
                <w:lang w:val="en-GB"/>
              </w:rPr>
            </w:pPr>
          </w:p>
        </w:tc>
        <w:tc>
          <w:tcPr>
            <w:tcW w:w="209" w:type="pct"/>
          </w:tcPr>
          <w:p w:rsidR="003A1330" w:rsidRPr="00020C88" w:rsidRDefault="003A1330" w:rsidP="00F82F5E">
            <w:pPr>
              <w:pStyle w:val="TableParagraph"/>
              <w:spacing w:before="6"/>
              <w:ind w:left="67" w:right="67"/>
              <w:rPr>
                <w:rFonts w:asciiTheme="majorBidi" w:hAnsiTheme="majorBidi" w:cstheme="majorBidi"/>
                <w:b/>
                <w:sz w:val="18"/>
                <w:szCs w:val="18"/>
                <w:lang w:val="en-GB"/>
              </w:rPr>
            </w:pPr>
            <w:r w:rsidRPr="00020C88">
              <w:rPr>
                <w:rFonts w:asciiTheme="majorBidi" w:hAnsiTheme="majorBidi" w:cstheme="majorBidi"/>
                <w:bCs/>
                <w:sz w:val="18"/>
                <w:szCs w:val="18"/>
              </w:rPr>
              <w:t>6.2</w:t>
            </w:r>
            <w:r w:rsidRPr="00020C88">
              <w:rPr>
                <w:rFonts w:asciiTheme="majorBidi" w:hAnsiTheme="majorBidi" w:cstheme="majorBidi"/>
                <w:bCs/>
                <w:sz w:val="18"/>
                <w:szCs w:val="18"/>
              </w:rPr>
              <w:br/>
              <w:t>+2.2</w:t>
            </w:r>
          </w:p>
        </w:tc>
        <w:tc>
          <w:tcPr>
            <w:tcW w:w="274" w:type="pct"/>
          </w:tcPr>
          <w:p w:rsidR="003A1330" w:rsidRPr="00020C88" w:rsidRDefault="003A1330" w:rsidP="00F82F5E">
            <w:pPr>
              <w:pStyle w:val="TableParagraph"/>
              <w:spacing w:before="6"/>
              <w:ind w:left="106" w:right="102"/>
              <w:rPr>
                <w:rFonts w:asciiTheme="majorBidi" w:hAnsiTheme="majorBidi" w:cstheme="majorBidi"/>
                <w:sz w:val="18"/>
                <w:szCs w:val="18"/>
              </w:rPr>
            </w:pPr>
            <w:r w:rsidRPr="00020C88">
              <w:rPr>
                <w:rFonts w:asciiTheme="majorBidi" w:hAnsiTheme="majorBidi" w:cstheme="majorBidi"/>
                <w:sz w:val="18"/>
                <w:szCs w:val="18"/>
              </w:rPr>
              <w:t>395</w:t>
            </w:r>
          </w:p>
        </w:tc>
        <w:tc>
          <w:tcPr>
            <w:tcW w:w="213" w:type="pct"/>
          </w:tcPr>
          <w:p w:rsidR="003A1330" w:rsidRPr="00020C88" w:rsidRDefault="003A1330" w:rsidP="00F82F5E">
            <w:pPr>
              <w:pStyle w:val="TableParagraph"/>
              <w:spacing w:before="6"/>
              <w:ind w:left="-15" w:right="16"/>
              <w:rPr>
                <w:rFonts w:asciiTheme="majorBidi" w:hAnsiTheme="majorBidi" w:cstheme="majorBidi"/>
                <w:sz w:val="18"/>
                <w:szCs w:val="18"/>
              </w:rPr>
            </w:pPr>
            <w:r w:rsidRPr="00020C88">
              <w:rPr>
                <w:rFonts w:asciiTheme="majorBidi" w:hAnsiTheme="majorBidi" w:cstheme="majorBidi"/>
                <w:sz w:val="18"/>
                <w:szCs w:val="18"/>
              </w:rPr>
              <w:t>0</w:t>
            </w:r>
          </w:p>
        </w:tc>
        <w:tc>
          <w:tcPr>
            <w:tcW w:w="197" w:type="pct"/>
          </w:tcPr>
          <w:p w:rsidR="003A1330" w:rsidRPr="00A9766C" w:rsidRDefault="003A1330" w:rsidP="00F82F5E">
            <w:pPr>
              <w:pStyle w:val="TableParagraph"/>
              <w:spacing w:before="6"/>
              <w:rPr>
                <w:rFonts w:asciiTheme="majorBidi" w:hAnsiTheme="majorBidi" w:cstheme="majorBidi"/>
                <w:sz w:val="18"/>
                <w:szCs w:val="18"/>
              </w:rPr>
            </w:pPr>
            <w:r w:rsidRPr="00A9766C">
              <w:rPr>
                <w:rFonts w:asciiTheme="majorBidi" w:hAnsiTheme="majorBidi" w:cstheme="majorBidi"/>
                <w:bCs/>
                <w:sz w:val="18"/>
                <w:szCs w:val="18"/>
              </w:rPr>
              <w:t>E0</w:t>
            </w:r>
          </w:p>
        </w:tc>
        <w:tc>
          <w:tcPr>
            <w:tcW w:w="432" w:type="pct"/>
          </w:tcPr>
          <w:p w:rsidR="003A1330" w:rsidRPr="00A9766C" w:rsidRDefault="003A1330" w:rsidP="00F82F5E">
            <w:pPr>
              <w:pStyle w:val="TableParagraph"/>
              <w:spacing w:before="6"/>
              <w:ind w:left="141" w:right="141"/>
              <w:rPr>
                <w:rFonts w:asciiTheme="majorBidi" w:hAnsiTheme="majorBidi" w:cstheme="majorBidi"/>
                <w:sz w:val="18"/>
                <w:szCs w:val="18"/>
                <w:lang w:val="en-GB"/>
              </w:rPr>
            </w:pPr>
          </w:p>
        </w:tc>
        <w:tc>
          <w:tcPr>
            <w:tcW w:w="165" w:type="pct"/>
          </w:tcPr>
          <w:p w:rsidR="003A1330" w:rsidRPr="00A9766C" w:rsidRDefault="003A1330" w:rsidP="00F82F5E">
            <w:pPr>
              <w:pStyle w:val="TableParagraph"/>
              <w:spacing w:before="6"/>
              <w:ind w:right="226"/>
              <w:jc w:val="right"/>
              <w:rPr>
                <w:rFonts w:asciiTheme="majorBidi" w:hAnsiTheme="majorBidi" w:cstheme="majorBidi"/>
                <w:b/>
                <w:sz w:val="18"/>
                <w:szCs w:val="18"/>
                <w:u w:val="single"/>
                <w:lang w:val="en-GB"/>
              </w:rPr>
            </w:pPr>
          </w:p>
        </w:tc>
        <w:tc>
          <w:tcPr>
            <w:tcW w:w="183" w:type="pct"/>
          </w:tcPr>
          <w:p w:rsidR="003A1330" w:rsidRPr="00A9766C" w:rsidRDefault="003A1330" w:rsidP="00F82F5E">
            <w:pPr>
              <w:pStyle w:val="TableParagraph"/>
              <w:spacing w:before="6"/>
              <w:ind w:left="7" w:right="8"/>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
                <w:sz w:val="18"/>
                <w:szCs w:val="18"/>
                <w:u w:val="single"/>
                <w:lang w:val="en-GB"/>
              </w:rPr>
            </w:pPr>
          </w:p>
        </w:tc>
        <w:tc>
          <w:tcPr>
            <w:tcW w:w="174" w:type="pct"/>
          </w:tcPr>
          <w:p w:rsidR="003A1330" w:rsidRPr="00A9766C" w:rsidRDefault="003A1330" w:rsidP="00F82F5E">
            <w:pPr>
              <w:pStyle w:val="TableParagraph"/>
              <w:spacing w:before="6"/>
              <w:ind w:left="213"/>
              <w:jc w:val="left"/>
              <w:rPr>
                <w:rFonts w:asciiTheme="majorBidi" w:hAnsiTheme="majorBidi" w:cstheme="majorBidi"/>
                <w:bCs/>
                <w:sz w:val="18"/>
                <w:szCs w:val="18"/>
                <w:lang w:val="en-GB"/>
              </w:rPr>
            </w:pPr>
            <w:r w:rsidRPr="00A9766C">
              <w:rPr>
                <w:rFonts w:asciiTheme="majorBidi" w:hAnsiTheme="majorBidi" w:cstheme="majorBidi"/>
                <w:bCs/>
                <w:sz w:val="18"/>
                <w:szCs w:val="18"/>
                <w:lang w:val="en-GB"/>
              </w:rPr>
              <w:t>]</w:t>
            </w:r>
          </w:p>
        </w:tc>
      </w:tr>
    </w:tbl>
    <w:p w:rsidR="003A1330" w:rsidRDefault="003A1330" w:rsidP="00CB3958">
      <w:pPr>
        <w:pStyle w:val="SingleTxtG"/>
        <w:tabs>
          <w:tab w:val="left" w:pos="2835"/>
        </w:tabs>
        <w:ind w:left="567" w:right="946"/>
        <w:rPr>
          <w:i/>
          <w:iCs/>
          <w:color w:val="548DD4" w:themeColor="text2" w:themeTint="99"/>
        </w:rPr>
      </w:pPr>
      <w:r w:rsidRPr="00917501">
        <w:rPr>
          <w:b/>
          <w:bCs/>
          <w:i/>
          <w:iCs/>
          <w:color w:val="548DD4" w:themeColor="text2" w:themeTint="99"/>
        </w:rPr>
        <w:t>Note by the secretariat:</w:t>
      </w:r>
      <w:r w:rsidRPr="00917501">
        <w:rPr>
          <w:i/>
          <w:iCs/>
          <w:color w:val="548DD4" w:themeColor="text2" w:themeTint="99"/>
        </w:rPr>
        <w:t xml:space="preserve"> Table A of ADN to be completed by the informal working group on substances</w:t>
      </w:r>
    </w:p>
    <w:p w:rsidR="00CB3958" w:rsidRDefault="00F13FDA" w:rsidP="00CB3958">
      <w:pPr>
        <w:pStyle w:val="SingleTxtG"/>
        <w:tabs>
          <w:tab w:val="left" w:pos="2835"/>
        </w:tabs>
        <w:ind w:left="567" w:right="946"/>
      </w:pPr>
      <w:r w:rsidRPr="00250409">
        <w:rPr>
          <w:b/>
          <w:bCs/>
          <w:i/>
          <w:iCs/>
          <w:color w:val="548DD4" w:themeColor="text2" w:themeTint="99"/>
        </w:rPr>
        <w:t>Conclusions f</w:t>
      </w:r>
      <w:r w:rsidR="00CB3958">
        <w:rPr>
          <w:b/>
          <w:bCs/>
          <w:i/>
          <w:iCs/>
          <w:color w:val="548DD4" w:themeColor="text2" w:themeTint="99"/>
        </w:rPr>
        <w:t>ro</w:t>
      </w:r>
      <w:r w:rsidRPr="00250409">
        <w:rPr>
          <w:b/>
          <w:bCs/>
          <w:i/>
          <w:iCs/>
          <w:color w:val="548DD4" w:themeColor="text2" w:themeTint="99"/>
        </w:rPr>
        <w:t>m the ad hoc Working Group</w:t>
      </w:r>
      <w:r>
        <w:t xml:space="preserve">: </w:t>
      </w:r>
    </w:p>
    <w:p w:rsidR="00F13FDA" w:rsidRPr="00CB3958" w:rsidRDefault="00F13FDA" w:rsidP="00CB3958">
      <w:pPr>
        <w:pStyle w:val="SingleTxtG"/>
        <w:tabs>
          <w:tab w:val="left" w:pos="1134"/>
        </w:tabs>
        <w:ind w:left="567" w:right="946"/>
        <w:rPr>
          <w:b/>
          <w:bCs/>
          <w:i/>
          <w:iCs/>
          <w:color w:val="548DD4" w:themeColor="text2" w:themeTint="99"/>
        </w:rPr>
      </w:pPr>
      <w:r w:rsidRPr="00CB3958">
        <w:rPr>
          <w:b/>
          <w:bCs/>
          <w:i/>
          <w:iCs/>
          <w:color w:val="548DD4" w:themeColor="text2" w:themeTint="99"/>
        </w:rPr>
        <w:t>UN No. 3549 in refrigerated liquid nitrogen</w:t>
      </w:r>
    </w:p>
    <w:p w:rsidR="00F13FDA" w:rsidRPr="00CB3958" w:rsidRDefault="00F13FDA" w:rsidP="00CB3958">
      <w:pPr>
        <w:pStyle w:val="SingleTxtG"/>
        <w:tabs>
          <w:tab w:val="left" w:pos="1134"/>
        </w:tabs>
        <w:ind w:left="567" w:right="946"/>
        <w:rPr>
          <w:i/>
          <w:iCs/>
          <w:color w:val="548DD4" w:themeColor="text2" w:themeTint="99"/>
        </w:rPr>
      </w:pPr>
      <w:r w:rsidRPr="00CB3958">
        <w:rPr>
          <w:i/>
          <w:iCs/>
          <w:color w:val="548DD4" w:themeColor="text2" w:themeTint="99"/>
        </w:rPr>
        <w:t>30.</w:t>
      </w:r>
      <w:r w:rsidRPr="00CB3958">
        <w:rPr>
          <w:i/>
          <w:iCs/>
          <w:color w:val="548DD4" w:themeColor="text2" w:themeTint="99"/>
        </w:rPr>
        <w:tab/>
        <w:t xml:space="preserve">Views were divided on the need for a specific entry for wastes of UN No. 3549 in refrigerated liquid nitrogen like that applicable to other infectious substances (UN Nos. 2814, 2900 and 3291). </w:t>
      </w:r>
    </w:p>
    <w:p w:rsidR="00F13FDA" w:rsidRPr="00CB3958" w:rsidRDefault="00F13FDA" w:rsidP="00CB3958">
      <w:pPr>
        <w:pStyle w:val="SingleTxtG"/>
        <w:tabs>
          <w:tab w:val="left" w:pos="1134"/>
        </w:tabs>
        <w:ind w:left="567" w:right="946"/>
        <w:rPr>
          <w:i/>
          <w:iCs/>
          <w:color w:val="548DD4" w:themeColor="text2" w:themeTint="99"/>
        </w:rPr>
      </w:pPr>
      <w:r w:rsidRPr="00CB3958">
        <w:rPr>
          <w:i/>
          <w:iCs/>
          <w:color w:val="548DD4" w:themeColor="text2" w:themeTint="99"/>
        </w:rPr>
        <w:t>31.</w:t>
      </w:r>
      <w:r w:rsidRPr="00CB3958">
        <w:rPr>
          <w:i/>
          <w:iCs/>
          <w:color w:val="548DD4" w:themeColor="text2" w:themeTint="99"/>
        </w:rPr>
        <w:tab/>
        <w:t xml:space="preserve">Some delegations considered that cooling was appropriate in the case of liquid wastes to avoid spillage or to prevent proliferation of bacteria but were not convinced that this was necessary in the case of solid wastes. Others pointed out that MP6 already allowed the use of a coolant and therefore felt that an additional entry to this end was not necessary. It was noted however, that even though MP6 was assigned to UN Nos. 2814, 2900 and 3291, an additional entry addressing carriage in refrigerated liquid nitrogen was available. Some others felt that if assignment of MP6 to the first entry was intended to allow coolants or conditioners other than refrigerated liquid nitrogen, prohibition to use the latter should be clearly indicated, and suggested to address it in a special provision. </w:t>
      </w:r>
    </w:p>
    <w:p w:rsidR="00F13FDA" w:rsidRPr="00CB3958" w:rsidRDefault="00F13FDA" w:rsidP="00CB3958">
      <w:pPr>
        <w:pStyle w:val="SingleTxtG"/>
        <w:tabs>
          <w:tab w:val="left" w:pos="1134"/>
        </w:tabs>
        <w:ind w:left="567" w:right="946"/>
        <w:rPr>
          <w:i/>
          <w:iCs/>
          <w:color w:val="548DD4" w:themeColor="text2" w:themeTint="99"/>
        </w:rPr>
      </w:pPr>
      <w:r w:rsidRPr="00CB3958">
        <w:rPr>
          <w:i/>
          <w:iCs/>
          <w:color w:val="548DD4" w:themeColor="text2" w:themeTint="99"/>
        </w:rPr>
        <w:t>32.</w:t>
      </w:r>
      <w:r w:rsidRPr="00CB3958">
        <w:rPr>
          <w:i/>
          <w:iCs/>
          <w:color w:val="548DD4" w:themeColor="text2" w:themeTint="99"/>
        </w:rPr>
        <w:tab/>
        <w:t>After an exchange of views, the Working Group agreed on the following two options:</w:t>
      </w:r>
    </w:p>
    <w:p w:rsidR="00F13FDA" w:rsidRPr="00CB3958" w:rsidRDefault="00F13FDA" w:rsidP="00CB3958">
      <w:pPr>
        <w:pStyle w:val="SingleTxtG"/>
        <w:tabs>
          <w:tab w:val="left" w:pos="1134"/>
        </w:tabs>
        <w:ind w:left="567" w:right="946"/>
        <w:rPr>
          <w:b/>
          <w:bCs/>
          <w:i/>
          <w:iCs/>
          <w:color w:val="548DD4" w:themeColor="text2" w:themeTint="99"/>
        </w:rPr>
      </w:pPr>
      <w:r w:rsidRPr="00CB3958">
        <w:rPr>
          <w:b/>
          <w:bCs/>
          <w:i/>
          <w:iCs/>
          <w:color w:val="548DD4" w:themeColor="text2" w:themeTint="99"/>
        </w:rPr>
        <w:tab/>
        <w:t xml:space="preserve">Option 1: </w:t>
      </w:r>
    </w:p>
    <w:p w:rsidR="00F13FDA" w:rsidRPr="00CB3958" w:rsidRDefault="00F13FDA" w:rsidP="00CB3958">
      <w:pPr>
        <w:pStyle w:val="SingleTxtG"/>
        <w:tabs>
          <w:tab w:val="left" w:pos="2835"/>
        </w:tabs>
        <w:ind w:left="567" w:right="946"/>
        <w:rPr>
          <w:i/>
          <w:iCs/>
          <w:color w:val="548DD4" w:themeColor="text2" w:themeTint="99"/>
        </w:rPr>
      </w:pPr>
      <w:r w:rsidRPr="00CB3958">
        <w:rPr>
          <w:i/>
          <w:iCs/>
          <w:color w:val="548DD4" w:themeColor="text2" w:themeTint="99"/>
        </w:rPr>
        <w:t>Keep only one entry, with MP6 assigned in column (9b), and a new special provision 6XX (“Refrigerated liquid nitrogen shall not be used as a coolant for substances under this entry.”)</w:t>
      </w:r>
    </w:p>
    <w:p w:rsidR="00F13FDA" w:rsidRPr="00CB3958" w:rsidRDefault="00F13FDA" w:rsidP="00CB3958">
      <w:pPr>
        <w:pStyle w:val="SingleTxtG"/>
        <w:tabs>
          <w:tab w:val="left" w:pos="1134"/>
        </w:tabs>
        <w:ind w:left="567" w:right="946"/>
        <w:rPr>
          <w:b/>
          <w:bCs/>
          <w:i/>
          <w:iCs/>
          <w:color w:val="548DD4" w:themeColor="text2" w:themeTint="99"/>
        </w:rPr>
      </w:pPr>
      <w:r w:rsidRPr="00CB3958">
        <w:rPr>
          <w:b/>
          <w:bCs/>
          <w:i/>
          <w:iCs/>
          <w:color w:val="548DD4" w:themeColor="text2" w:themeTint="99"/>
        </w:rPr>
        <w:tab/>
        <w:t>Option 2:</w:t>
      </w:r>
    </w:p>
    <w:p w:rsidR="00F13FDA" w:rsidRPr="00CB3958" w:rsidRDefault="00F13FDA" w:rsidP="00CB3958">
      <w:pPr>
        <w:pStyle w:val="SingleTxtG"/>
        <w:tabs>
          <w:tab w:val="left" w:pos="2835"/>
        </w:tabs>
        <w:ind w:left="567" w:right="946"/>
        <w:rPr>
          <w:i/>
          <w:iCs/>
          <w:color w:val="548DD4" w:themeColor="text2" w:themeTint="99"/>
        </w:rPr>
      </w:pPr>
      <w:r w:rsidRPr="00CB3958">
        <w:rPr>
          <w:i/>
          <w:iCs/>
          <w:color w:val="548DD4" w:themeColor="text2" w:themeTint="99"/>
        </w:rPr>
        <w:t xml:space="preserve">Keep two entries, as for UN Nos. 2814, 2900 and 3291, with MP6 and the new special provision 6XX assigned to the first entry, and MP2 only for the entry addressing carriage in refrigerated liquid nitrogen. </w:t>
      </w:r>
    </w:p>
    <w:p w:rsidR="00F13FDA" w:rsidRPr="00CB3958" w:rsidRDefault="00F13FDA" w:rsidP="00CB3958">
      <w:pPr>
        <w:pStyle w:val="SingleTxtG"/>
        <w:tabs>
          <w:tab w:val="left" w:pos="1134"/>
        </w:tabs>
        <w:ind w:left="567" w:right="946"/>
        <w:rPr>
          <w:i/>
          <w:iCs/>
          <w:color w:val="548DD4" w:themeColor="text2" w:themeTint="99"/>
        </w:rPr>
      </w:pPr>
      <w:r w:rsidRPr="00CB3958">
        <w:rPr>
          <w:i/>
          <w:iCs/>
          <w:color w:val="548DD4" w:themeColor="text2" w:themeTint="99"/>
        </w:rPr>
        <w:t>33.</w:t>
      </w:r>
      <w:r w:rsidRPr="00CB3958">
        <w:rPr>
          <w:i/>
          <w:iCs/>
          <w:color w:val="548DD4" w:themeColor="text2" w:themeTint="99"/>
        </w:rPr>
        <w:tab/>
        <w:t>The Working Group invites the Joint Meeting to take a decision on the most appropriate option and to consider whether a similar approach should be followed for UN Nos. 2814, 2900 and 3291.</w:t>
      </w:r>
    </w:p>
    <w:p w:rsidR="003A1330" w:rsidRPr="00C54F00" w:rsidRDefault="003A1330" w:rsidP="003A1330">
      <w:pPr>
        <w:pStyle w:val="SingleTxtG"/>
        <w:ind w:left="2259" w:hanging="1125"/>
      </w:pPr>
      <w:r w:rsidRPr="003B758F">
        <w:t>For UN Nos. 0340, 0341, 0342 and 0343, insert “393” in column (6).</w:t>
      </w:r>
    </w:p>
    <w:p w:rsidR="003A1330" w:rsidRDefault="003A1330" w:rsidP="003A1330">
      <w:pPr>
        <w:pStyle w:val="SingleTxtG"/>
        <w:ind w:left="2259" w:hanging="1125"/>
      </w:pPr>
      <w:r w:rsidRPr="003B758F">
        <w:t xml:space="preserve">For UN Nos. 1002, 1006, 1013, 1046, 1056, 1058, 1065, 1066, 1080, 1952, 1956, 2036, 3070, 3163, 3297, 3298 and 3299, in column (6), replace </w:t>
      </w:r>
      <w:r>
        <w:t>“</w:t>
      </w:r>
      <w:r w:rsidRPr="003B758F">
        <w:t>660</w:t>
      </w:r>
      <w:r>
        <w:t>”</w:t>
      </w:r>
      <w:r w:rsidRPr="003B758F">
        <w:t xml:space="preserve"> by “392”. </w:t>
      </w:r>
    </w:p>
    <w:p w:rsidR="003A1330" w:rsidRPr="00C54F00" w:rsidRDefault="003A1330" w:rsidP="003A1330">
      <w:pPr>
        <w:pStyle w:val="SingleTxtG"/>
        <w:ind w:left="2259" w:hanging="1125"/>
      </w:pPr>
      <w:r w:rsidRPr="00AD29D4">
        <w:rPr>
          <w:b/>
          <w:bCs/>
        </w:rPr>
        <w:t xml:space="preserve">(ADN:) </w:t>
      </w:r>
      <w:r w:rsidRPr="003B758F">
        <w:t xml:space="preserve">For UN </w:t>
      </w:r>
      <w:r w:rsidRPr="002F2CB7">
        <w:t>2037 (all entries)</w:t>
      </w:r>
      <w:r w:rsidRPr="002F2CB7">
        <w:tab/>
        <w:t>In</w:t>
      </w:r>
      <w:r w:rsidRPr="003B758F">
        <w:t xml:space="preserve"> column (6) insert “327”.</w:t>
      </w:r>
    </w:p>
    <w:p w:rsidR="003A1330" w:rsidRPr="00C54F00" w:rsidRDefault="003A1330" w:rsidP="003A1330">
      <w:pPr>
        <w:pStyle w:val="SingleTxtG"/>
        <w:ind w:left="2259" w:hanging="1125"/>
      </w:pPr>
      <w:r w:rsidRPr="003B758F">
        <w:t>For UN 2383, in column (6), delete “386”.</w:t>
      </w:r>
    </w:p>
    <w:p w:rsidR="003A1330" w:rsidRPr="003B758F" w:rsidRDefault="003A1330" w:rsidP="003A1330">
      <w:pPr>
        <w:pStyle w:val="SingleTxtG"/>
        <w:ind w:left="2259" w:hanging="1125"/>
      </w:pPr>
      <w:r w:rsidRPr="003B758F">
        <w:lastRenderedPageBreak/>
        <w:t>For UN 2522, in column (2), add “, STABILIZED” at the end and in column (6) add “386”.</w:t>
      </w:r>
    </w:p>
    <w:p w:rsidR="003A1330" w:rsidRDefault="003A1330" w:rsidP="003A1330">
      <w:pPr>
        <w:pStyle w:val="SingleTxtG"/>
        <w:ind w:left="2259" w:hanging="1125"/>
      </w:pPr>
      <w:r w:rsidRPr="003B758F">
        <w:t>For UN Nos. 2555, 2556, 2557 and 3380, insert “394” in column (6).</w:t>
      </w:r>
    </w:p>
    <w:p w:rsidR="003A1330" w:rsidRDefault="003A1330" w:rsidP="003A1330">
      <w:pPr>
        <w:pStyle w:val="SingleTxtG"/>
        <w:ind w:left="2259" w:hanging="1125"/>
      </w:pPr>
      <w:r>
        <w:t>For UN Nos. 2794, 2795, 2800 and 3028, delete “P801a” in column (8).</w:t>
      </w:r>
    </w:p>
    <w:p w:rsidR="003A1330" w:rsidRPr="00C54F00" w:rsidRDefault="003A1330" w:rsidP="003A1330">
      <w:pPr>
        <w:pStyle w:val="SingleTxtG"/>
        <w:ind w:left="2259" w:hanging="1125"/>
      </w:pPr>
      <w:r>
        <w:t>For UN 2800, add “P801” in column (8).</w:t>
      </w:r>
    </w:p>
    <w:p w:rsidR="003A1330" w:rsidRPr="00C54F00" w:rsidRDefault="003A1330" w:rsidP="003A1330">
      <w:pPr>
        <w:pStyle w:val="SingleTxtG"/>
        <w:ind w:left="2259" w:hanging="1125"/>
      </w:pPr>
      <w:r w:rsidRPr="003B758F">
        <w:t>For UN Nos. 3091 and 3481, insert “390” in column (6).</w:t>
      </w:r>
    </w:p>
    <w:p w:rsidR="003A1330" w:rsidRDefault="003A1330" w:rsidP="003A1330">
      <w:pPr>
        <w:pStyle w:val="SingleTxtG"/>
        <w:ind w:left="2259" w:hanging="1125"/>
      </w:pPr>
      <w:r w:rsidRPr="003B758F">
        <w:t>For UN 3291, in column (4), delete “II”. (twice)</w:t>
      </w:r>
    </w:p>
    <w:p w:rsidR="003A1330" w:rsidRPr="00F207D4" w:rsidRDefault="003A1330" w:rsidP="003A1330">
      <w:pPr>
        <w:pStyle w:val="SingleTxtG"/>
        <w:ind w:left="2259" w:hanging="1125"/>
      </w:pPr>
      <w:bookmarkStart w:id="20" w:name="_Hlk11158395"/>
      <w:r w:rsidRPr="00D5595B">
        <w:t>For UN No. 3325, delete the comma before “(LSA-III)” in column (2).</w:t>
      </w:r>
    </w:p>
    <w:bookmarkEnd w:id="20"/>
    <w:p w:rsidR="003A1330" w:rsidRPr="00C54F00" w:rsidRDefault="003A1330" w:rsidP="003A1330">
      <w:pPr>
        <w:pStyle w:val="SingleTxtG"/>
        <w:ind w:left="2259" w:hanging="1125"/>
      </w:pPr>
      <w:r w:rsidRPr="003B758F">
        <w:t>For UN 3363, in column (2), at the beginning of the description, add “DANGEROUS GOODS IN ARTICLES or”.</w:t>
      </w:r>
    </w:p>
    <w:p w:rsidR="003A1330" w:rsidRPr="00A11E49" w:rsidRDefault="003A1330" w:rsidP="003A1330">
      <w:pPr>
        <w:pStyle w:val="H1G"/>
      </w:pPr>
      <w:r w:rsidRPr="00A11E49">
        <w:tab/>
      </w:r>
      <w:r>
        <w:tab/>
      </w:r>
      <w:r w:rsidRPr="00A11E49">
        <w:t xml:space="preserve">Chapter 3.2, </w:t>
      </w:r>
      <w:r w:rsidR="003D5772">
        <w:t>T</w:t>
      </w:r>
      <w:r w:rsidRPr="00A11E49">
        <w:t>able B</w:t>
      </w:r>
    </w:p>
    <w:p w:rsidR="003A1330" w:rsidRPr="003B758F" w:rsidRDefault="003A1330" w:rsidP="003A1330">
      <w:pPr>
        <w:pStyle w:val="SingleTxtG"/>
        <w:ind w:left="2259" w:hanging="1125"/>
      </w:pPr>
      <w:r w:rsidRPr="003B758F">
        <w:t>Add the following new entries in alphabetical order:</w:t>
      </w:r>
    </w:p>
    <w:tbl>
      <w:tblPr>
        <w:tblStyle w:val="TableGrid"/>
        <w:tblW w:w="7861" w:type="dxa"/>
        <w:tblInd w:w="1134" w:type="dxa"/>
        <w:tblLayout w:type="fixed"/>
        <w:tblLook w:val="04A0" w:firstRow="1" w:lastRow="0" w:firstColumn="1" w:lastColumn="0" w:noHBand="0" w:noVBand="1"/>
      </w:tblPr>
      <w:tblGrid>
        <w:gridCol w:w="6241"/>
        <w:gridCol w:w="810"/>
        <w:gridCol w:w="810"/>
      </w:tblGrid>
      <w:tr w:rsidR="003A1330" w:rsidRPr="00B42AC0" w:rsidTr="00F82F5E">
        <w:tc>
          <w:tcPr>
            <w:tcW w:w="6241" w:type="dxa"/>
            <w:shd w:val="clear" w:color="auto" w:fill="auto"/>
          </w:tcPr>
          <w:p w:rsidR="003A1330" w:rsidRPr="003B758F" w:rsidRDefault="003A1330" w:rsidP="00F82F5E">
            <w:pPr>
              <w:suppressAutoHyphens w:val="0"/>
              <w:spacing w:before="40" w:after="40" w:line="220" w:lineRule="exact"/>
              <w:ind w:right="113"/>
            </w:pPr>
            <w:r w:rsidRPr="003B758F">
              <w:t>DANGEROUS GOODS IN ARTICLES</w:t>
            </w:r>
          </w:p>
        </w:tc>
        <w:tc>
          <w:tcPr>
            <w:tcW w:w="810" w:type="dxa"/>
            <w:shd w:val="clear" w:color="auto" w:fill="auto"/>
            <w:vAlign w:val="bottom"/>
          </w:tcPr>
          <w:p w:rsidR="003A1330" w:rsidRPr="003B758F" w:rsidRDefault="003A1330" w:rsidP="00F82F5E">
            <w:pPr>
              <w:suppressAutoHyphens w:val="0"/>
              <w:spacing w:before="40" w:after="40" w:line="220" w:lineRule="exact"/>
              <w:ind w:right="113"/>
              <w:jc w:val="center"/>
            </w:pPr>
            <w:r w:rsidRPr="003B758F">
              <w:t>3363</w:t>
            </w:r>
          </w:p>
        </w:tc>
        <w:tc>
          <w:tcPr>
            <w:tcW w:w="810" w:type="dxa"/>
            <w:vAlign w:val="bottom"/>
          </w:tcPr>
          <w:p w:rsidR="003A1330" w:rsidRPr="003B758F" w:rsidRDefault="003A1330" w:rsidP="00F82F5E">
            <w:pPr>
              <w:suppressAutoHyphens w:val="0"/>
              <w:spacing w:before="40" w:after="40" w:line="220" w:lineRule="exact"/>
              <w:ind w:right="113"/>
              <w:jc w:val="center"/>
            </w:pPr>
            <w:r w:rsidRPr="003B758F">
              <w:t>9</w:t>
            </w:r>
          </w:p>
        </w:tc>
      </w:tr>
      <w:tr w:rsidR="003A1330" w:rsidRPr="00B42AC0" w:rsidTr="00F82F5E">
        <w:tc>
          <w:tcPr>
            <w:tcW w:w="6241" w:type="dxa"/>
            <w:shd w:val="clear" w:color="auto" w:fill="auto"/>
          </w:tcPr>
          <w:p w:rsidR="003A1330" w:rsidRPr="003B758F" w:rsidRDefault="003A1330" w:rsidP="00F82F5E">
            <w:pPr>
              <w:suppressAutoHyphens w:val="0"/>
              <w:spacing w:before="40" w:after="40" w:line="220" w:lineRule="exact"/>
              <w:ind w:right="113"/>
            </w:pPr>
            <w:r w:rsidRPr="003B758F">
              <w:t>MEDICAL WASTE, CATEGORY A, AFFECTING HUMANS, solid</w:t>
            </w:r>
          </w:p>
        </w:tc>
        <w:tc>
          <w:tcPr>
            <w:tcW w:w="810" w:type="dxa"/>
            <w:shd w:val="clear" w:color="auto" w:fill="auto"/>
            <w:vAlign w:val="bottom"/>
          </w:tcPr>
          <w:p w:rsidR="003A1330" w:rsidRPr="003B758F" w:rsidRDefault="003A1330" w:rsidP="00F82F5E">
            <w:pPr>
              <w:suppressAutoHyphens w:val="0"/>
              <w:spacing w:before="40" w:after="40" w:line="220" w:lineRule="exact"/>
              <w:ind w:right="113"/>
              <w:jc w:val="center"/>
            </w:pPr>
            <w:r w:rsidRPr="003B758F">
              <w:t>3549</w:t>
            </w:r>
          </w:p>
        </w:tc>
        <w:tc>
          <w:tcPr>
            <w:tcW w:w="810" w:type="dxa"/>
            <w:vAlign w:val="bottom"/>
          </w:tcPr>
          <w:p w:rsidR="003A1330" w:rsidRPr="003B758F" w:rsidRDefault="003A1330" w:rsidP="00F82F5E">
            <w:pPr>
              <w:suppressAutoHyphens w:val="0"/>
              <w:spacing w:before="40" w:after="40" w:line="220" w:lineRule="exact"/>
              <w:ind w:right="113"/>
              <w:jc w:val="center"/>
            </w:pPr>
            <w:r w:rsidRPr="003B758F">
              <w:t>6.2</w:t>
            </w:r>
          </w:p>
        </w:tc>
      </w:tr>
      <w:tr w:rsidR="003A1330" w:rsidRPr="00B42AC0" w:rsidTr="00F82F5E">
        <w:tc>
          <w:tcPr>
            <w:tcW w:w="6241" w:type="dxa"/>
            <w:shd w:val="clear" w:color="auto" w:fill="auto"/>
          </w:tcPr>
          <w:p w:rsidR="003A1330" w:rsidRPr="003B758F" w:rsidRDefault="003A1330" w:rsidP="00F82F5E">
            <w:pPr>
              <w:suppressAutoHyphens w:val="0"/>
              <w:spacing w:before="40" w:after="40" w:line="220" w:lineRule="exact"/>
              <w:ind w:right="113"/>
            </w:pPr>
            <w:r w:rsidRPr="003B758F">
              <w:t>MEDICAL WASTE, CATEGORY A, AFFECTING ANIMALS only, solid</w:t>
            </w:r>
          </w:p>
        </w:tc>
        <w:tc>
          <w:tcPr>
            <w:tcW w:w="810" w:type="dxa"/>
            <w:shd w:val="clear" w:color="auto" w:fill="auto"/>
            <w:vAlign w:val="center"/>
          </w:tcPr>
          <w:p w:rsidR="003A1330" w:rsidRPr="003B758F" w:rsidRDefault="003A1330" w:rsidP="00F82F5E">
            <w:pPr>
              <w:suppressAutoHyphens w:val="0"/>
              <w:spacing w:before="40" w:after="40" w:line="220" w:lineRule="exact"/>
              <w:ind w:right="113"/>
              <w:jc w:val="center"/>
            </w:pPr>
            <w:r w:rsidRPr="003B758F">
              <w:t>3549</w:t>
            </w:r>
          </w:p>
        </w:tc>
        <w:tc>
          <w:tcPr>
            <w:tcW w:w="810" w:type="dxa"/>
            <w:vAlign w:val="center"/>
          </w:tcPr>
          <w:p w:rsidR="003A1330" w:rsidRPr="003B758F" w:rsidRDefault="003A1330" w:rsidP="00F82F5E">
            <w:pPr>
              <w:suppressAutoHyphens w:val="0"/>
              <w:spacing w:before="40" w:after="40" w:line="220" w:lineRule="exact"/>
              <w:ind w:right="113"/>
              <w:jc w:val="center"/>
            </w:pPr>
            <w:r w:rsidRPr="003B758F">
              <w:t>6.2</w:t>
            </w:r>
          </w:p>
        </w:tc>
      </w:tr>
      <w:tr w:rsidR="003A1330" w:rsidRPr="003B758F" w:rsidTr="00F82F5E">
        <w:tc>
          <w:tcPr>
            <w:tcW w:w="6241" w:type="dxa"/>
            <w:shd w:val="clear" w:color="auto" w:fill="auto"/>
          </w:tcPr>
          <w:p w:rsidR="003A1330" w:rsidRPr="003B758F" w:rsidRDefault="003A1330" w:rsidP="00F82F5E">
            <w:pPr>
              <w:suppressAutoHyphens w:val="0"/>
              <w:spacing w:before="40" w:after="40" w:line="220" w:lineRule="exact"/>
              <w:ind w:right="113"/>
            </w:pPr>
            <w:r w:rsidRPr="003B758F">
              <w:t>DETONATORS, ELECTRONIC programmable for blasting</w:t>
            </w:r>
          </w:p>
        </w:tc>
        <w:tc>
          <w:tcPr>
            <w:tcW w:w="810" w:type="dxa"/>
            <w:shd w:val="clear" w:color="auto" w:fill="auto"/>
            <w:vAlign w:val="center"/>
          </w:tcPr>
          <w:p w:rsidR="003A1330" w:rsidRPr="003B758F" w:rsidRDefault="003A1330" w:rsidP="00F82F5E">
            <w:pPr>
              <w:suppressAutoHyphens w:val="0"/>
              <w:spacing w:before="40" w:after="40" w:line="220" w:lineRule="exact"/>
              <w:ind w:right="113"/>
              <w:jc w:val="center"/>
            </w:pPr>
            <w:r w:rsidRPr="003B758F">
              <w:t>0511</w:t>
            </w:r>
            <w:r w:rsidRPr="003B758F">
              <w:br/>
              <w:t>0512</w:t>
            </w:r>
            <w:r w:rsidRPr="003B758F">
              <w:br/>
              <w:t>0513</w:t>
            </w:r>
          </w:p>
        </w:tc>
        <w:tc>
          <w:tcPr>
            <w:tcW w:w="810" w:type="dxa"/>
            <w:vAlign w:val="center"/>
          </w:tcPr>
          <w:p w:rsidR="003A1330" w:rsidRPr="003B758F" w:rsidRDefault="003A1330" w:rsidP="00F82F5E">
            <w:pPr>
              <w:suppressAutoHyphens w:val="0"/>
              <w:spacing w:before="40" w:after="40" w:line="220" w:lineRule="exact"/>
              <w:ind w:right="113"/>
              <w:jc w:val="center"/>
            </w:pPr>
            <w:r w:rsidRPr="003B758F">
              <w:t>1</w:t>
            </w:r>
            <w:r w:rsidRPr="003B758F">
              <w:br/>
              <w:t>1</w:t>
            </w:r>
            <w:r w:rsidRPr="003B758F">
              <w:br/>
              <w:t>1</w:t>
            </w:r>
          </w:p>
        </w:tc>
      </w:tr>
    </w:tbl>
    <w:p w:rsidR="003A1330" w:rsidRDefault="003A1330" w:rsidP="003A1330">
      <w:pPr>
        <w:pStyle w:val="SingleTxtG"/>
        <w:spacing w:before="120"/>
      </w:pPr>
      <w:r w:rsidRPr="00A11E49">
        <w:t>For entry “2-DIMETHYLAMINOETHYL-METHACRYLATE”, in column “Name and description”, add at the end “, STABILIZED”.</w:t>
      </w:r>
      <w:r w:rsidRPr="00EE7143">
        <w:t xml:space="preserve"> </w:t>
      </w:r>
    </w:p>
    <w:p w:rsidR="003A1330" w:rsidRPr="000610F3" w:rsidRDefault="003A1330" w:rsidP="003A1330">
      <w:pPr>
        <w:pStyle w:val="SingleTxtG"/>
        <w:spacing w:before="120"/>
      </w:pPr>
      <w:bookmarkStart w:id="21" w:name="_Hlk11158427"/>
      <w:r w:rsidRPr="000610F3">
        <w:t>For “RADIOACTIVE MATERIAL, LOW SPECIFIC ACTIVITY, (LSA-III), FISSILE”, in column “Name and description”, delete the comma before “(LSA-III)”.</w:t>
      </w:r>
    </w:p>
    <w:p w:rsidR="003A1330" w:rsidRPr="000610F3" w:rsidRDefault="003A1330" w:rsidP="003A1330">
      <w:pPr>
        <w:pStyle w:val="SingleTxtG"/>
        <w:spacing w:before="120"/>
      </w:pPr>
      <w:r w:rsidRPr="000610F3">
        <w:t>For “TRINITROCHLOROBENZENE WETTED with not less than 10% water, by mass”, in column “Name and description”, insert a comma before “WETTED”.</w:t>
      </w:r>
    </w:p>
    <w:p w:rsidR="003A1330" w:rsidRPr="00A11E49" w:rsidRDefault="003A1330" w:rsidP="003A1330">
      <w:pPr>
        <w:pStyle w:val="SingleTxtG"/>
        <w:spacing w:before="120"/>
      </w:pPr>
      <w:r w:rsidRPr="000610F3">
        <w:t>For “TRINITROPHENOL WETTED with not less than 10% water, by mass”, in column "Name and description", insert a comma before “WETTED”.</w:t>
      </w:r>
    </w:p>
    <w:bookmarkEnd w:id="21"/>
    <w:p w:rsidR="003A1330" w:rsidRPr="00E64F1C" w:rsidRDefault="003A1330" w:rsidP="003A1330">
      <w:pPr>
        <w:pStyle w:val="H1G"/>
      </w:pPr>
      <w:r w:rsidRPr="00E64F1C">
        <w:tab/>
      </w:r>
      <w:r w:rsidRPr="00E64F1C">
        <w:tab/>
        <w:t>Chapter 3.3</w:t>
      </w:r>
    </w:p>
    <w:p w:rsidR="003A1330" w:rsidRDefault="003A1330" w:rsidP="003A1330">
      <w:pPr>
        <w:pStyle w:val="SingleTxtG"/>
        <w:ind w:left="2259" w:hanging="1125"/>
      </w:pPr>
      <w:bookmarkStart w:id="22" w:name="_Hlk11158442"/>
      <w:r w:rsidRPr="000610F3">
        <w:t>SP 188</w:t>
      </w:r>
      <w:r w:rsidRPr="000610F3">
        <w:tab/>
        <w:t>In paragraphs (g) and (h), replace “when batteries” by “when cells or batteries”.</w:t>
      </w:r>
    </w:p>
    <w:p w:rsidR="003A1330" w:rsidRDefault="003A1330" w:rsidP="003A1330">
      <w:pPr>
        <w:pStyle w:val="SingleTxtG"/>
        <w:rPr>
          <w:i/>
          <w:iCs/>
        </w:rPr>
      </w:pPr>
      <w:r w:rsidRPr="00674F2F">
        <w:rPr>
          <w:i/>
          <w:iCs/>
        </w:rPr>
        <w:t xml:space="preserve">(Correction to the </w:t>
      </w:r>
      <w:r>
        <w:rPr>
          <w:i/>
          <w:iCs/>
        </w:rPr>
        <w:t>20th revised edition of the Model Regulations</w:t>
      </w:r>
      <w:r w:rsidRPr="00674F2F">
        <w:rPr>
          <w:i/>
          <w:iCs/>
        </w:rPr>
        <w:t>)</w:t>
      </w:r>
    </w:p>
    <w:bookmarkEnd w:id="22"/>
    <w:p w:rsidR="003A1330" w:rsidRDefault="003A1330" w:rsidP="003A1330">
      <w:pPr>
        <w:pStyle w:val="SingleTxtG"/>
        <w:ind w:left="2259" w:hanging="1125"/>
      </w:pPr>
      <w:r>
        <w:t>SP 237</w:t>
      </w:r>
      <w:r>
        <w:tab/>
        <w:t>Replace “Part III, sub-section 33.2.1” by “Part III, sub-section 33.2”.</w:t>
      </w:r>
    </w:p>
    <w:p w:rsidR="003A1330" w:rsidRDefault="003A1330" w:rsidP="003A1330">
      <w:pPr>
        <w:pStyle w:val="SingleTxtG"/>
        <w:ind w:left="2259" w:hanging="1125"/>
      </w:pPr>
      <w:r>
        <w:t>SP 241</w:t>
      </w:r>
      <w:r>
        <w:tab/>
        <w:t>Replace “Part III, sub-section 33.2.1.4” by “Part III, sub-section 33.2.4”.</w:t>
      </w:r>
    </w:p>
    <w:p w:rsidR="003A1330" w:rsidRPr="003B758F" w:rsidRDefault="003A1330" w:rsidP="003A1330">
      <w:pPr>
        <w:pStyle w:val="SingleTxtG"/>
        <w:ind w:left="2259" w:hanging="1125"/>
      </w:pPr>
      <w:r w:rsidRPr="003B758F">
        <w:t>SP 301</w:t>
      </w:r>
      <w:r w:rsidRPr="003B758F">
        <w:tab/>
        <w:t>In the first sentence, replace “applies to machinery or apparatus” by “applies to articles such as machinery, apparatus or devices”. In the first, second, third, fourth and fifth sentences and in the last sentence, replace “machinery or apparatus” or “machinery and apparatus” by “articles”.</w:t>
      </w:r>
      <w:r>
        <w:t xml:space="preserve"> In the fifth sentence, replace “contains” by “contain”.</w:t>
      </w:r>
    </w:p>
    <w:p w:rsidR="003A1330" w:rsidRPr="003B758F" w:rsidRDefault="003A1330" w:rsidP="003A1330">
      <w:pPr>
        <w:pStyle w:val="SingleTxtG"/>
        <w:ind w:left="2259" w:hanging="1125"/>
      </w:pPr>
      <w:r w:rsidRPr="003B758F">
        <w:t>SP 309</w:t>
      </w:r>
      <w:r w:rsidRPr="003B758F">
        <w:tab/>
        <w:t>In the last paragraph, replace “satisfactorily pass Tests 8(a), (b) and (c)” by “satisfy the criteria for classification as an ANE”.</w:t>
      </w:r>
    </w:p>
    <w:p w:rsidR="003A1330" w:rsidRPr="003B758F" w:rsidRDefault="003A1330" w:rsidP="003A1330">
      <w:pPr>
        <w:pStyle w:val="SingleTxtG"/>
        <w:ind w:left="2259" w:hanging="1125"/>
      </w:pPr>
      <w:r w:rsidRPr="003B758F">
        <w:lastRenderedPageBreak/>
        <w:t>SP 327</w:t>
      </w:r>
      <w:r w:rsidRPr="003B758F">
        <w:tab/>
        <w:t>In the first sentence, replace “Waste aerosols consigned” by “Waste aerosols and waste gas cartridges consigned” and “carried under this entry for” by “carried under UN No</w:t>
      </w:r>
      <w:r>
        <w:t>s</w:t>
      </w:r>
      <w:r w:rsidRPr="003B758F">
        <w:t>. 1950 or 2037, as appropriate, for”.</w:t>
      </w:r>
    </w:p>
    <w:p w:rsidR="003A1330" w:rsidRPr="003B758F" w:rsidRDefault="003A1330" w:rsidP="003A1330">
      <w:pPr>
        <w:pStyle w:val="SingleTxtG"/>
        <w:ind w:left="2259" w:hanging="1125"/>
      </w:pPr>
      <w:r>
        <w:tab/>
      </w:r>
      <w:r w:rsidRPr="003B758F">
        <w:t>After the third sentence insert the following new sentence: “Waste gas cartridges, other than those leaking or severely deformed, shall be packed in accordance with packing instruction P003 and special packing provisions PP17 and PP96 (ADN: of ADR), or packing instruction LP200 and special packing provision L2 (ADN: of ADR).”.</w:t>
      </w:r>
    </w:p>
    <w:p w:rsidR="003A1330" w:rsidRPr="003B758F" w:rsidRDefault="003A1330" w:rsidP="003A1330">
      <w:pPr>
        <w:pStyle w:val="SingleTxtG"/>
        <w:ind w:left="2259" w:hanging="1125"/>
      </w:pPr>
      <w:r>
        <w:tab/>
      </w:r>
      <w:r w:rsidRPr="003B758F">
        <w:t xml:space="preserve">In the next sentence, replace “aerosols shall be carried in salvage </w:t>
      </w:r>
      <w:proofErr w:type="spellStart"/>
      <w:r w:rsidRPr="003B758F">
        <w:t>packagings</w:t>
      </w:r>
      <w:proofErr w:type="spellEnd"/>
      <w:r w:rsidRPr="003B758F">
        <w:t xml:space="preserve">” by “aerosols and gas cartridges shall be carried in salvage pressure receptacles or salvage </w:t>
      </w:r>
      <w:proofErr w:type="spellStart"/>
      <w:r w:rsidRPr="003B758F">
        <w:t>packagings</w:t>
      </w:r>
      <w:proofErr w:type="spellEnd"/>
      <w:r w:rsidRPr="003B758F">
        <w:t>”.</w:t>
      </w:r>
    </w:p>
    <w:p w:rsidR="003A1330" w:rsidRPr="003B758F" w:rsidRDefault="003A1330" w:rsidP="003A1330">
      <w:pPr>
        <w:pStyle w:val="SingleTxtG"/>
        <w:ind w:left="2259" w:hanging="1125"/>
      </w:pPr>
      <w:r>
        <w:tab/>
      </w:r>
      <w:r w:rsidRPr="003B758F">
        <w:t>In the Note replace “Waste aerosols shall not” by “Waste aerosols and waste gas cartridges shall not”.</w:t>
      </w:r>
    </w:p>
    <w:p w:rsidR="003A1330" w:rsidRPr="003B758F" w:rsidRDefault="003A1330" w:rsidP="003A1330">
      <w:pPr>
        <w:pStyle w:val="SingleTxtG"/>
        <w:ind w:left="2259" w:hanging="1125"/>
      </w:pPr>
      <w:r>
        <w:tab/>
      </w:r>
      <w:r w:rsidRPr="003B758F">
        <w:t>Add the following new paragraph at the end:</w:t>
      </w:r>
    </w:p>
    <w:p w:rsidR="003A1330" w:rsidRPr="003B758F" w:rsidRDefault="003A1330" w:rsidP="003A1330">
      <w:pPr>
        <w:pStyle w:val="SingleTxtG"/>
        <w:ind w:left="2259"/>
      </w:pPr>
      <w:r w:rsidRPr="003B758F">
        <w:t>“</w:t>
      </w:r>
      <w:bookmarkStart w:id="23" w:name="_Hlk2326726"/>
      <w:r w:rsidRPr="003B758F">
        <w:t>Waste gas cartridges that were filled with non-flammable, non-toxic gases of Class 2, group A or O and have been pierced are not subject to RID/ADR/ADN.</w:t>
      </w:r>
      <w:bookmarkEnd w:id="23"/>
      <w:r w:rsidRPr="003B758F">
        <w:t>”</w:t>
      </w:r>
    </w:p>
    <w:p w:rsidR="003A1330" w:rsidRDefault="003A1330" w:rsidP="003A1330">
      <w:pPr>
        <w:pStyle w:val="SingleTxtG"/>
        <w:ind w:left="2259" w:hanging="1125"/>
      </w:pPr>
      <w:r w:rsidRPr="000610F3">
        <w:rPr>
          <w:b/>
          <w:bCs/>
        </w:rPr>
        <w:t>(ADR/ADN:)</w:t>
      </w:r>
      <w:r w:rsidRPr="000610F3">
        <w:t xml:space="preserve"> SP 356</w:t>
      </w:r>
    </w:p>
    <w:p w:rsidR="003A1330" w:rsidRPr="000610F3" w:rsidRDefault="003A1330" w:rsidP="003A1330">
      <w:pPr>
        <w:pStyle w:val="SingleTxtG"/>
        <w:ind w:left="2259" w:hanging="1125"/>
      </w:pPr>
      <w:r w:rsidRPr="000610F3">
        <w:tab/>
        <w:t>After “in vehicles, wagons, vessels” add “, machinery, engines”.</w:t>
      </w:r>
    </w:p>
    <w:p w:rsidR="003A1330" w:rsidRPr="000610F3" w:rsidRDefault="003A1330" w:rsidP="003A1330">
      <w:pPr>
        <w:pStyle w:val="SingleTxtG"/>
        <w:ind w:left="2259" w:hanging="1125"/>
      </w:pPr>
      <w:r w:rsidRPr="000610F3">
        <w:t xml:space="preserve">SP 360 </w:t>
      </w:r>
      <w:r w:rsidRPr="000610F3">
        <w:tab/>
        <w:t xml:space="preserve">Replace “classified under” by “assigned to” and add the following sentence at the end: </w:t>
      </w:r>
    </w:p>
    <w:p w:rsidR="003A1330" w:rsidRPr="00546342" w:rsidRDefault="003A1330" w:rsidP="003A1330">
      <w:pPr>
        <w:pStyle w:val="SingleTxtG"/>
        <w:ind w:left="2259" w:hanging="1125"/>
      </w:pPr>
      <w:r w:rsidRPr="000610F3">
        <w:tab/>
        <w:t>“</w:t>
      </w:r>
      <w:bookmarkStart w:id="24" w:name="_Hlk2326874"/>
      <w:r w:rsidRPr="000610F3">
        <w:t xml:space="preserve">Lithium batteries installed in cargo transport units, designed only to provide power external to the transport unit shall be assigned to entry [UN 3536 LITHIUM BATTERIES INSTALLED IN CARGO TRANSPORT UNIT </w:t>
      </w:r>
      <w:bookmarkStart w:id="25" w:name="_Hlk11158475"/>
      <w:r w:rsidRPr="000610F3">
        <w:t>lithium ion batteries or lithium metal batteries</w:t>
      </w:r>
      <w:bookmarkEnd w:id="25"/>
      <w:r w:rsidRPr="00691310">
        <w:t>]</w:t>
      </w:r>
      <w:r w:rsidRPr="000610F3">
        <w:t>.</w:t>
      </w:r>
      <w:bookmarkEnd w:id="24"/>
      <w:r w:rsidRPr="000610F3">
        <w:t>”.</w:t>
      </w:r>
    </w:p>
    <w:p w:rsidR="003A1330" w:rsidRPr="003B758F" w:rsidRDefault="003A1330" w:rsidP="003A1330">
      <w:pPr>
        <w:pStyle w:val="SingleTxtG"/>
        <w:ind w:left="2259" w:hanging="1125"/>
      </w:pPr>
      <w:r w:rsidRPr="003B758F">
        <w:t>SP 370</w:t>
      </w:r>
      <w:r w:rsidRPr="003B758F">
        <w:tab/>
        <w:t>Amend the first sentence to read as follows: “This entry only applies to ammonium nitrate that meets one of the following criteria:” and at the end of the first indent, replace “and” by “or”.</w:t>
      </w:r>
    </w:p>
    <w:p w:rsidR="003A1330" w:rsidRPr="003B758F" w:rsidRDefault="003A1330" w:rsidP="003A1330">
      <w:pPr>
        <w:pStyle w:val="SingleTxtG"/>
        <w:ind w:left="2259" w:hanging="1125"/>
      </w:pPr>
      <w:r>
        <w:tab/>
      </w:r>
      <w:r w:rsidRPr="003B758F">
        <w:t>Add the following new paragraph at the end, after the indents:</w:t>
      </w:r>
    </w:p>
    <w:p w:rsidR="003A1330" w:rsidRDefault="003A1330" w:rsidP="003A1330">
      <w:pPr>
        <w:pStyle w:val="SingleTxtG"/>
        <w:ind w:left="2259" w:hanging="1125"/>
      </w:pPr>
      <w:r>
        <w:tab/>
      </w:r>
      <w:r w:rsidRPr="003B758F">
        <w:t>“This entry shall not be used for ammonium nitrate for which a proper shipping name already exists in Table A of Chapter 3.2 including ammonium nitrate mixed with fuel oil (ANFO) or any of the commercial grades of ammonium nitrate.”</w:t>
      </w:r>
      <w:r>
        <w:t>.</w:t>
      </w:r>
    </w:p>
    <w:p w:rsidR="003A1330" w:rsidRPr="003B758F" w:rsidRDefault="003A1330" w:rsidP="003A1330">
      <w:pPr>
        <w:pStyle w:val="SingleTxtG"/>
        <w:ind w:left="2259" w:hanging="1125"/>
      </w:pPr>
      <w:r>
        <w:tab/>
        <w:t>Number the first indent as (a) and the second indent as (b).</w:t>
      </w:r>
    </w:p>
    <w:p w:rsidR="003A1330" w:rsidRPr="003B758F" w:rsidRDefault="003A1330" w:rsidP="003A1330">
      <w:pPr>
        <w:pStyle w:val="SingleTxtG"/>
        <w:ind w:left="2259" w:hanging="1125"/>
      </w:pPr>
      <w:r w:rsidRPr="003B758F">
        <w:t xml:space="preserve">SP 376 </w:t>
      </w:r>
      <w:r w:rsidRPr="003B758F">
        <w:tab/>
        <w:t>Amend the Note to read as follows:</w:t>
      </w:r>
    </w:p>
    <w:p w:rsidR="003A1330" w:rsidRPr="003B758F" w:rsidRDefault="003A1330" w:rsidP="003A1330">
      <w:pPr>
        <w:pStyle w:val="SingleTxtG"/>
        <w:ind w:left="2259" w:hanging="1125"/>
        <w:rPr>
          <w:i/>
          <w:iCs/>
        </w:rPr>
      </w:pPr>
      <w:bookmarkStart w:id="26" w:name="_Hlk518007155"/>
      <w:r>
        <w:tab/>
      </w:r>
      <w:r w:rsidRPr="003B758F">
        <w:t>“</w:t>
      </w:r>
      <w:r w:rsidRPr="003B758F">
        <w:rPr>
          <w:b/>
          <w:i/>
          <w:iCs/>
        </w:rPr>
        <w:t xml:space="preserve">NOTE: </w:t>
      </w:r>
      <w:r w:rsidRPr="003B758F">
        <w:rPr>
          <w:i/>
          <w:iCs/>
        </w:rPr>
        <w:t xml:space="preserve">In assessing a cell or battery as damaged or defective, </w:t>
      </w:r>
      <w:bookmarkEnd w:id="26"/>
      <w:r w:rsidRPr="003B758F">
        <w:rPr>
          <w:i/>
          <w:iCs/>
        </w:rPr>
        <w:t>an assessment or evaluation shall be performed based on safety criteria from the cell, battery or product manufacturer or by a technical expert with knowledge of the cell’s or battery’s safety features. An assessment or evaluation may include, but is not limited to, the following criteria:</w:t>
      </w:r>
    </w:p>
    <w:p w:rsidR="003A1330" w:rsidRPr="003B758F" w:rsidRDefault="003A1330" w:rsidP="003A1330">
      <w:pPr>
        <w:pStyle w:val="SingleTxtG"/>
        <w:ind w:left="2835" w:hanging="576"/>
        <w:rPr>
          <w:i/>
          <w:iCs/>
        </w:rPr>
      </w:pPr>
      <w:r w:rsidRPr="003B758F">
        <w:rPr>
          <w:i/>
          <w:iCs/>
        </w:rPr>
        <w:t>(a)</w:t>
      </w:r>
      <w:r w:rsidRPr="003B758F">
        <w:rPr>
          <w:i/>
          <w:iCs/>
        </w:rPr>
        <w:tab/>
        <w:t>Acute hazard, such as gas, fire, or electrolyte leaking;</w:t>
      </w:r>
    </w:p>
    <w:p w:rsidR="003A1330" w:rsidRPr="003B758F" w:rsidRDefault="003A1330" w:rsidP="003A1330">
      <w:pPr>
        <w:pStyle w:val="SingleTxtG"/>
        <w:ind w:left="2835" w:hanging="576"/>
        <w:rPr>
          <w:i/>
          <w:iCs/>
        </w:rPr>
      </w:pPr>
      <w:r w:rsidRPr="003B758F">
        <w:rPr>
          <w:i/>
          <w:iCs/>
        </w:rPr>
        <w:t>(b)</w:t>
      </w:r>
      <w:r w:rsidRPr="003B758F">
        <w:rPr>
          <w:i/>
          <w:iCs/>
        </w:rPr>
        <w:tab/>
        <w:t>The use or misuse of the cell or battery;</w:t>
      </w:r>
    </w:p>
    <w:p w:rsidR="003A1330" w:rsidRPr="003B758F" w:rsidRDefault="003A1330" w:rsidP="003A1330">
      <w:pPr>
        <w:pStyle w:val="SingleTxtG"/>
        <w:ind w:left="2835" w:hanging="576"/>
        <w:rPr>
          <w:i/>
          <w:iCs/>
        </w:rPr>
      </w:pPr>
      <w:r w:rsidRPr="003B758F">
        <w:rPr>
          <w:i/>
          <w:iCs/>
        </w:rPr>
        <w:t>(c)</w:t>
      </w:r>
      <w:r w:rsidRPr="003B758F">
        <w:rPr>
          <w:i/>
          <w:iCs/>
        </w:rPr>
        <w:tab/>
        <w:t>Signs of physical damage, such as deformation to cell or battery casing, or colours on the casing;</w:t>
      </w:r>
    </w:p>
    <w:p w:rsidR="003A1330" w:rsidRPr="003B758F" w:rsidRDefault="003A1330" w:rsidP="003A1330">
      <w:pPr>
        <w:pStyle w:val="SingleTxtG"/>
        <w:ind w:left="2835" w:hanging="576"/>
        <w:rPr>
          <w:i/>
          <w:iCs/>
        </w:rPr>
      </w:pPr>
      <w:r w:rsidRPr="003B758F">
        <w:rPr>
          <w:i/>
          <w:iCs/>
        </w:rPr>
        <w:t>(d)</w:t>
      </w:r>
      <w:r w:rsidRPr="003B758F">
        <w:rPr>
          <w:i/>
          <w:iCs/>
        </w:rPr>
        <w:tab/>
        <w:t>External and internal short circuit protection, such as voltage or isolation measures;</w:t>
      </w:r>
    </w:p>
    <w:p w:rsidR="003A1330" w:rsidRPr="003B758F" w:rsidRDefault="003A1330" w:rsidP="003A1330">
      <w:pPr>
        <w:pStyle w:val="SingleTxtG"/>
        <w:ind w:left="2835" w:hanging="576"/>
        <w:rPr>
          <w:i/>
          <w:iCs/>
        </w:rPr>
      </w:pPr>
      <w:r w:rsidRPr="003B758F">
        <w:rPr>
          <w:i/>
          <w:iCs/>
        </w:rPr>
        <w:t>(e)</w:t>
      </w:r>
      <w:r w:rsidRPr="003B758F">
        <w:rPr>
          <w:i/>
          <w:iCs/>
        </w:rPr>
        <w:tab/>
        <w:t>The condition of the cell or battery safety features; or</w:t>
      </w:r>
    </w:p>
    <w:p w:rsidR="003A1330" w:rsidRPr="003B758F" w:rsidRDefault="003A1330" w:rsidP="003A1330">
      <w:pPr>
        <w:pStyle w:val="SingleTxtG"/>
        <w:ind w:left="2835" w:hanging="576"/>
        <w:rPr>
          <w:i/>
          <w:iCs/>
          <w:u w:val="single"/>
        </w:rPr>
      </w:pPr>
      <w:r w:rsidRPr="003B758F">
        <w:rPr>
          <w:i/>
          <w:iCs/>
        </w:rPr>
        <w:lastRenderedPageBreak/>
        <w:t>(f)</w:t>
      </w:r>
      <w:r w:rsidRPr="003B758F">
        <w:rPr>
          <w:i/>
          <w:iCs/>
        </w:rPr>
        <w:tab/>
        <w:t>Damage to any internal safety components, such as the battery management system.</w:t>
      </w:r>
      <w:r w:rsidRPr="003B758F">
        <w:t>”.</w:t>
      </w:r>
    </w:p>
    <w:p w:rsidR="003A1330" w:rsidRDefault="003A1330" w:rsidP="003A1330">
      <w:pPr>
        <w:pStyle w:val="SingleTxtG"/>
        <w:ind w:left="2259" w:hanging="1125"/>
        <w:rPr>
          <w:bCs/>
        </w:rPr>
      </w:pPr>
      <w:r w:rsidRPr="003B758F">
        <w:rPr>
          <w:bCs/>
        </w:rPr>
        <w:t>SP 379 (d) (</w:t>
      </w:r>
      <w:proofErr w:type="spellStart"/>
      <w:r w:rsidRPr="003B758F">
        <w:rPr>
          <w:bCs/>
        </w:rPr>
        <w:t>i</w:t>
      </w:r>
      <w:proofErr w:type="spellEnd"/>
      <w:r w:rsidRPr="003B758F">
        <w:rPr>
          <w:bCs/>
        </w:rPr>
        <w:t>)</w:t>
      </w:r>
    </w:p>
    <w:p w:rsidR="003A1330" w:rsidRPr="003B758F" w:rsidRDefault="003A1330" w:rsidP="003A1330">
      <w:pPr>
        <w:pStyle w:val="SingleTxtG"/>
        <w:ind w:left="2259" w:hanging="1125"/>
        <w:rPr>
          <w:bCs/>
        </w:rPr>
      </w:pPr>
      <w:r w:rsidRPr="003B758F">
        <w:rPr>
          <w:bCs/>
        </w:rPr>
        <w:tab/>
      </w:r>
      <w:r>
        <w:rPr>
          <w:bCs/>
        </w:rPr>
        <w:t xml:space="preserve"> </w:t>
      </w:r>
      <w:r w:rsidRPr="003B758F">
        <w:t>Replace “ISO 11114-1:2012” by “ISO 11114-1:2012 + A1:2017”.</w:t>
      </w:r>
    </w:p>
    <w:p w:rsidR="003A1330" w:rsidRPr="003B758F" w:rsidRDefault="003A1330" w:rsidP="003A1330">
      <w:pPr>
        <w:pStyle w:val="SingleTxtG"/>
        <w:ind w:left="2259" w:hanging="1125"/>
        <w:rPr>
          <w:bCs/>
        </w:rPr>
      </w:pPr>
      <w:r w:rsidRPr="003B758F">
        <w:rPr>
          <w:bCs/>
        </w:rPr>
        <w:t>SP 388</w:t>
      </w:r>
      <w:r w:rsidRPr="003B758F">
        <w:rPr>
          <w:bCs/>
        </w:rPr>
        <w:tab/>
        <w:t>At the end of the seventh paragraph, add the following sentence:</w:t>
      </w:r>
    </w:p>
    <w:p w:rsidR="003A1330" w:rsidRDefault="003A1330" w:rsidP="003A1330">
      <w:pPr>
        <w:pStyle w:val="SingleTxtG"/>
        <w:ind w:left="2259" w:hanging="1125"/>
      </w:pPr>
      <w:r>
        <w:tab/>
      </w:r>
      <w:r w:rsidRPr="003B758F">
        <w:t>“</w:t>
      </w:r>
      <w:bookmarkStart w:id="27" w:name="_Hlk2327998"/>
      <w:r w:rsidRPr="003B758F">
        <w:t xml:space="preserve">Lithium ion batteries or lithium metal batteries installed in a cargo transport unit and designed only to provide power external to the cargo transport unit shall be assigned to the entry UN 3536 </w:t>
      </w:r>
      <w:r>
        <w:rPr>
          <w:bCs/>
        </w:rPr>
        <w:t>[</w:t>
      </w:r>
      <w:r w:rsidRPr="003B758F">
        <w:t>LITHIUM BATTERIES INSTALLED IN CARGO TRANSPORT UNIT lithium ion batteries or lithium metal batteries</w:t>
      </w:r>
      <w:bookmarkEnd w:id="27"/>
      <w:r>
        <w:t>]</w:t>
      </w:r>
      <w:r w:rsidRPr="003B758F">
        <w:t>.”</w:t>
      </w:r>
    </w:p>
    <w:p w:rsidR="003A1330" w:rsidRPr="00C54F00" w:rsidRDefault="003A1330" w:rsidP="003A1330">
      <w:pPr>
        <w:pStyle w:val="SingleTxtG"/>
        <w:ind w:left="2259" w:hanging="1125"/>
      </w:pPr>
      <w:r w:rsidRPr="003B758F">
        <w:t>SP 660</w:t>
      </w:r>
      <w:r w:rsidRPr="003B758F">
        <w:tab/>
      </w:r>
      <w:r>
        <w:t>Delete and insert “660</w:t>
      </w:r>
      <w:r>
        <w:tab/>
      </w:r>
      <w:r w:rsidRPr="00F64E89">
        <w:rPr>
          <w:i/>
        </w:rPr>
        <w:t>(Deleted)</w:t>
      </w:r>
      <w:r>
        <w:t>”</w:t>
      </w:r>
      <w:r w:rsidRPr="003B758F">
        <w:t>.</w:t>
      </w:r>
    </w:p>
    <w:p w:rsidR="003A1330" w:rsidRPr="003B758F" w:rsidRDefault="003A1330" w:rsidP="003A1330">
      <w:pPr>
        <w:pStyle w:val="SingleTxtG"/>
        <w:ind w:left="2259" w:hanging="1125"/>
      </w:pPr>
      <w:r w:rsidRPr="003B758F">
        <w:t>Add the following new special provisions:</w:t>
      </w:r>
    </w:p>
    <w:p w:rsidR="003A1330" w:rsidRPr="003B758F" w:rsidRDefault="003A1330" w:rsidP="003A1330">
      <w:pPr>
        <w:pStyle w:val="SingleTxtG"/>
        <w:ind w:left="2259" w:hanging="1125"/>
      </w:pPr>
      <w:r w:rsidRPr="003B758F">
        <w:t>“</w:t>
      </w:r>
      <w:bookmarkStart w:id="28" w:name="_Hlk2328048"/>
      <w:r w:rsidRPr="003B758F">
        <w:t>390</w:t>
      </w:r>
      <w:r w:rsidRPr="003B758F">
        <w:tab/>
        <w:t>When a package contains a combination of lithium batteries contained in equipment and lithium batteries packed with equipment, the following requirements apply for the purposes of package marking and documentation:</w:t>
      </w:r>
    </w:p>
    <w:p w:rsidR="003A1330" w:rsidRDefault="003A1330" w:rsidP="003A1330">
      <w:pPr>
        <w:pStyle w:val="SingleTxtG"/>
        <w:ind w:left="2835" w:hanging="576"/>
      </w:pPr>
      <w:r>
        <w:t>(a)</w:t>
      </w:r>
      <w:r>
        <w:tab/>
      </w:r>
      <w:r w:rsidRPr="003B758F">
        <w:t>the package shall be marked “UN 3091” or “UN 3481”,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rsidR="003A1330" w:rsidRPr="003B758F" w:rsidRDefault="003A1330" w:rsidP="003A1330">
      <w:pPr>
        <w:pStyle w:val="SingleTxtG"/>
        <w:ind w:left="2835" w:hanging="576"/>
      </w:pPr>
      <w:r w:rsidRPr="003B758F">
        <w:t>(b)</w:t>
      </w:r>
      <w:r w:rsidRPr="003B758F">
        <w:tab/>
        <w:t xml:space="preserve">the transport document shall indicate “UN 3091 </w:t>
      </w:r>
      <w:r w:rsidRPr="00F64E89">
        <w:rPr>
          <w:caps/>
        </w:rPr>
        <w:t>Lithium metal batteries packed with equipment</w:t>
      </w:r>
      <w:r w:rsidRPr="003B758F">
        <w:t xml:space="preserve">” or “UN 3481 </w:t>
      </w:r>
      <w:r w:rsidRPr="00F64E89">
        <w:rPr>
          <w:caps/>
        </w:rPr>
        <w:t>Lithium ion batteries packed with equipment</w:t>
      </w:r>
      <w:r w:rsidRPr="003B758F">
        <w:t xml:space="preserve">”, as appropriate. If a package contains both lithium metal batteries and lithium ion batteries packed with and contained in equipment, then the transport document shall indicate both “UN 3091 </w:t>
      </w:r>
      <w:r w:rsidRPr="00F64E89">
        <w:rPr>
          <w:caps/>
        </w:rPr>
        <w:t>Lithium metal batteries packed with equipment</w:t>
      </w:r>
      <w:r w:rsidRPr="003B758F">
        <w:t xml:space="preserve">” and “UN 3481 </w:t>
      </w:r>
      <w:r w:rsidRPr="00F64E89">
        <w:rPr>
          <w:caps/>
        </w:rPr>
        <w:t>Lithium ion batteries packed with equipment</w:t>
      </w:r>
      <w:bookmarkEnd w:id="28"/>
      <w:r w:rsidRPr="003B758F">
        <w:t>”</w:t>
      </w:r>
      <w:r>
        <w:t>.”.</w:t>
      </w:r>
    </w:p>
    <w:p w:rsidR="003A1330" w:rsidRPr="000610F3" w:rsidRDefault="003A1330" w:rsidP="003A1330">
      <w:pPr>
        <w:pStyle w:val="SingleTxtG"/>
        <w:ind w:left="2259" w:hanging="1125"/>
      </w:pPr>
      <w:r w:rsidRPr="000610F3">
        <w:t>[“</w:t>
      </w:r>
      <w:bookmarkStart w:id="29" w:name="_Hlk2328101"/>
      <w:r w:rsidRPr="000610F3">
        <w:t>393</w:t>
      </w:r>
      <w:r w:rsidRPr="000610F3">
        <w:tab/>
        <w:t>The nitrocellulose shall meet the criteria of the Bergmann-Junk test or methyl violet paper test in the Manual of Tests and Criteria Appendix 10. Tests of type 3 (c) need not be applied.”</w:t>
      </w:r>
    </w:p>
    <w:p w:rsidR="003A1330" w:rsidRPr="003B758F" w:rsidRDefault="003A1330" w:rsidP="003A1330">
      <w:pPr>
        <w:pStyle w:val="SingleTxtG"/>
        <w:ind w:left="2259" w:hanging="1125"/>
      </w:pPr>
      <w:r w:rsidRPr="000610F3">
        <w:t>“394</w:t>
      </w:r>
      <w:r w:rsidRPr="000610F3">
        <w:tab/>
        <w:t>The nitrocellulose shall meet the criteria of the Bergmann-Junk test or methyl violet paper test in the Manual of Tests and Criteria Appendix 10.”]</w:t>
      </w:r>
    </w:p>
    <w:p w:rsidR="003A1330" w:rsidRPr="0032758B" w:rsidRDefault="003A1330" w:rsidP="003A1330">
      <w:pPr>
        <w:pStyle w:val="SingleTxtG"/>
        <w:ind w:left="2259" w:hanging="1125"/>
      </w:pPr>
      <w:r w:rsidRPr="0032758B">
        <w:t>“395</w:t>
      </w:r>
      <w:r w:rsidRPr="0032758B">
        <w:tab/>
        <w:t>This entry shall only be used for solid medical waste of Category A carried for disposal.</w:t>
      </w:r>
      <w:bookmarkEnd w:id="29"/>
      <w:r w:rsidRPr="0032758B">
        <w:t>”</w:t>
      </w:r>
    </w:p>
    <w:p w:rsidR="003A1330" w:rsidRPr="0032758B" w:rsidRDefault="003A1330" w:rsidP="003A1330">
      <w:pPr>
        <w:pStyle w:val="SingleTxtG"/>
        <w:ind w:left="2259" w:hanging="1125"/>
      </w:pPr>
      <w:r w:rsidRPr="0032758B">
        <w:t xml:space="preserve">“6XX </w:t>
      </w:r>
      <w:r>
        <w:tab/>
      </w:r>
      <w:r w:rsidRPr="0032758B">
        <w:t>Refrigerated liquid nitrogen shall not be used as a coolant for substances under this entry.</w:t>
      </w:r>
      <w:r>
        <w:t>”.</w:t>
      </w:r>
    </w:p>
    <w:p w:rsidR="003A1330" w:rsidRPr="007B35CF" w:rsidRDefault="003A1330" w:rsidP="003A1330">
      <w:pPr>
        <w:pStyle w:val="H1G"/>
      </w:pPr>
      <w:r>
        <w:tab/>
      </w:r>
      <w:r>
        <w:tab/>
      </w:r>
      <w:r w:rsidRPr="007B35CF">
        <w:t>Chapter 5.1</w:t>
      </w:r>
    </w:p>
    <w:p w:rsidR="003A1330" w:rsidRDefault="003A1330" w:rsidP="003A1330">
      <w:pPr>
        <w:pStyle w:val="SingleTxtG"/>
        <w:ind w:left="2268" w:hanging="1134"/>
      </w:pPr>
      <w:r w:rsidRPr="007A5F2E">
        <w:rPr>
          <w:b/>
          <w:bCs/>
        </w:rPr>
        <w:t>(ADN:)</w:t>
      </w:r>
      <w:r>
        <w:rPr>
          <w:b/>
          <w:bCs/>
        </w:rPr>
        <w:t xml:space="preserve"> </w:t>
      </w:r>
      <w:r w:rsidRPr="007B35CF">
        <w:t>5.1.5.1.2</w:t>
      </w:r>
    </w:p>
    <w:p w:rsidR="003A1330" w:rsidRPr="007B35CF" w:rsidRDefault="003A1330" w:rsidP="003A1330">
      <w:pPr>
        <w:pStyle w:val="SingleTxtG"/>
        <w:ind w:left="2268" w:hanging="1134"/>
      </w:pPr>
      <w:r w:rsidRPr="007B35CF">
        <w:tab/>
        <w:t xml:space="preserve">At the end of sub-paragraph (d) add "and". </w:t>
      </w:r>
    </w:p>
    <w:p w:rsidR="003A1330" w:rsidRPr="007B35CF" w:rsidRDefault="003A1330" w:rsidP="003A1330">
      <w:pPr>
        <w:pStyle w:val="SingleTxtG"/>
        <w:ind w:left="2268" w:hanging="1134"/>
      </w:pPr>
      <w:r w:rsidRPr="007B35CF">
        <w:tab/>
        <w:t>Add a new sub-paragraph (e) to read as follows:</w:t>
      </w:r>
    </w:p>
    <w:p w:rsidR="003A1330" w:rsidRPr="003B758F" w:rsidRDefault="003A1330" w:rsidP="003A1330">
      <w:pPr>
        <w:pStyle w:val="SingleTxtG"/>
        <w:ind w:left="2268" w:hanging="1134"/>
      </w:pPr>
      <w:r w:rsidRPr="007B35CF">
        <w:tab/>
        <w:t xml:space="preserve">“(e) </w:t>
      </w:r>
      <w:r w:rsidRPr="007B35CF">
        <w:tab/>
        <w:t>the shipment of SCO-III.”.</w:t>
      </w:r>
    </w:p>
    <w:p w:rsidR="003A1330" w:rsidRPr="003B758F" w:rsidRDefault="003A1330" w:rsidP="003A1330">
      <w:pPr>
        <w:pStyle w:val="SingleTxtG"/>
        <w:ind w:left="2268" w:hanging="1134"/>
      </w:pPr>
      <w:r w:rsidRPr="003B758F">
        <w:t>5.1.5.1.4 (b)</w:t>
      </w:r>
      <w:r w:rsidRPr="003B758F">
        <w:tab/>
        <w:t>At the end, replace “in the hands” by “in the possession”.</w:t>
      </w:r>
    </w:p>
    <w:p w:rsidR="003A1330" w:rsidRPr="003B758F" w:rsidRDefault="003A1330" w:rsidP="003A1330">
      <w:pPr>
        <w:pStyle w:val="SingleTxtG"/>
        <w:ind w:left="2268" w:hanging="1134"/>
      </w:pPr>
      <w:r w:rsidRPr="003B758F">
        <w:lastRenderedPageBreak/>
        <w:t>5.1.5.3.1</w:t>
      </w:r>
      <w:r w:rsidRPr="003B758F">
        <w:tab/>
        <w:t>In the introductory sentence, replace “or SCO-I” by “, SCO-I or SCO-III”. In (a), replace “radiation level” by “dose rate” (twice) and replace “and SCO-I” by “,</w:t>
      </w:r>
      <w:r>
        <w:t> </w:t>
      </w:r>
      <w:r w:rsidRPr="003B758F">
        <w:t xml:space="preserve">SCO-I or SCO-III”. </w:t>
      </w:r>
      <w:r>
        <w:t>In (a), in the second sentence, delete “and the resulting number is the transport index”.</w:t>
      </w:r>
      <w:r w:rsidRPr="003B758F">
        <w:t xml:space="preserve"> In (b) replace “and SCO-I” by “, SCO-I and SCO-III”. At the end of (c), add “and the resulting number is the </w:t>
      </w:r>
      <w:r w:rsidRPr="003B758F">
        <w:rPr>
          <w:iCs/>
        </w:rPr>
        <w:t xml:space="preserve">TI </w:t>
      </w:r>
      <w:r w:rsidRPr="003B758F">
        <w:t>value.”</w:t>
      </w:r>
    </w:p>
    <w:p w:rsidR="003A1330" w:rsidRPr="003B758F" w:rsidRDefault="003A1330" w:rsidP="003A1330">
      <w:pPr>
        <w:pStyle w:val="SingleTxtG"/>
        <w:ind w:left="2268" w:hanging="1134"/>
        <w:rPr>
          <w:bCs/>
        </w:rPr>
      </w:pPr>
      <w:r w:rsidRPr="003B758F">
        <w:rPr>
          <w:bCs/>
        </w:rPr>
        <w:t>Table 5.1.5.3.1 In the title replace “and SCO-I” by “, SCO-I and SCO-III”.</w:t>
      </w:r>
    </w:p>
    <w:p w:rsidR="003A1330" w:rsidRPr="003B758F" w:rsidRDefault="003A1330" w:rsidP="003A1330">
      <w:pPr>
        <w:pStyle w:val="SingleTxtG"/>
        <w:ind w:left="2268" w:hanging="1134"/>
      </w:pPr>
      <w:r w:rsidRPr="003B758F">
        <w:t>5.1.5.3.2</w:t>
      </w:r>
      <w:r w:rsidRPr="003B758F">
        <w:tab/>
        <w:t>Amend to read as follows:</w:t>
      </w:r>
    </w:p>
    <w:p w:rsidR="003A1330" w:rsidRPr="003B758F" w:rsidRDefault="003A1330" w:rsidP="003A1330">
      <w:pPr>
        <w:pStyle w:val="SingleTxtG"/>
        <w:ind w:left="2268" w:hanging="1134"/>
      </w:pPr>
      <w:r w:rsidRPr="003B758F">
        <w:t>“</w:t>
      </w:r>
      <w:r>
        <w:t>5.1.5.3.2</w:t>
      </w:r>
      <w:r>
        <w:tab/>
      </w:r>
      <w:r w:rsidRPr="003B758F">
        <w:t xml:space="preserve">The TI for each rigid overpack, container or </w:t>
      </w:r>
      <w:r>
        <w:t>conveyance</w:t>
      </w:r>
      <w:r w:rsidRPr="003B758F">
        <w:t xml:space="preserve"> shall be determined as the sum of the TIs of all the packages contained therein. For a </w:t>
      </w:r>
      <w:r w:rsidRPr="007B35CF">
        <w:t>shipment</w:t>
      </w:r>
      <w:r w:rsidRPr="003B758F">
        <w:t xml:space="preserve"> from a single consignor, the consignor may determine the TI by direct measurement of dose rate. </w:t>
      </w:r>
    </w:p>
    <w:p w:rsidR="003A1330" w:rsidRPr="003B758F" w:rsidRDefault="003A1330" w:rsidP="003A1330">
      <w:pPr>
        <w:pStyle w:val="SingleTxtG"/>
        <w:ind w:left="2268"/>
      </w:pPr>
      <w:r w:rsidRPr="003B758F">
        <w:t>The TI for a non-rigid overpack shall be determined only as the sum of the TIs of all the packages within the overpack.”.</w:t>
      </w:r>
    </w:p>
    <w:p w:rsidR="003A1330" w:rsidRDefault="003A1330" w:rsidP="003A1330">
      <w:pPr>
        <w:pStyle w:val="SingleTxtG"/>
        <w:spacing w:before="120"/>
        <w:ind w:left="2268" w:hanging="1134"/>
      </w:pPr>
      <w:r>
        <w:t>5.1.5.3.4 (a)</w:t>
      </w:r>
      <w:r w:rsidRPr="003B758F">
        <w:tab/>
      </w:r>
      <w:r>
        <w:t>Replace “radiation level” by “dose rate” (twice).</w:t>
      </w:r>
    </w:p>
    <w:p w:rsidR="003A1330" w:rsidRDefault="003A1330" w:rsidP="003A1330">
      <w:pPr>
        <w:pStyle w:val="SingleTxtG"/>
        <w:ind w:left="2268" w:hanging="1134"/>
      </w:pPr>
      <w:r w:rsidRPr="003B758F">
        <w:t>5.1.5.3.4</w:t>
      </w:r>
      <w:r>
        <w:t xml:space="preserve"> (b)</w:t>
      </w:r>
      <w:r w:rsidRPr="003B758F">
        <w:tab/>
      </w:r>
      <w:r>
        <w:t>R</w:t>
      </w:r>
      <w:r w:rsidRPr="003B758F">
        <w:t>eplace “transport index” by “TI”.</w:t>
      </w:r>
    </w:p>
    <w:p w:rsidR="003A1330" w:rsidRPr="00C54F00" w:rsidRDefault="003A1330" w:rsidP="003A1330">
      <w:pPr>
        <w:pStyle w:val="SingleTxtG"/>
        <w:spacing w:before="120"/>
        <w:ind w:left="2268" w:hanging="1134"/>
      </w:pPr>
      <w:r>
        <w:t>5.1.5.3.4 (c)</w:t>
      </w:r>
      <w:r>
        <w:tab/>
        <w:t>Replace “radiation level” by “dose rate”.</w:t>
      </w:r>
    </w:p>
    <w:p w:rsidR="003A1330" w:rsidRPr="00C54F00" w:rsidRDefault="003A1330" w:rsidP="003A1330">
      <w:pPr>
        <w:pStyle w:val="SingleTxtG"/>
        <w:spacing w:before="120"/>
        <w:ind w:left="2268" w:hanging="1134"/>
      </w:pPr>
      <w:r>
        <w:t>Table 5.1.5.3.4</w:t>
      </w:r>
      <w:r>
        <w:tab/>
        <w:t>Replace “radiation level” by “dose rate”.</w:t>
      </w:r>
    </w:p>
    <w:p w:rsidR="003A1330" w:rsidRPr="007B35CF" w:rsidRDefault="003A1330" w:rsidP="003A1330">
      <w:pPr>
        <w:pStyle w:val="H1G"/>
      </w:pPr>
      <w:r w:rsidRPr="007B35CF">
        <w:tab/>
      </w:r>
      <w:r>
        <w:tab/>
      </w:r>
      <w:r w:rsidRPr="007B35CF">
        <w:t>Chapter 5.2</w:t>
      </w:r>
    </w:p>
    <w:p w:rsidR="003A1330" w:rsidRPr="003B758F" w:rsidRDefault="003A1330" w:rsidP="003A1330">
      <w:pPr>
        <w:pStyle w:val="SingleTxtG"/>
        <w:ind w:left="2268" w:hanging="1134"/>
      </w:pPr>
      <w:r w:rsidRPr="003B758F">
        <w:t>5.2.1.1</w:t>
      </w:r>
      <w:r w:rsidRPr="003B758F">
        <w:tab/>
        <w:t xml:space="preserve">Amend the end of the second sentence to read as follows: “…for cylinders of 60 </w:t>
      </w:r>
      <w:r w:rsidRPr="003B758F">
        <w:rPr>
          <w:i/>
          <w:iCs/>
        </w:rPr>
        <w:t>l</w:t>
      </w:r>
      <w:r w:rsidRPr="003B758F">
        <w:t xml:space="preserve"> water capacity or less when they shall be at least 6 mm in height and except for packages of 5 </w:t>
      </w:r>
      <w:r w:rsidRPr="003B758F">
        <w:rPr>
          <w:i/>
          <w:iCs/>
        </w:rPr>
        <w:t>l</w:t>
      </w:r>
      <w:r w:rsidRPr="003B758F">
        <w:t xml:space="preserve"> capacity or less or of 5 kg maximum net mass when they shall be of an appropriate size”.</w:t>
      </w:r>
    </w:p>
    <w:p w:rsidR="003A1330" w:rsidRPr="003B758F" w:rsidRDefault="003A1330" w:rsidP="003A1330">
      <w:pPr>
        <w:pStyle w:val="SingleTxtG"/>
        <w:ind w:left="2268" w:hanging="1134"/>
      </w:pPr>
      <w:r w:rsidRPr="003B758F">
        <w:t>5.2.1.7.6</w:t>
      </w:r>
      <w:r w:rsidRPr="003B758F">
        <w:tab/>
        <w:t>Add the following sentence at the end:</w:t>
      </w:r>
    </w:p>
    <w:p w:rsidR="003A1330" w:rsidRPr="003B758F" w:rsidRDefault="003A1330" w:rsidP="003A1330">
      <w:pPr>
        <w:pStyle w:val="SingleTxtG"/>
        <w:ind w:left="2268" w:hanging="1134"/>
      </w:pPr>
      <w:r>
        <w:tab/>
      </w:r>
      <w:r w:rsidRPr="003B758F">
        <w:t>“Any mark on the package made in accordance with the requirements of 5.2.1.7.4 (a) and (b) and 5.2.1.7.5 (c) relating to the package type that does not relate to the UN number and proper shipping name assigned to the consignment shall be removed or covered.”</w:t>
      </w:r>
    </w:p>
    <w:p w:rsidR="003A1330" w:rsidRPr="003B758F" w:rsidRDefault="003A1330" w:rsidP="003A1330">
      <w:pPr>
        <w:pStyle w:val="SingleTxtG"/>
        <w:ind w:left="2268" w:hanging="1134"/>
      </w:pPr>
      <w:r w:rsidRPr="003B758F">
        <w:t>5.2.1.9.2</w:t>
      </w:r>
      <w:r w:rsidRPr="003B758F">
        <w:tab/>
        <w:t>In Figure 5.2.1.9.2, replace “120 mm” by “100 mm” and “110 mm” by “100</w:t>
      </w:r>
      <w:r>
        <w:t> </w:t>
      </w:r>
      <w:r w:rsidRPr="003B758F">
        <w:t>mm”.</w:t>
      </w:r>
    </w:p>
    <w:p w:rsidR="003A1330" w:rsidRPr="003B758F" w:rsidRDefault="003A1330" w:rsidP="003A1330">
      <w:pPr>
        <w:pStyle w:val="SingleTxtG"/>
        <w:ind w:left="2268" w:hanging="1134"/>
      </w:pPr>
      <w:r w:rsidRPr="003B758F">
        <w:tab/>
        <w:t>In the last paragraph:</w:t>
      </w:r>
    </w:p>
    <w:p w:rsidR="003A1330" w:rsidRPr="003B758F" w:rsidRDefault="003A1330" w:rsidP="003A1330">
      <w:pPr>
        <w:pStyle w:val="SingleTxtG"/>
        <w:ind w:left="2268" w:hanging="1134"/>
      </w:pPr>
      <w:r>
        <w:tab/>
      </w:r>
      <w:r w:rsidRPr="003B758F">
        <w:t>First sentence: replace “a rectangle” by “a rectangle or a square”.</w:t>
      </w:r>
    </w:p>
    <w:p w:rsidR="003A1330" w:rsidRPr="003B758F" w:rsidRDefault="003A1330" w:rsidP="003A1330">
      <w:pPr>
        <w:pStyle w:val="SingleTxtG"/>
        <w:ind w:left="2268" w:hanging="1134"/>
      </w:pPr>
      <w:r>
        <w:tab/>
      </w:r>
      <w:r w:rsidRPr="003B758F">
        <w:t xml:space="preserve">Second sentence: replace “120 wide x 110 m high” by “100 mm wide </w:t>
      </w:r>
      <w:r w:rsidRPr="003B758F">
        <w:sym w:font="Symbol" w:char="F0B4"/>
      </w:r>
      <w:r w:rsidRPr="003B758F">
        <w:t xml:space="preserve"> 100 mm high”.</w:t>
      </w:r>
    </w:p>
    <w:p w:rsidR="003A1330" w:rsidRPr="003B758F" w:rsidRDefault="003A1330" w:rsidP="003A1330">
      <w:pPr>
        <w:pStyle w:val="SingleTxtG"/>
        <w:ind w:left="2268" w:hanging="1134"/>
      </w:pPr>
      <w:r>
        <w:tab/>
      </w:r>
      <w:r w:rsidRPr="003B758F">
        <w:t>Fifth sentence: delete “/line thickness” and replace “105 mm wide x 74 mm high” by “100 mm wide x 70 mm high”.</w:t>
      </w:r>
    </w:p>
    <w:p w:rsidR="003A1330" w:rsidRPr="003B758F" w:rsidRDefault="003A1330" w:rsidP="003A1330">
      <w:pPr>
        <w:pStyle w:val="SingleTxtG"/>
        <w:ind w:left="2268" w:hanging="1134"/>
      </w:pPr>
      <w:r w:rsidRPr="003B758F">
        <w:t>5.2.2.1.11.2</w:t>
      </w:r>
      <w:r w:rsidRPr="003B758F">
        <w:tab/>
        <w:t>In (d), replace “(no transport index entry is required for category I-WHITE)” by “(except for category I-WHITE)”.</w:t>
      </w:r>
    </w:p>
    <w:p w:rsidR="003A1330" w:rsidRPr="007B35CF" w:rsidRDefault="003A1330" w:rsidP="003A1330">
      <w:pPr>
        <w:pStyle w:val="H1G"/>
      </w:pPr>
      <w:r w:rsidRPr="007B35CF">
        <w:tab/>
      </w:r>
      <w:r w:rsidR="00561CB3">
        <w:tab/>
      </w:r>
      <w:r w:rsidRPr="008B5482">
        <w:t>(ADR/ADN:)</w:t>
      </w:r>
      <w:r>
        <w:t xml:space="preserve"> C</w:t>
      </w:r>
      <w:r w:rsidRPr="007B35CF">
        <w:t>hapter 5.3</w:t>
      </w:r>
    </w:p>
    <w:p w:rsidR="003A1330" w:rsidRDefault="003A1330" w:rsidP="003A1330">
      <w:pPr>
        <w:pStyle w:val="SingleTxtG"/>
        <w:ind w:left="2268" w:hanging="1134"/>
      </w:pPr>
      <w:r w:rsidRPr="003B758F">
        <w:t>5.3.1.5.2</w:t>
      </w:r>
      <w:r w:rsidRPr="003B758F">
        <w:tab/>
        <w:t xml:space="preserve">After “For vehicles carrying” add “unpackaged LSA-I material or SCO-I or”. </w:t>
      </w:r>
    </w:p>
    <w:p w:rsidR="003A1330" w:rsidRDefault="003A1330" w:rsidP="003A1330">
      <w:pPr>
        <w:pStyle w:val="SingleTxtG"/>
        <w:tabs>
          <w:tab w:val="left" w:pos="2268"/>
        </w:tabs>
        <w:ind w:left="2268" w:hanging="1134"/>
      </w:pPr>
      <w:r>
        <w:t>[5.3.2.1.4</w:t>
      </w:r>
      <w:r w:rsidRPr="00C54F00">
        <w:tab/>
        <w:t xml:space="preserve">In the </w:t>
      </w:r>
      <w:r>
        <w:t>first</w:t>
      </w:r>
      <w:r w:rsidRPr="00C54F00">
        <w:t xml:space="preserve"> sentence, replace “</w:t>
      </w:r>
      <w:r>
        <w:t xml:space="preserve">unpackaged solids or articles or packaged radioactive material with a single UN number required to be carried </w:t>
      </w:r>
      <w:r>
        <w:lastRenderedPageBreak/>
        <w:t>under exclusive use</w:t>
      </w:r>
      <w:r w:rsidRPr="00C54F00">
        <w:t>” by “unpackaged LSA-I material, SCO-I or SCO-III”.</w:t>
      </w:r>
      <w:r>
        <w:t xml:space="preserve">] </w:t>
      </w:r>
    </w:p>
    <w:p w:rsidR="003A1330" w:rsidRPr="007B35CF" w:rsidRDefault="003A1330" w:rsidP="003A1330">
      <w:pPr>
        <w:pStyle w:val="H1G"/>
      </w:pPr>
      <w:r w:rsidRPr="007B35CF">
        <w:tab/>
      </w:r>
      <w:r>
        <w:tab/>
      </w:r>
      <w:r w:rsidRPr="007B35CF">
        <w:t>Chapter 5.4</w:t>
      </w:r>
    </w:p>
    <w:p w:rsidR="003A1330" w:rsidRDefault="003A1330" w:rsidP="003A1330">
      <w:pPr>
        <w:pStyle w:val="SingleTxtG"/>
        <w:ind w:left="2268" w:hanging="1134"/>
      </w:pPr>
      <w:r>
        <w:t>5.4.1.1.1 (f)</w:t>
      </w:r>
      <w:r>
        <w:tab/>
      </w:r>
      <w:r w:rsidRPr="004B71DA">
        <w:t>The amendment to the French version does not apply to the English text.</w:t>
      </w:r>
    </w:p>
    <w:p w:rsidR="003A1330" w:rsidRPr="003B758F" w:rsidRDefault="003A1330" w:rsidP="003A1330">
      <w:pPr>
        <w:pStyle w:val="SingleTxtG"/>
        <w:ind w:left="2268" w:hanging="1134"/>
      </w:pPr>
      <w:r w:rsidRPr="003B758F">
        <w:t>5.4.1.2.5.1</w:t>
      </w:r>
      <w:r>
        <w:tab/>
      </w:r>
      <w:r w:rsidRPr="003B758F">
        <w:t>Amend sub-paragraphs (d) and (e) to read:</w:t>
      </w:r>
    </w:p>
    <w:p w:rsidR="003A1330" w:rsidRPr="003B758F" w:rsidRDefault="003A1330" w:rsidP="003A1330">
      <w:pPr>
        <w:pStyle w:val="SingleTxtG"/>
        <w:ind w:left="2835" w:hanging="567"/>
      </w:pPr>
      <w:r w:rsidRPr="003B758F">
        <w:t>“(d)</w:t>
      </w:r>
      <w:r w:rsidRPr="003B758F">
        <w:tab/>
        <w:t>The category of the package, overpack or container, as assigned per 5.1.5.3.4, i.e. I-WHITE, II-YELLOW, III-YELLOW;</w:t>
      </w:r>
    </w:p>
    <w:p w:rsidR="003A1330" w:rsidRPr="003B758F" w:rsidRDefault="003A1330" w:rsidP="003A1330">
      <w:pPr>
        <w:pStyle w:val="SingleTxtG"/>
        <w:ind w:left="2835" w:hanging="567"/>
      </w:pPr>
      <w:r w:rsidRPr="003B758F">
        <w:t>(e)</w:t>
      </w:r>
      <w:r w:rsidRPr="003B758F">
        <w:tab/>
        <w:t>The TI as determined per 5.1.5.3.1 and 5.1.5.3.2 (except for category I-WHITE);”.</w:t>
      </w:r>
    </w:p>
    <w:p w:rsidR="003A1330" w:rsidRDefault="003A1330" w:rsidP="003A1330">
      <w:pPr>
        <w:pStyle w:val="SingleTxtG"/>
        <w:ind w:left="2268" w:hanging="1134"/>
      </w:pPr>
      <w:r w:rsidRPr="007B35CF">
        <w:t>[</w:t>
      </w:r>
      <w:r w:rsidRPr="007B35CF">
        <w:rPr>
          <w:b/>
          <w:bCs/>
        </w:rPr>
        <w:t xml:space="preserve">(ADN:) </w:t>
      </w:r>
      <w:r w:rsidRPr="007B35CF">
        <w:t>5.4.1.2.2 (d)</w:t>
      </w:r>
    </w:p>
    <w:p w:rsidR="003A1330" w:rsidRDefault="003A1330" w:rsidP="003A1330">
      <w:pPr>
        <w:pStyle w:val="SingleTxtG"/>
        <w:ind w:left="2268" w:hanging="1134"/>
      </w:pPr>
      <w:r>
        <w:tab/>
      </w:r>
      <w:r w:rsidRPr="007B35CF">
        <w:tab/>
        <w:t>Replace “tank-containers” by “tank-wagons, tank-containers or portable tanks”.]</w:t>
      </w:r>
    </w:p>
    <w:p w:rsidR="003C207C" w:rsidRPr="003C207C" w:rsidRDefault="003C207C" w:rsidP="003C207C">
      <w:pPr>
        <w:pStyle w:val="SingleTxtG"/>
        <w:tabs>
          <w:tab w:val="left" w:pos="2835"/>
        </w:tabs>
        <w:ind w:left="567" w:right="946"/>
        <w:rPr>
          <w:color w:val="548DD4" w:themeColor="text2" w:themeTint="99"/>
        </w:rPr>
      </w:pPr>
      <w:r w:rsidRPr="00250409">
        <w:rPr>
          <w:b/>
          <w:bCs/>
          <w:i/>
          <w:iCs/>
          <w:color w:val="548DD4" w:themeColor="text2" w:themeTint="99"/>
        </w:rPr>
        <w:t>Conclusions f</w:t>
      </w:r>
      <w:r>
        <w:rPr>
          <w:b/>
          <w:bCs/>
          <w:i/>
          <w:iCs/>
          <w:color w:val="548DD4" w:themeColor="text2" w:themeTint="99"/>
        </w:rPr>
        <w:t>ro</w:t>
      </w:r>
      <w:r w:rsidRPr="00250409">
        <w:rPr>
          <w:b/>
          <w:bCs/>
          <w:i/>
          <w:iCs/>
          <w:color w:val="548DD4" w:themeColor="text2" w:themeTint="99"/>
        </w:rPr>
        <w:t>m the ad hoc Working Group</w:t>
      </w:r>
      <w:r w:rsidRPr="003C207C">
        <w:rPr>
          <w:color w:val="548DD4" w:themeColor="text2" w:themeTint="99"/>
        </w:rPr>
        <w:t xml:space="preserve">: </w:t>
      </w:r>
    </w:p>
    <w:p w:rsidR="004566B8" w:rsidRPr="003C207C" w:rsidRDefault="003C207C" w:rsidP="004566B8">
      <w:pPr>
        <w:pStyle w:val="H23G"/>
        <w:rPr>
          <w:bCs/>
          <w:i/>
          <w:iCs/>
          <w:color w:val="548DD4" w:themeColor="text2" w:themeTint="99"/>
        </w:rPr>
      </w:pPr>
      <w:r w:rsidRPr="003C207C">
        <w:rPr>
          <w:bCs/>
          <w:i/>
          <w:iCs/>
          <w:color w:val="548DD4" w:themeColor="text2" w:themeTint="99"/>
        </w:rPr>
        <w:tab/>
      </w:r>
      <w:r w:rsidRPr="003C207C">
        <w:rPr>
          <w:bCs/>
          <w:i/>
          <w:iCs/>
          <w:color w:val="548DD4" w:themeColor="text2" w:themeTint="99"/>
        </w:rPr>
        <w:tab/>
      </w:r>
      <w:r w:rsidR="004566B8" w:rsidRPr="003C207C">
        <w:rPr>
          <w:bCs/>
          <w:i/>
          <w:iCs/>
          <w:color w:val="548DD4" w:themeColor="text2" w:themeTint="99"/>
        </w:rPr>
        <w:t>Additional provisions for Class 2 (5.4.1.2.2 (d))</w:t>
      </w:r>
    </w:p>
    <w:p w:rsidR="004566B8" w:rsidRPr="003C207C" w:rsidRDefault="004566B8" w:rsidP="004566B8">
      <w:pPr>
        <w:pStyle w:val="SingleTxtG"/>
        <w:rPr>
          <w:i/>
          <w:iCs/>
          <w:color w:val="548DD4" w:themeColor="text2" w:themeTint="99"/>
        </w:rPr>
      </w:pPr>
      <w:r w:rsidRPr="003C207C">
        <w:rPr>
          <w:i/>
          <w:iCs/>
          <w:color w:val="548DD4" w:themeColor="text2" w:themeTint="99"/>
        </w:rPr>
        <w:t>58.</w:t>
      </w:r>
      <w:r w:rsidRPr="003C207C">
        <w:rPr>
          <w:i/>
          <w:iCs/>
          <w:color w:val="548DD4" w:themeColor="text2" w:themeTint="99"/>
        </w:rPr>
        <w:tab/>
        <w:t>The Working Group considered that the proposed amendment was only suitable for ADR and proposed equivalent amendments for RID and ADN. It was agreed that the amendment relevant to ADN should be submitted to the ADN Safety Committee for consideration.</w:t>
      </w:r>
    </w:p>
    <w:p w:rsidR="003A1330" w:rsidRPr="00C54F00" w:rsidRDefault="003A1330" w:rsidP="003A1330">
      <w:pPr>
        <w:pStyle w:val="SingleTxtG"/>
        <w:ind w:left="2268" w:hanging="1134"/>
      </w:pPr>
      <w:r w:rsidRPr="003B758F">
        <w:t>5.4.1.2.5.1</w:t>
      </w:r>
      <w:r w:rsidRPr="003B758F">
        <w:tab/>
        <w:t>In (j), replace “SCO-I and SCO-II” by “SCO-I, SCO-II and SCO-III”.</w:t>
      </w:r>
    </w:p>
    <w:p w:rsidR="003A1330" w:rsidRPr="003B758F" w:rsidRDefault="003A1330" w:rsidP="003A1330">
      <w:pPr>
        <w:pStyle w:val="SingleTxtG"/>
        <w:ind w:left="2268" w:hanging="1134"/>
      </w:pPr>
      <w:r w:rsidRPr="003B758F">
        <w:t>5.4.2</w:t>
      </w:r>
      <w:r w:rsidRPr="003B758F">
        <w:tab/>
        <w:t>In the second paragraph, at the end of the first sentence, delete “one to the other”.</w:t>
      </w:r>
    </w:p>
    <w:p w:rsidR="003A1330" w:rsidRDefault="003A1330" w:rsidP="003A1330">
      <w:pPr>
        <w:pStyle w:val="SingleTxtG"/>
        <w:tabs>
          <w:tab w:val="left" w:pos="2268"/>
        </w:tabs>
        <w:rPr>
          <w:i/>
          <w:iCs/>
          <w:color w:val="548DD4" w:themeColor="text2" w:themeTint="99"/>
        </w:rPr>
      </w:pPr>
      <w:r w:rsidRPr="004566B8">
        <w:rPr>
          <w:b/>
          <w:bCs/>
          <w:i/>
          <w:iCs/>
          <w:color w:val="548DD4" w:themeColor="text2" w:themeTint="99"/>
        </w:rPr>
        <w:t>Note by the secretariat:</w:t>
      </w:r>
      <w:r w:rsidRPr="004566B8">
        <w:rPr>
          <w:i/>
          <w:iCs/>
          <w:color w:val="548DD4" w:themeColor="text2" w:themeTint="99"/>
        </w:rPr>
        <w:t xml:space="preserve"> The text of 5.4.2 of the IMDG Code in footnote 6 should be amended to reflect the amendments to the IMDG code, if necessary.</w:t>
      </w:r>
    </w:p>
    <w:p w:rsidR="00EF5C48" w:rsidRDefault="00EF5C48" w:rsidP="00EF5C48">
      <w:pPr>
        <w:pStyle w:val="SingleTxtG"/>
        <w:tabs>
          <w:tab w:val="left" w:pos="2835"/>
        </w:tabs>
        <w:ind w:left="567" w:right="946"/>
        <w:rPr>
          <w:i/>
          <w:iCs/>
          <w:color w:val="548DD4" w:themeColor="text2" w:themeTint="99"/>
        </w:rPr>
      </w:pPr>
      <w:r w:rsidRPr="00250409">
        <w:rPr>
          <w:b/>
          <w:bCs/>
          <w:i/>
          <w:iCs/>
          <w:color w:val="548DD4" w:themeColor="text2" w:themeTint="99"/>
        </w:rPr>
        <w:t>Note from the secretariat:</w:t>
      </w:r>
      <w:r w:rsidRPr="00250409">
        <w:rPr>
          <w:i/>
          <w:iCs/>
          <w:color w:val="548DD4" w:themeColor="text2" w:themeTint="99"/>
        </w:rPr>
        <w:t xml:space="preserve"> </w:t>
      </w:r>
      <w:r>
        <w:rPr>
          <w:i/>
          <w:iCs/>
          <w:color w:val="548DD4" w:themeColor="text2" w:themeTint="99"/>
        </w:rPr>
        <w:t>Regarding 5.4.3.1, t</w:t>
      </w:r>
      <w:r>
        <w:rPr>
          <w:i/>
          <w:iCs/>
          <w:color w:val="548DD4" w:themeColor="text2" w:themeTint="99"/>
        </w:rPr>
        <w:t>he representative of IMO informed the TDG Sub-Committee of a deviation for the IMDG Code (see paragraphs 3.</w:t>
      </w:r>
      <w:r>
        <w:rPr>
          <w:i/>
          <w:iCs/>
          <w:color w:val="548DD4" w:themeColor="text2" w:themeTint="99"/>
        </w:rPr>
        <w:t>42</w:t>
      </w:r>
      <w:r>
        <w:rPr>
          <w:i/>
          <w:iCs/>
          <w:color w:val="548DD4" w:themeColor="text2" w:themeTint="99"/>
        </w:rPr>
        <w:t>-3.</w:t>
      </w:r>
      <w:r>
        <w:rPr>
          <w:i/>
          <w:iCs/>
          <w:color w:val="548DD4" w:themeColor="text2" w:themeTint="99"/>
        </w:rPr>
        <w:t>45</w:t>
      </w:r>
      <w:r>
        <w:rPr>
          <w:i/>
          <w:iCs/>
          <w:color w:val="548DD4" w:themeColor="text2" w:themeTint="99"/>
        </w:rPr>
        <w:t xml:space="preserve"> of informal document INF.49 of the fifty-fifth session of the TDG Sub-Committee, </w:t>
      </w:r>
      <w:hyperlink r:id="rId8" w:history="1">
        <w:r w:rsidRPr="0038648D">
          <w:rPr>
            <w:rStyle w:val="Hyperlink"/>
            <w:i/>
            <w:iCs/>
          </w:rPr>
          <w:t>http://www.unece.org/fileadmin/DAM/trans/doc/2019/dgac10c3/UN-SCETDG-55-INF49e.pdf</w:t>
        </w:r>
      </w:hyperlink>
      <w:r>
        <w:rPr>
          <w:i/>
          <w:iCs/>
          <w:color w:val="548DD4" w:themeColor="text2" w:themeTint="99"/>
        </w:rPr>
        <w:t>).</w:t>
      </w:r>
    </w:p>
    <w:p w:rsidR="00EF5C48" w:rsidRPr="00E75A05" w:rsidRDefault="00EF5C48" w:rsidP="00EF5C48">
      <w:pPr>
        <w:pStyle w:val="SingleTxtG"/>
        <w:tabs>
          <w:tab w:val="left" w:pos="2835"/>
        </w:tabs>
        <w:ind w:left="567" w:right="946"/>
        <w:rPr>
          <w:color w:val="548DD4" w:themeColor="text2" w:themeTint="99"/>
        </w:rPr>
      </w:pPr>
      <w:r w:rsidRPr="00E75A05">
        <w:rPr>
          <w:i/>
          <w:iCs/>
          <w:color w:val="548DD4" w:themeColor="text2" w:themeTint="99"/>
        </w:rPr>
        <w:t>The safety committee is invited to consider if this deviation is relevant for ADN and to raise the issue at the Joint Meeting if necessary.</w:t>
      </w:r>
    </w:p>
    <w:p w:rsidR="003A1330" w:rsidRPr="007B35CF" w:rsidRDefault="003A1330" w:rsidP="003A1330">
      <w:pPr>
        <w:pStyle w:val="H1G"/>
      </w:pPr>
      <w:r w:rsidRPr="007B35CF">
        <w:tab/>
      </w:r>
      <w:r>
        <w:tab/>
      </w:r>
      <w:r w:rsidRPr="007B35CF">
        <w:t>Chapter 5.5</w:t>
      </w:r>
    </w:p>
    <w:p w:rsidR="003A1330" w:rsidRDefault="003A1330" w:rsidP="003A1330">
      <w:pPr>
        <w:pStyle w:val="SingleTxtG"/>
        <w:ind w:left="2268" w:hanging="1134"/>
      </w:pPr>
      <w:r w:rsidRPr="003B758F">
        <w:t>5.5.3, heading</w:t>
      </w:r>
      <w:r w:rsidRPr="003B758F">
        <w:tab/>
      </w:r>
    </w:p>
    <w:p w:rsidR="003A1330" w:rsidRPr="003B758F" w:rsidRDefault="003A1330" w:rsidP="003A1330">
      <w:pPr>
        <w:pStyle w:val="SingleTxtG"/>
        <w:ind w:left="2268" w:hanging="1134"/>
      </w:pPr>
      <w:r>
        <w:tab/>
      </w:r>
      <w:r w:rsidRPr="003B758F">
        <w:t>At the end, in the text in parentheses, after “(UN 1951)”, add “or nitrogen”.</w:t>
      </w:r>
    </w:p>
    <w:p w:rsidR="003A1330" w:rsidRPr="003B758F" w:rsidRDefault="003A1330" w:rsidP="003A1330">
      <w:pPr>
        <w:pStyle w:val="SingleTxtG"/>
        <w:ind w:left="2268" w:hanging="1134"/>
      </w:pPr>
      <w:r>
        <w:tab/>
      </w:r>
      <w:r w:rsidRPr="003B758F">
        <w:t>Add the following new Note after the heading of 5.5.3:</w:t>
      </w:r>
    </w:p>
    <w:p w:rsidR="003A1330" w:rsidRPr="003B758F" w:rsidRDefault="003A1330" w:rsidP="003A1330">
      <w:pPr>
        <w:pStyle w:val="SingleTxtG"/>
        <w:ind w:left="2268" w:hanging="1134"/>
      </w:pPr>
      <w:r>
        <w:tab/>
      </w:r>
      <w:r w:rsidRPr="003B758F">
        <w:t>“</w:t>
      </w:r>
      <w:r w:rsidRPr="003B758F">
        <w:rPr>
          <w:b/>
          <w:i/>
        </w:rPr>
        <w:t>NOTE:</w:t>
      </w:r>
      <w:r w:rsidRPr="003B758F">
        <w:rPr>
          <w:i/>
        </w:rPr>
        <w:tab/>
        <w:t>In the context of this section the term “conditioning” may be used in a broader scope and includes protection.</w:t>
      </w:r>
      <w:r w:rsidRPr="003B758F">
        <w:t>”</w:t>
      </w:r>
    </w:p>
    <w:p w:rsidR="003A1330" w:rsidRPr="00C54F00" w:rsidRDefault="003A1330" w:rsidP="003A1330">
      <w:pPr>
        <w:pStyle w:val="SingleTxtG"/>
        <w:ind w:left="2268" w:hanging="1134"/>
      </w:pPr>
      <w:r w:rsidRPr="003B758F">
        <w:t>5.5.3.6.2</w:t>
      </w:r>
      <w:r w:rsidRPr="003B758F">
        <w:tab/>
        <w:t>In Figure</w:t>
      </w:r>
      <w:r>
        <w:t xml:space="preserve"> </w:t>
      </w:r>
      <w:r w:rsidRPr="003B758F">
        <w:t>5.5.3.6.2, amend the title to read “Asphyxiation warning mark for vehicles (RID/ADN</w:t>
      </w:r>
      <w:proofErr w:type="gramStart"/>
      <w:r w:rsidRPr="003B758F">
        <w:t>: ,</w:t>
      </w:r>
      <w:proofErr w:type="gramEnd"/>
      <w:r w:rsidRPr="003B758F">
        <w:t xml:space="preserve"> wagons) and containers”. Delete the reference to note ** and the corresponding note. In note *, at the beginning, replace “of the coolant/conditioner” by “or the name of the asphyxiant gas used as the coolant/conditioner”. At the end of note * </w:t>
      </w:r>
      <w:r w:rsidRPr="003B758F">
        <w:lastRenderedPageBreak/>
        <w:t xml:space="preserve">add “Additional information such as “AS COOLANT” or “AS CONDITIONER” may be added.”. </w:t>
      </w:r>
    </w:p>
    <w:p w:rsidR="00E75A05" w:rsidRPr="004C63EC" w:rsidRDefault="00E75A05" w:rsidP="00E75A05">
      <w:pPr>
        <w:pStyle w:val="SingleTxtG"/>
        <w:tabs>
          <w:tab w:val="left" w:pos="2835"/>
        </w:tabs>
        <w:ind w:left="567" w:right="946"/>
        <w:rPr>
          <w:i/>
          <w:iCs/>
          <w:color w:val="548DD4" w:themeColor="text2" w:themeTint="99"/>
        </w:rPr>
      </w:pPr>
      <w:r w:rsidRPr="00250409">
        <w:rPr>
          <w:b/>
          <w:bCs/>
          <w:i/>
          <w:iCs/>
          <w:color w:val="548DD4" w:themeColor="text2" w:themeTint="99"/>
        </w:rPr>
        <w:t>Note from the secretariat:</w:t>
      </w:r>
      <w:r w:rsidRPr="00250409">
        <w:rPr>
          <w:i/>
          <w:iCs/>
          <w:color w:val="548DD4" w:themeColor="text2" w:themeTint="99"/>
        </w:rPr>
        <w:t xml:space="preserve"> </w:t>
      </w:r>
      <w:r w:rsidR="004C63EC">
        <w:rPr>
          <w:i/>
          <w:iCs/>
          <w:color w:val="548DD4" w:themeColor="text2" w:themeTint="99"/>
        </w:rPr>
        <w:t>For new section 5.5.4, s</w:t>
      </w:r>
      <w:r>
        <w:rPr>
          <w:i/>
          <w:iCs/>
          <w:color w:val="548DD4" w:themeColor="text2" w:themeTint="99"/>
        </w:rPr>
        <w:t xml:space="preserve">ee comments in </w:t>
      </w:r>
      <w:r w:rsidR="004C63EC" w:rsidRPr="004C63EC">
        <w:rPr>
          <w:i/>
          <w:iCs/>
          <w:color w:val="548DD4" w:themeColor="text2" w:themeTint="99"/>
        </w:rPr>
        <w:t>1.1.3.7 (b)</w:t>
      </w:r>
      <w:r w:rsidR="004C63EC">
        <w:rPr>
          <w:i/>
          <w:iCs/>
          <w:color w:val="548DD4" w:themeColor="text2" w:themeTint="99"/>
        </w:rPr>
        <w:t>.</w:t>
      </w:r>
    </w:p>
    <w:p w:rsidR="003A1330" w:rsidRPr="00F64E89" w:rsidRDefault="003A1330" w:rsidP="003A1330">
      <w:pPr>
        <w:pStyle w:val="SingleTxtG"/>
        <w:ind w:left="2268" w:hanging="1134"/>
      </w:pPr>
      <w:r w:rsidRPr="00F64E89">
        <w:t>5.5.4</w:t>
      </w:r>
      <w:r w:rsidRPr="00F64E89">
        <w:tab/>
        <w:t>Add a new section 5.5.4 to read as follows:</w:t>
      </w:r>
    </w:p>
    <w:p w:rsidR="003A1330" w:rsidRPr="005C754C" w:rsidRDefault="003A1330" w:rsidP="003A1330">
      <w:pPr>
        <w:pStyle w:val="SingleTxtG"/>
        <w:ind w:left="2268" w:hanging="1134"/>
        <w:rPr>
          <w:b/>
          <w:bCs/>
        </w:rPr>
      </w:pPr>
      <w:r w:rsidRPr="00E7028C">
        <w:t>“</w:t>
      </w:r>
      <w:r w:rsidRPr="00E7028C">
        <w:rPr>
          <w:b/>
          <w:bCs/>
        </w:rPr>
        <w:t>5.5.4</w:t>
      </w:r>
      <w:r w:rsidRPr="00E7028C">
        <w:rPr>
          <w:b/>
          <w:bCs/>
        </w:rPr>
        <w:tab/>
        <w:t>Dangerous goods contained in equipment in use or intended for use during carriage, attached to or placed in packages, overpacks, containers or load compartments</w:t>
      </w:r>
    </w:p>
    <w:p w:rsidR="003A1330" w:rsidRPr="00F64E89" w:rsidRDefault="003A1330" w:rsidP="003A1330">
      <w:pPr>
        <w:pStyle w:val="SingleTxtG"/>
        <w:ind w:left="2268" w:hanging="1134"/>
      </w:pPr>
      <w:r w:rsidRPr="00F64E89">
        <w:t>5.5.4.1</w:t>
      </w:r>
      <w:r w:rsidRPr="00F64E89">
        <w:tab/>
        <w:t>Dangerous goods (e.g. lithium batteries, fuel cell cartridges) contained in equipment such as data loggers and cargo tracking devices, attached to or placed in packages, overpacks, containers or load compartments are not subject to any provisions of RID/ADR/ADN other than the following:</w:t>
      </w:r>
    </w:p>
    <w:p w:rsidR="003A1330" w:rsidRPr="00F64E89" w:rsidRDefault="003A1330" w:rsidP="003A1330">
      <w:pPr>
        <w:pStyle w:val="SingleTxtG"/>
        <w:ind w:left="2835" w:hanging="567"/>
      </w:pPr>
      <w:r w:rsidRPr="00F64E89">
        <w:t>(a)</w:t>
      </w:r>
      <w:r w:rsidRPr="00F64E89">
        <w:tab/>
        <w:t xml:space="preserve">the equipment shall be in use or intended for use during carriage; </w:t>
      </w:r>
    </w:p>
    <w:p w:rsidR="003A1330" w:rsidRPr="00F64E89" w:rsidRDefault="003A1330" w:rsidP="003A1330">
      <w:pPr>
        <w:pStyle w:val="SingleTxtG"/>
        <w:ind w:left="2835" w:hanging="567"/>
      </w:pPr>
      <w:r w:rsidRPr="00F64E89">
        <w:t>(b)</w:t>
      </w:r>
      <w:r w:rsidRPr="00F64E89">
        <w:tab/>
        <w:t>the contained dangerous goods (e.g. lithium batteries, fuel cell cartridges) shall meet the applicable construction and test requirements specified in RID/ADR/ADN; and</w:t>
      </w:r>
    </w:p>
    <w:p w:rsidR="003A1330" w:rsidRPr="00F64E89" w:rsidRDefault="003A1330" w:rsidP="003A1330">
      <w:pPr>
        <w:pStyle w:val="SingleTxtG"/>
        <w:ind w:left="2835" w:hanging="567"/>
      </w:pPr>
      <w:r w:rsidRPr="00F64E89">
        <w:t>(c)</w:t>
      </w:r>
      <w:r w:rsidRPr="00F64E89">
        <w:tab/>
        <w:t>the equipment shall be capable of withstanding the shocks and loadings normally encountered during carriage.</w:t>
      </w:r>
    </w:p>
    <w:p w:rsidR="003A1330" w:rsidRPr="00C54F00" w:rsidRDefault="003A1330" w:rsidP="003A1330">
      <w:pPr>
        <w:pStyle w:val="SingleTxtG"/>
        <w:ind w:left="2268" w:hanging="1134"/>
      </w:pPr>
      <w:r w:rsidRPr="00F64E89">
        <w:t>5.5.4.2</w:t>
      </w:r>
      <w:r w:rsidRPr="00F64E89">
        <w:tab/>
        <w:t>When such equipment containing dangerous goods is carried as a consignment, the relevant entry of Table A of Chapter 3.2 shall be used and all applicable provisions of RID/ADR/ADN</w:t>
      </w:r>
      <w:r w:rsidRPr="00F64E89" w:rsidDel="006762BA">
        <w:t xml:space="preserve"> </w:t>
      </w:r>
      <w:r w:rsidRPr="00F64E89">
        <w:t>shall apply.”</w:t>
      </w:r>
    </w:p>
    <w:p w:rsidR="003A1330" w:rsidRPr="005B1E2F" w:rsidRDefault="003A1330" w:rsidP="003A1330">
      <w:pPr>
        <w:pStyle w:val="H1G"/>
      </w:pPr>
      <w:r w:rsidRPr="005B1E2F">
        <w:tab/>
      </w:r>
      <w:r>
        <w:tab/>
      </w:r>
      <w:r w:rsidRPr="008B5482">
        <w:t>(ADN:)</w:t>
      </w:r>
      <w:r>
        <w:t xml:space="preserve"> </w:t>
      </w:r>
      <w:r w:rsidRPr="005B1E2F">
        <w:t xml:space="preserve">Chapter 7.1 </w:t>
      </w:r>
    </w:p>
    <w:p w:rsidR="008E5B79" w:rsidRPr="003C207C" w:rsidRDefault="008E5B79" w:rsidP="008E5B79">
      <w:pPr>
        <w:pStyle w:val="SingleTxtG"/>
        <w:tabs>
          <w:tab w:val="left" w:pos="2835"/>
        </w:tabs>
        <w:ind w:left="567" w:right="946"/>
        <w:rPr>
          <w:color w:val="548DD4" w:themeColor="text2" w:themeTint="99"/>
        </w:rPr>
      </w:pPr>
      <w:bookmarkStart w:id="30" w:name="_Hlk3560526"/>
      <w:r w:rsidRPr="00250409">
        <w:rPr>
          <w:b/>
          <w:bCs/>
          <w:i/>
          <w:iCs/>
          <w:color w:val="548DD4" w:themeColor="text2" w:themeTint="99"/>
        </w:rPr>
        <w:t>Conclusions f</w:t>
      </w:r>
      <w:r>
        <w:rPr>
          <w:b/>
          <w:bCs/>
          <w:i/>
          <w:iCs/>
          <w:color w:val="548DD4" w:themeColor="text2" w:themeTint="99"/>
        </w:rPr>
        <w:t>ro</w:t>
      </w:r>
      <w:r w:rsidRPr="00250409">
        <w:rPr>
          <w:b/>
          <w:bCs/>
          <w:i/>
          <w:iCs/>
          <w:color w:val="548DD4" w:themeColor="text2" w:themeTint="99"/>
        </w:rPr>
        <w:t>m the ad hoc Working Group</w:t>
      </w:r>
      <w:r w:rsidRPr="003C207C">
        <w:rPr>
          <w:color w:val="548DD4" w:themeColor="text2" w:themeTint="99"/>
        </w:rPr>
        <w:t xml:space="preserve">: </w:t>
      </w:r>
    </w:p>
    <w:p w:rsidR="008E5B79" w:rsidRDefault="008E5B79" w:rsidP="008E5B79">
      <w:pPr>
        <w:pStyle w:val="SingleTxtG"/>
        <w:tabs>
          <w:tab w:val="left" w:pos="1134"/>
        </w:tabs>
        <w:ind w:hanging="567"/>
        <w:rPr>
          <w:i/>
          <w:iCs/>
          <w:color w:val="548DD4" w:themeColor="text2" w:themeTint="99"/>
        </w:rPr>
      </w:pPr>
      <w:r w:rsidRPr="007D01ED">
        <w:rPr>
          <w:i/>
          <w:iCs/>
          <w:color w:val="548DD4" w:themeColor="text2" w:themeTint="99"/>
        </w:rPr>
        <w:t>“</w:t>
      </w:r>
      <w:r w:rsidRPr="007D01ED">
        <w:rPr>
          <w:i/>
          <w:iCs/>
          <w:color w:val="548DD4" w:themeColor="text2" w:themeTint="99"/>
        </w:rPr>
        <w:t>65.</w:t>
      </w:r>
      <w:r w:rsidRPr="007D01ED">
        <w:rPr>
          <w:i/>
          <w:iCs/>
          <w:color w:val="548DD4" w:themeColor="text2" w:themeTint="99"/>
        </w:rPr>
        <w:tab/>
        <w:t>The Working Group agreed to forward the proposed amendments to Chapter 7.1 of ADN to the ADN Safety Committee for consideration.</w:t>
      </w:r>
      <w:r w:rsidRPr="007D01ED">
        <w:rPr>
          <w:i/>
          <w:iCs/>
          <w:color w:val="548DD4" w:themeColor="text2" w:themeTint="99"/>
        </w:rPr>
        <w:t>”</w:t>
      </w:r>
      <w:r w:rsidR="000D1DCC">
        <w:rPr>
          <w:i/>
          <w:iCs/>
          <w:color w:val="548DD4" w:themeColor="text2" w:themeTint="99"/>
        </w:rPr>
        <w:t>.</w:t>
      </w:r>
    </w:p>
    <w:p w:rsidR="000D1DCC" w:rsidRPr="007D01ED" w:rsidRDefault="000D1DCC" w:rsidP="008E5B79">
      <w:pPr>
        <w:pStyle w:val="SingleTxtG"/>
        <w:tabs>
          <w:tab w:val="left" w:pos="1134"/>
        </w:tabs>
        <w:ind w:hanging="567"/>
        <w:rPr>
          <w:i/>
          <w:iCs/>
          <w:color w:val="548DD4" w:themeColor="text2" w:themeTint="99"/>
        </w:rPr>
      </w:pPr>
      <w:r w:rsidRPr="003D5772">
        <w:rPr>
          <w:b/>
          <w:bCs/>
          <w:i/>
          <w:iCs/>
          <w:color w:val="548DD4" w:themeColor="text2" w:themeTint="99"/>
        </w:rPr>
        <w:t>See informal document INF.15</w:t>
      </w:r>
      <w:r w:rsidR="00565297" w:rsidRPr="003D5772">
        <w:rPr>
          <w:b/>
          <w:bCs/>
          <w:i/>
          <w:iCs/>
          <w:color w:val="548DD4" w:themeColor="text2" w:themeTint="99"/>
        </w:rPr>
        <w:t xml:space="preserve"> </w:t>
      </w:r>
      <w:r w:rsidR="00565297">
        <w:rPr>
          <w:i/>
          <w:iCs/>
          <w:color w:val="548DD4" w:themeColor="text2" w:themeTint="99"/>
        </w:rPr>
        <w:t>from the secretariat about the use of the term “conveyance”.</w:t>
      </w:r>
    </w:p>
    <w:p w:rsidR="003A1330" w:rsidRPr="008B5482" w:rsidRDefault="003A1330" w:rsidP="003A1330">
      <w:pPr>
        <w:pStyle w:val="SingleTxtG"/>
        <w:ind w:left="2268" w:hanging="1134"/>
      </w:pPr>
      <w:r w:rsidRPr="008B5482">
        <w:t>7.1.4.14.7.2</w:t>
      </w:r>
      <w:r w:rsidRPr="008B5482">
        <w:tab/>
        <w:t xml:space="preserve">At the end of the first sentence replace “:” by “.”. </w:t>
      </w:r>
    </w:p>
    <w:p w:rsidR="003A1330" w:rsidRPr="008B5482" w:rsidRDefault="003A1330" w:rsidP="003A1330">
      <w:pPr>
        <w:pStyle w:val="SingleTxtG"/>
        <w:ind w:left="2268" w:hanging="1134"/>
      </w:pPr>
      <w:r w:rsidRPr="008B5482">
        <w:t>7.1.4.14.7.2</w:t>
      </w:r>
      <w:r w:rsidRPr="008B5482">
        <w:tab/>
        <w:t>Add the following new sentence after the first sentence:</w:t>
      </w:r>
      <w:r>
        <w:t xml:space="preserve"> </w:t>
      </w:r>
      <w:r w:rsidRPr="008B5482">
        <w:tab/>
        <w:t>“For SCO-III, the limits in Table C below may be exceeded provided that the transport plan contains precautions which are to be employed during carriage to obtain an overall level of safety at least equivalent to that which would be provided if the limits had been applied.”</w:t>
      </w:r>
      <w:r w:rsidR="000D1DCC">
        <w:t>.</w:t>
      </w:r>
    </w:p>
    <w:p w:rsidR="003A1330" w:rsidRPr="008B5482" w:rsidRDefault="003A1330" w:rsidP="003A1330">
      <w:pPr>
        <w:pStyle w:val="SingleTxtG"/>
        <w:ind w:left="2268" w:hanging="1134"/>
      </w:pPr>
      <w:r w:rsidRPr="008B5482">
        <w:t>7.1.4.14.7.3.3</w:t>
      </w:r>
      <w:r w:rsidRPr="008B5482">
        <w:tab/>
      </w:r>
      <w:r w:rsidRPr="008B5482">
        <w:tab/>
        <w:t>Amend sub-paragraph (b) to read as follows:</w:t>
      </w:r>
    </w:p>
    <w:p w:rsidR="003A1330" w:rsidRDefault="003A1330" w:rsidP="003A1330">
      <w:pPr>
        <w:pStyle w:val="SingleTxtG"/>
        <w:ind w:left="2268" w:hanging="1134"/>
      </w:pPr>
      <w:bookmarkStart w:id="31" w:name="_GoBack"/>
      <w:bookmarkEnd w:id="31"/>
      <w:r w:rsidRPr="008B5482">
        <w:tab/>
        <w:t>“(b)</w:t>
      </w:r>
      <w:r w:rsidRPr="008B5482">
        <w:tab/>
        <w:t>The dose rate under routine conditions of carriage shall not exceed 2 mSv/h at any point on the external surface of the conveyance, and 0.1 mSv/h at 2 m from the external surface of the conveyance, except for consignments carried under exclusive use by [road or rail] for which the radiation limits around the conveyance are set forth in 7.1.4.14.7.3.5 (b) and (c);”</w:t>
      </w:r>
      <w:bookmarkEnd w:id="30"/>
      <w:r w:rsidRPr="008B5482">
        <w:t>.</w:t>
      </w:r>
    </w:p>
    <w:p w:rsidR="007D01ED" w:rsidRDefault="000D1DCC" w:rsidP="000D1DCC">
      <w:pPr>
        <w:pStyle w:val="SingleTxtG"/>
        <w:tabs>
          <w:tab w:val="left" w:pos="2835"/>
        </w:tabs>
        <w:ind w:left="567" w:right="946"/>
        <w:rPr>
          <w:b/>
          <w:bCs/>
          <w:i/>
          <w:iCs/>
          <w:color w:val="548DD4" w:themeColor="text2" w:themeTint="99"/>
        </w:rPr>
      </w:pPr>
      <w:r w:rsidRPr="000D1DCC">
        <w:rPr>
          <w:b/>
          <w:bCs/>
          <w:i/>
          <w:iCs/>
          <w:color w:val="548DD4" w:themeColor="text2" w:themeTint="99"/>
        </w:rPr>
        <w:t xml:space="preserve">Alternative proposals from the secretariat: </w:t>
      </w:r>
    </w:p>
    <w:p w:rsidR="000D1DCC" w:rsidRPr="000D1DCC" w:rsidRDefault="000D1DCC" w:rsidP="000D1DCC">
      <w:pPr>
        <w:pStyle w:val="SingleTxtG"/>
        <w:rPr>
          <w:i/>
          <w:iCs/>
          <w:color w:val="548DD4" w:themeColor="text2" w:themeTint="99"/>
        </w:rPr>
      </w:pPr>
      <w:bookmarkStart w:id="32" w:name="_Hlk5702786"/>
      <w:r w:rsidRPr="000D1DCC">
        <w:rPr>
          <w:i/>
          <w:iCs/>
          <w:color w:val="548DD4" w:themeColor="text2" w:themeTint="99"/>
        </w:rPr>
        <w:t>“(b)</w:t>
      </w:r>
      <w:r w:rsidRPr="000D1DCC">
        <w:rPr>
          <w:i/>
          <w:iCs/>
          <w:color w:val="548DD4" w:themeColor="text2" w:themeTint="99"/>
        </w:rPr>
        <w:tab/>
      </w:r>
      <w:r w:rsidRPr="000D1DCC">
        <w:rPr>
          <w:i/>
          <w:iCs/>
          <w:color w:val="548DD4" w:themeColor="text2" w:themeTint="99"/>
        </w:rPr>
        <w:t xml:space="preserve">The dose rate under routine conditions of carriage shall not exceed 2 mSv/h at any point on the external surface of vehicles, wagons or containers [loaded on the conveyance], and 0.1 mSv/h at 2 m from the external surface of vehicles, wagons or containers [loaded on the conveyance], except for consignments carried </w:t>
      </w:r>
      <w:r w:rsidRPr="000D1DCC">
        <w:rPr>
          <w:i/>
          <w:iCs/>
          <w:color w:val="548DD4" w:themeColor="text2" w:themeTint="99"/>
        </w:rPr>
        <w:lastRenderedPageBreak/>
        <w:t>under exclusive use in a vehicle or wagon for which the radiation limits around the vehicle</w:t>
      </w:r>
      <w:r>
        <w:rPr>
          <w:i/>
          <w:iCs/>
          <w:color w:val="548DD4" w:themeColor="text2" w:themeTint="99"/>
        </w:rPr>
        <w:t>s</w:t>
      </w:r>
      <w:r w:rsidRPr="000D1DCC">
        <w:rPr>
          <w:i/>
          <w:iCs/>
          <w:color w:val="548DD4" w:themeColor="text2" w:themeTint="99"/>
        </w:rPr>
        <w:t xml:space="preserve"> or wagon</w:t>
      </w:r>
      <w:r>
        <w:rPr>
          <w:i/>
          <w:iCs/>
          <w:color w:val="548DD4" w:themeColor="text2" w:themeTint="99"/>
        </w:rPr>
        <w:t>s</w:t>
      </w:r>
      <w:r w:rsidRPr="000D1DCC">
        <w:rPr>
          <w:i/>
          <w:iCs/>
          <w:color w:val="548DD4" w:themeColor="text2" w:themeTint="99"/>
        </w:rPr>
        <w:t> are set forth in 7.1.4.14.7.3.5 (b) and (c).”</w:t>
      </w:r>
      <w:bookmarkEnd w:id="32"/>
    </w:p>
    <w:p w:rsidR="000D1DCC" w:rsidRPr="000D1DCC" w:rsidRDefault="000D1DCC" w:rsidP="000D1DCC">
      <w:pPr>
        <w:pStyle w:val="SingleTxtG"/>
        <w:rPr>
          <w:i/>
          <w:iCs/>
          <w:color w:val="548DD4" w:themeColor="text2" w:themeTint="99"/>
        </w:rPr>
      </w:pPr>
      <w:r w:rsidRPr="000D1DCC">
        <w:rPr>
          <w:i/>
          <w:iCs/>
          <w:color w:val="548DD4" w:themeColor="text2" w:themeTint="99"/>
        </w:rPr>
        <w:t>“(b)</w:t>
      </w:r>
      <w:r w:rsidRPr="000D1DCC">
        <w:rPr>
          <w:i/>
          <w:iCs/>
          <w:color w:val="548DD4" w:themeColor="text2" w:themeTint="99"/>
        </w:rPr>
        <w:tab/>
      </w:r>
      <w:r w:rsidRPr="000D1DCC">
        <w:rPr>
          <w:i/>
          <w:iCs/>
          <w:color w:val="548DD4" w:themeColor="text2" w:themeTint="99"/>
        </w:rPr>
        <w:t>The dose rate under routine conditions of carriage shall not exceed 2 mSv/h at any point on the external surface of a vehicle, wagon or container, and 0.1 mSv/h at 2 m from the external surface of a vehicle, wagon or container, except for consignments carried under exclusive use in a vehicle or wagon for which the radiation limits around the vehicle or wagon are set forth in 7.1.4.14.7.3.5 (b) and (c).”</w:t>
      </w:r>
    </w:p>
    <w:p w:rsidR="003A1330" w:rsidRDefault="003A1330" w:rsidP="003A1330">
      <w:pPr>
        <w:pStyle w:val="SingleTxtG"/>
        <w:ind w:left="2268" w:hanging="1134"/>
      </w:pPr>
      <w:bookmarkStart w:id="33" w:name="_Hlk11159023"/>
      <w:r w:rsidRPr="00076120">
        <w:t>7.1.4.14.7.3.5</w:t>
      </w:r>
    </w:p>
    <w:p w:rsidR="003A1330" w:rsidRPr="00076120" w:rsidRDefault="003A1330" w:rsidP="003A1330">
      <w:pPr>
        <w:pStyle w:val="SingleTxtG"/>
        <w:ind w:left="2268" w:hanging="1134"/>
      </w:pPr>
      <w:r w:rsidRPr="00076120">
        <w:tab/>
        <w:t>Replace “radiation level” by “dose rate”.</w:t>
      </w:r>
    </w:p>
    <w:p w:rsidR="003A1330" w:rsidRDefault="003A1330" w:rsidP="003A1330">
      <w:pPr>
        <w:pStyle w:val="SingleTxtG"/>
        <w:ind w:left="2268" w:hanging="1134"/>
      </w:pPr>
      <w:r w:rsidRPr="00076120">
        <w:t>7.1.4.14.7.3.6</w:t>
      </w:r>
    </w:p>
    <w:p w:rsidR="003A1330" w:rsidRPr="00076120" w:rsidRDefault="003A1330" w:rsidP="003A1330">
      <w:pPr>
        <w:pStyle w:val="SingleTxtG"/>
        <w:ind w:left="2268" w:hanging="1134"/>
      </w:pPr>
      <w:r w:rsidRPr="00076120">
        <w:tab/>
        <w:t>Replace “radiation level” by “dose rate”.</w:t>
      </w:r>
    </w:p>
    <w:p w:rsidR="003A1330" w:rsidRDefault="003A1330" w:rsidP="003A1330">
      <w:pPr>
        <w:pStyle w:val="SingleTxtG"/>
        <w:ind w:left="2268" w:hanging="1134"/>
      </w:pPr>
      <w:r w:rsidRPr="00076120">
        <w:t>7.1.4.14.7.5.1</w:t>
      </w:r>
    </w:p>
    <w:p w:rsidR="003A1330" w:rsidRPr="00076120" w:rsidRDefault="003A1330" w:rsidP="003A1330">
      <w:pPr>
        <w:pStyle w:val="SingleTxtG"/>
        <w:ind w:left="2268" w:hanging="1134"/>
      </w:pPr>
      <w:r w:rsidRPr="00076120">
        <w:tab/>
        <w:t>Replace “radiation level” by “dose rate”.</w:t>
      </w:r>
    </w:p>
    <w:p w:rsidR="003A1330" w:rsidRDefault="003A1330" w:rsidP="003A1330">
      <w:pPr>
        <w:pStyle w:val="SingleTxtG"/>
        <w:ind w:left="2268" w:hanging="1134"/>
      </w:pPr>
      <w:r w:rsidRPr="00076120">
        <w:t>7.1.4.14.7.5.4</w:t>
      </w:r>
    </w:p>
    <w:p w:rsidR="003A1330" w:rsidRDefault="003A1330" w:rsidP="003A1330">
      <w:pPr>
        <w:pStyle w:val="SingleTxtG"/>
        <w:ind w:left="2268" w:hanging="1134"/>
      </w:pPr>
      <w:r w:rsidRPr="00076120">
        <w:tab/>
        <w:t>Replace “radiation level” by “dose rate”.</w:t>
      </w:r>
    </w:p>
    <w:p w:rsidR="00561CB3" w:rsidRPr="00561CB3" w:rsidRDefault="00561CB3" w:rsidP="003A1330">
      <w:pPr>
        <w:pStyle w:val="SingleTxtG"/>
        <w:ind w:left="2268" w:hanging="1134"/>
        <w:rPr>
          <w:color w:val="548DD4" w:themeColor="text2" w:themeTint="99"/>
        </w:rPr>
      </w:pPr>
      <w:r w:rsidRPr="00561CB3">
        <w:rPr>
          <w:color w:val="548DD4" w:themeColor="text2" w:themeTint="99"/>
        </w:rPr>
        <w:t>7.1.4.14.7.5.4 (c)</w:t>
      </w:r>
    </w:p>
    <w:p w:rsidR="00561CB3" w:rsidRPr="00561CB3" w:rsidRDefault="00561CB3" w:rsidP="003A1330">
      <w:pPr>
        <w:pStyle w:val="SingleTxtG"/>
        <w:ind w:left="2268" w:hanging="1134"/>
        <w:rPr>
          <w:color w:val="548DD4" w:themeColor="text2" w:themeTint="99"/>
        </w:rPr>
      </w:pPr>
      <w:r w:rsidRPr="00561CB3">
        <w:rPr>
          <w:color w:val="548DD4" w:themeColor="text2" w:themeTint="99"/>
        </w:rPr>
        <w:tab/>
        <w:t>Replace “radiation level” by “dose rate”.</w:t>
      </w:r>
    </w:p>
    <w:bookmarkEnd w:id="33"/>
    <w:p w:rsidR="00346289" w:rsidRPr="0009589B" w:rsidRDefault="00346289" w:rsidP="00346289">
      <w:pPr>
        <w:pStyle w:val="SingleTxtG"/>
        <w:spacing w:before="240" w:after="0"/>
        <w:jc w:val="center"/>
        <w:rPr>
          <w:u w:val="single"/>
        </w:rPr>
      </w:pPr>
      <w:r w:rsidRPr="0009589B">
        <w:rPr>
          <w:u w:val="single"/>
        </w:rPr>
        <w:tab/>
      </w:r>
      <w:r w:rsidRPr="0009589B">
        <w:rPr>
          <w:u w:val="single"/>
        </w:rPr>
        <w:tab/>
      </w:r>
      <w:r w:rsidRPr="0009589B">
        <w:rPr>
          <w:u w:val="single"/>
        </w:rPr>
        <w:tab/>
      </w:r>
    </w:p>
    <w:sectPr w:rsidR="00346289" w:rsidRPr="0009589B" w:rsidSect="006C1E41">
      <w:headerReference w:type="even" r:id="rId9"/>
      <w:headerReference w:type="default" r:id="rId10"/>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27A" w:rsidRDefault="003C427A" w:rsidP="00175700">
      <w:pPr>
        <w:spacing w:line="240" w:lineRule="auto"/>
      </w:pPr>
      <w:r>
        <w:separator/>
      </w:r>
    </w:p>
  </w:endnote>
  <w:endnote w:type="continuationSeparator" w:id="0">
    <w:p w:rsidR="003C427A" w:rsidRDefault="003C427A" w:rsidP="00175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32"/>
      <w:docPartObj>
        <w:docPartGallery w:val="Page Numbers (Bottom of Page)"/>
        <w:docPartUnique/>
      </w:docPartObj>
    </w:sdtPr>
    <w:sdtEndPr>
      <w:rPr>
        <w:noProof/>
      </w:rPr>
    </w:sdtEndPr>
    <w:sdtContent>
      <w:p w:rsidR="0058036B" w:rsidRDefault="0058036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621686"/>
      <w:docPartObj>
        <w:docPartGallery w:val="Page Numbers (Bottom of Page)"/>
        <w:docPartUnique/>
      </w:docPartObj>
    </w:sdtPr>
    <w:sdtEndPr>
      <w:rPr>
        <w:noProof/>
      </w:rPr>
    </w:sdtEndPr>
    <w:sdtContent>
      <w:p w:rsidR="0058036B" w:rsidRDefault="005803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27A" w:rsidRDefault="003C427A" w:rsidP="00175700">
      <w:pPr>
        <w:spacing w:line="240" w:lineRule="auto"/>
      </w:pPr>
      <w:r>
        <w:separator/>
      </w:r>
    </w:p>
  </w:footnote>
  <w:footnote w:type="continuationSeparator" w:id="0">
    <w:p w:rsidR="003C427A" w:rsidRDefault="003C427A" w:rsidP="00175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41" w:rsidRPr="006C1E41" w:rsidRDefault="006C1E41">
    <w:pPr>
      <w:pStyle w:val="Header"/>
      <w:rPr>
        <w:lang w:val="fr-CH"/>
      </w:rPr>
    </w:pPr>
    <w:r>
      <w:rPr>
        <w:lang w:val="fr-CH"/>
      </w:rPr>
      <w:t>INF.27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41" w:rsidRPr="006C1E41" w:rsidRDefault="006C1E41" w:rsidP="006C1E41">
    <w:pPr>
      <w:pStyle w:val="Header"/>
      <w:jc w:val="right"/>
      <w:rPr>
        <w:lang w:val="fr-CH"/>
      </w:rPr>
    </w:pPr>
    <w:r>
      <w:rPr>
        <w:lang w:val="fr-CH"/>
      </w:rPr>
      <w:t>INF.27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8"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1"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4"/>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3"/>
  </w:num>
  <w:num w:numId="14">
    <w:abstractNumId w:val="20"/>
  </w:num>
  <w:num w:numId="15">
    <w:abstractNumId w:val="10"/>
  </w:num>
  <w:num w:numId="16">
    <w:abstractNumId w:val="18"/>
  </w:num>
  <w:num w:numId="17">
    <w:abstractNumId w:val="24"/>
  </w:num>
  <w:num w:numId="18">
    <w:abstractNumId w:val="19"/>
  </w:num>
  <w:num w:numId="19">
    <w:abstractNumId w:val="16"/>
  </w:num>
  <w:num w:numId="20">
    <w:abstractNumId w:val="29"/>
  </w:num>
  <w:num w:numId="21">
    <w:abstractNumId w:val="17"/>
  </w:num>
  <w:num w:numId="22">
    <w:abstractNumId w:val="13"/>
  </w:num>
  <w:num w:numId="23">
    <w:abstractNumId w:val="30"/>
  </w:num>
  <w:num w:numId="24">
    <w:abstractNumId w:val="35"/>
  </w:num>
  <w:num w:numId="25">
    <w:abstractNumId w:val="31"/>
  </w:num>
  <w:num w:numId="26">
    <w:abstractNumId w:val="12"/>
  </w:num>
  <w:num w:numId="27">
    <w:abstractNumId w:val="22"/>
  </w:num>
  <w:num w:numId="28">
    <w:abstractNumId w:val="26"/>
  </w:num>
  <w:num w:numId="29">
    <w:abstractNumId w:val="15"/>
  </w:num>
  <w:num w:numId="30">
    <w:abstractNumId w:val="11"/>
  </w:num>
  <w:num w:numId="31">
    <w:abstractNumId w:val="27"/>
  </w:num>
  <w:num w:numId="32">
    <w:abstractNumId w:val="21"/>
  </w:num>
  <w:num w:numId="33">
    <w:abstractNumId w:val="33"/>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00"/>
    <w:rsid w:val="00014541"/>
    <w:rsid w:val="00031025"/>
    <w:rsid w:val="00061148"/>
    <w:rsid w:val="00065A20"/>
    <w:rsid w:val="00075435"/>
    <w:rsid w:val="0009589B"/>
    <w:rsid w:val="000D1DCC"/>
    <w:rsid w:val="000E1ADA"/>
    <w:rsid w:val="00175700"/>
    <w:rsid w:val="001D62EC"/>
    <w:rsid w:val="00250409"/>
    <w:rsid w:val="00282DD7"/>
    <w:rsid w:val="002C412B"/>
    <w:rsid w:val="00323713"/>
    <w:rsid w:val="00346289"/>
    <w:rsid w:val="00350775"/>
    <w:rsid w:val="00357FB2"/>
    <w:rsid w:val="003A1330"/>
    <w:rsid w:val="003A2BB3"/>
    <w:rsid w:val="003C01E3"/>
    <w:rsid w:val="003C10B9"/>
    <w:rsid w:val="003C207C"/>
    <w:rsid w:val="003C427A"/>
    <w:rsid w:val="003D5772"/>
    <w:rsid w:val="003E19D6"/>
    <w:rsid w:val="004566B8"/>
    <w:rsid w:val="004B5A77"/>
    <w:rsid w:val="004C63EC"/>
    <w:rsid w:val="004F78EE"/>
    <w:rsid w:val="00506CD4"/>
    <w:rsid w:val="005167BB"/>
    <w:rsid w:val="00552B08"/>
    <w:rsid w:val="00561CB3"/>
    <w:rsid w:val="00565297"/>
    <w:rsid w:val="0058036B"/>
    <w:rsid w:val="005D22CB"/>
    <w:rsid w:val="005D6C71"/>
    <w:rsid w:val="005E0282"/>
    <w:rsid w:val="0064510A"/>
    <w:rsid w:val="006A4E12"/>
    <w:rsid w:val="006B5C16"/>
    <w:rsid w:val="006C1388"/>
    <w:rsid w:val="006C1E41"/>
    <w:rsid w:val="006F1D29"/>
    <w:rsid w:val="006F2E46"/>
    <w:rsid w:val="0071012D"/>
    <w:rsid w:val="007171C0"/>
    <w:rsid w:val="00734207"/>
    <w:rsid w:val="007844C2"/>
    <w:rsid w:val="007D01ED"/>
    <w:rsid w:val="007D7A25"/>
    <w:rsid w:val="00860DA1"/>
    <w:rsid w:val="0087727F"/>
    <w:rsid w:val="00895D93"/>
    <w:rsid w:val="008E5B79"/>
    <w:rsid w:val="008F0A11"/>
    <w:rsid w:val="009111D1"/>
    <w:rsid w:val="00917501"/>
    <w:rsid w:val="0092684E"/>
    <w:rsid w:val="00930F93"/>
    <w:rsid w:val="00944976"/>
    <w:rsid w:val="00956EFA"/>
    <w:rsid w:val="00992952"/>
    <w:rsid w:val="009C7830"/>
    <w:rsid w:val="009D18AA"/>
    <w:rsid w:val="009D62D4"/>
    <w:rsid w:val="00A4107A"/>
    <w:rsid w:val="00A85E90"/>
    <w:rsid w:val="00B34DCB"/>
    <w:rsid w:val="00B57727"/>
    <w:rsid w:val="00BB1663"/>
    <w:rsid w:val="00C332BF"/>
    <w:rsid w:val="00C65283"/>
    <w:rsid w:val="00CB3958"/>
    <w:rsid w:val="00DA3D36"/>
    <w:rsid w:val="00DB4C7F"/>
    <w:rsid w:val="00DD396E"/>
    <w:rsid w:val="00DF1CEF"/>
    <w:rsid w:val="00E03851"/>
    <w:rsid w:val="00E15982"/>
    <w:rsid w:val="00E46F06"/>
    <w:rsid w:val="00E75A05"/>
    <w:rsid w:val="00E952AA"/>
    <w:rsid w:val="00EF5C48"/>
    <w:rsid w:val="00F13FDA"/>
    <w:rsid w:val="00F31F90"/>
    <w:rsid w:val="00F3452E"/>
    <w:rsid w:val="00F43F23"/>
    <w:rsid w:val="00F5143C"/>
    <w:rsid w:val="00F82F5E"/>
    <w:rsid w:val="00FA7947"/>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D71D09"/>
  <w15:chartTrackingRefBased/>
  <w15:docId w15:val="{D091AC55-E02C-4EC1-BB19-78ACDABF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C65283"/>
    <w:pPr>
      <w:numPr>
        <w:ilvl w:val="1"/>
        <w:numId w:val="5"/>
      </w:numPr>
      <w:spacing w:line="240" w:lineRule="auto"/>
      <w:outlineLvl w:val="1"/>
    </w:pPr>
  </w:style>
  <w:style w:type="paragraph" w:styleId="Heading3">
    <w:name w:val="heading 3"/>
    <w:basedOn w:val="Normal"/>
    <w:next w:val="Normal"/>
    <w:link w:val="Heading3Char"/>
    <w:qFormat/>
    <w:rsid w:val="00C65283"/>
    <w:pPr>
      <w:numPr>
        <w:ilvl w:val="2"/>
        <w:numId w:val="5"/>
      </w:numPr>
      <w:spacing w:line="240" w:lineRule="auto"/>
      <w:outlineLvl w:val="2"/>
    </w:pPr>
  </w:style>
  <w:style w:type="paragraph" w:styleId="Heading4">
    <w:name w:val="heading 4"/>
    <w:basedOn w:val="Normal"/>
    <w:next w:val="Normal"/>
    <w:link w:val="Heading4Char"/>
    <w:qFormat/>
    <w:rsid w:val="00C65283"/>
    <w:pPr>
      <w:numPr>
        <w:ilvl w:val="3"/>
        <w:numId w:val="5"/>
      </w:numPr>
      <w:spacing w:line="240" w:lineRule="auto"/>
      <w:outlineLvl w:val="3"/>
    </w:pPr>
  </w:style>
  <w:style w:type="paragraph" w:styleId="Heading5">
    <w:name w:val="heading 5"/>
    <w:basedOn w:val="Normal"/>
    <w:next w:val="Normal"/>
    <w:link w:val="Heading5Char"/>
    <w:qFormat/>
    <w:rsid w:val="00C65283"/>
    <w:pPr>
      <w:numPr>
        <w:ilvl w:val="4"/>
        <w:numId w:val="5"/>
      </w:numPr>
      <w:spacing w:line="240" w:lineRule="auto"/>
      <w:outlineLvl w:val="4"/>
    </w:pPr>
  </w:style>
  <w:style w:type="paragraph" w:styleId="Heading6">
    <w:name w:val="heading 6"/>
    <w:basedOn w:val="Normal"/>
    <w:next w:val="Normal"/>
    <w:link w:val="Heading6Char"/>
    <w:qFormat/>
    <w:rsid w:val="00C65283"/>
    <w:pPr>
      <w:numPr>
        <w:ilvl w:val="5"/>
        <w:numId w:val="5"/>
      </w:numPr>
      <w:spacing w:line="240" w:lineRule="auto"/>
      <w:outlineLvl w:val="5"/>
    </w:pPr>
  </w:style>
  <w:style w:type="paragraph" w:styleId="Heading7">
    <w:name w:val="heading 7"/>
    <w:basedOn w:val="Normal"/>
    <w:next w:val="Normal"/>
    <w:link w:val="Heading7Char"/>
    <w:qFormat/>
    <w:rsid w:val="00C65283"/>
    <w:pPr>
      <w:numPr>
        <w:ilvl w:val="6"/>
        <w:numId w:val="5"/>
      </w:numPr>
      <w:spacing w:line="240" w:lineRule="auto"/>
      <w:outlineLvl w:val="6"/>
    </w:pPr>
  </w:style>
  <w:style w:type="paragraph" w:styleId="Heading8">
    <w:name w:val="heading 8"/>
    <w:basedOn w:val="Normal"/>
    <w:next w:val="Normal"/>
    <w:link w:val="Heading8Char"/>
    <w:qFormat/>
    <w:rsid w:val="00C65283"/>
    <w:pPr>
      <w:numPr>
        <w:ilvl w:val="7"/>
        <w:numId w:val="5"/>
      </w:numPr>
      <w:spacing w:line="240" w:lineRule="auto"/>
      <w:outlineLvl w:val="7"/>
    </w:pPr>
  </w:style>
  <w:style w:type="paragraph" w:styleId="Heading9">
    <w:name w:val="heading 9"/>
    <w:basedOn w:val="Normal"/>
    <w:next w:val="Normal"/>
    <w:link w:val="Heading9Char"/>
    <w:qFormat/>
    <w:rsid w:val="00C6528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rPr>
      <w:rFonts w:eastAsia="Times New Roman"/>
      <w:lang w:eastAsia="en-US"/>
    </w:rPr>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4_GR"/>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5_GR"/>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qFormat/>
    <w:rsid w:val="00930F93"/>
    <w:rPr>
      <w:rFonts w:ascii="Times New Roman" w:hAnsi="Times New Roman"/>
      <w:b/>
      <w:sz w:val="18"/>
    </w:rPr>
  </w:style>
  <w:style w:type="table" w:styleId="TableGrid">
    <w:name w:val="Table Grid"/>
    <w:basedOn w:val="TableNormal"/>
    <w:uiPriority w:val="59"/>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44976"/>
    <w:rPr>
      <w:rFonts w:ascii="Segoe UI" w:eastAsia="Times New Roman" w:hAnsi="Segoe UI" w:cs="Segoe UI"/>
      <w:sz w:val="18"/>
      <w:szCs w:val="18"/>
      <w:lang w:eastAsia="en-US"/>
    </w:rPr>
  </w:style>
  <w:style w:type="character" w:styleId="Hyperlink">
    <w:name w:val="Hyperlink"/>
    <w:basedOn w:val="DefaultParagraphFont"/>
    <w:rsid w:val="003A1330"/>
    <w:rPr>
      <w:color w:val="0000FF"/>
      <w:u w:val="none"/>
    </w:rPr>
  </w:style>
  <w:style w:type="paragraph" w:customStyle="1" w:styleId="ParNoG">
    <w:name w:val="_ParNo_G"/>
    <w:basedOn w:val="SingleTxtG"/>
    <w:qFormat/>
    <w:rsid w:val="003A1330"/>
    <w:pPr>
      <w:numPr>
        <w:numId w:val="19"/>
      </w:numPr>
      <w:suppressAutoHyphens w:val="0"/>
    </w:pPr>
    <w:rPr>
      <w:lang w:eastAsia="fr-FR"/>
    </w:rPr>
  </w:style>
  <w:style w:type="character" w:customStyle="1" w:styleId="H23GChar">
    <w:name w:val="_ H_2/3_G Char"/>
    <w:link w:val="H23G"/>
    <w:rsid w:val="003A1330"/>
    <w:rPr>
      <w:rFonts w:eastAsia="Times New Roman"/>
      <w:b/>
      <w:lang w:eastAsia="en-US"/>
    </w:rPr>
  </w:style>
  <w:style w:type="paragraph" w:styleId="PlainText">
    <w:name w:val="Plain Text"/>
    <w:basedOn w:val="Normal"/>
    <w:link w:val="PlainTextChar"/>
    <w:rsid w:val="003A1330"/>
    <w:rPr>
      <w:rFonts w:cs="Courier New"/>
    </w:rPr>
  </w:style>
  <w:style w:type="character" w:customStyle="1" w:styleId="PlainTextChar">
    <w:name w:val="Plain Text Char"/>
    <w:basedOn w:val="DefaultParagraphFont"/>
    <w:link w:val="PlainText"/>
    <w:rsid w:val="003A1330"/>
    <w:rPr>
      <w:rFonts w:eastAsia="Times New Roman" w:cs="Courier New"/>
      <w:lang w:eastAsia="en-US"/>
    </w:rPr>
  </w:style>
  <w:style w:type="paragraph" w:styleId="BodyText">
    <w:name w:val="Body Text"/>
    <w:basedOn w:val="Normal"/>
    <w:next w:val="Normal"/>
    <w:link w:val="BodyTextChar"/>
    <w:rsid w:val="003A1330"/>
  </w:style>
  <w:style w:type="character" w:customStyle="1" w:styleId="BodyTextChar">
    <w:name w:val="Body Text Char"/>
    <w:basedOn w:val="DefaultParagraphFont"/>
    <w:link w:val="BodyText"/>
    <w:rsid w:val="003A1330"/>
    <w:rPr>
      <w:rFonts w:eastAsia="Times New Roman"/>
      <w:lang w:eastAsia="en-US"/>
    </w:rPr>
  </w:style>
  <w:style w:type="paragraph" w:styleId="BodyTextIndent">
    <w:name w:val="Body Text Indent"/>
    <w:basedOn w:val="Normal"/>
    <w:link w:val="BodyTextIndentChar"/>
    <w:rsid w:val="003A1330"/>
    <w:pPr>
      <w:spacing w:after="120"/>
      <w:ind w:left="283"/>
    </w:pPr>
  </w:style>
  <w:style w:type="character" w:customStyle="1" w:styleId="BodyTextIndentChar">
    <w:name w:val="Body Text Indent Char"/>
    <w:basedOn w:val="DefaultParagraphFont"/>
    <w:link w:val="BodyTextIndent"/>
    <w:rsid w:val="003A1330"/>
    <w:rPr>
      <w:rFonts w:eastAsia="Times New Roman"/>
      <w:lang w:eastAsia="en-US"/>
    </w:rPr>
  </w:style>
  <w:style w:type="paragraph" w:styleId="BlockText">
    <w:name w:val="Block Text"/>
    <w:basedOn w:val="Normal"/>
    <w:rsid w:val="003A1330"/>
    <w:pPr>
      <w:ind w:left="1440" w:right="1440"/>
    </w:pPr>
  </w:style>
  <w:style w:type="character" w:styleId="CommentReference">
    <w:name w:val="annotation reference"/>
    <w:basedOn w:val="DefaultParagraphFont"/>
    <w:semiHidden/>
    <w:rsid w:val="003A1330"/>
    <w:rPr>
      <w:sz w:val="6"/>
    </w:rPr>
  </w:style>
  <w:style w:type="paragraph" w:styleId="CommentText">
    <w:name w:val="annotation text"/>
    <w:basedOn w:val="Normal"/>
    <w:link w:val="CommentTextChar"/>
    <w:uiPriority w:val="99"/>
    <w:semiHidden/>
    <w:rsid w:val="003A1330"/>
  </w:style>
  <w:style w:type="character" w:customStyle="1" w:styleId="CommentTextChar">
    <w:name w:val="Comment Text Char"/>
    <w:basedOn w:val="DefaultParagraphFont"/>
    <w:link w:val="CommentText"/>
    <w:uiPriority w:val="99"/>
    <w:semiHidden/>
    <w:rsid w:val="003A1330"/>
    <w:rPr>
      <w:rFonts w:eastAsia="Times New Roman"/>
      <w:lang w:eastAsia="en-US"/>
    </w:rPr>
  </w:style>
  <w:style w:type="character" w:styleId="LineNumber">
    <w:name w:val="line number"/>
    <w:basedOn w:val="DefaultParagraphFont"/>
    <w:rsid w:val="003A1330"/>
    <w:rPr>
      <w:sz w:val="14"/>
    </w:rPr>
  </w:style>
  <w:style w:type="numbering" w:styleId="111111">
    <w:name w:val="Outline List 2"/>
    <w:basedOn w:val="NoList"/>
    <w:semiHidden/>
    <w:rsid w:val="003A1330"/>
    <w:pPr>
      <w:numPr>
        <w:numId w:val="20"/>
      </w:numPr>
    </w:pPr>
  </w:style>
  <w:style w:type="numbering" w:styleId="1ai">
    <w:name w:val="Outline List 1"/>
    <w:basedOn w:val="NoList"/>
    <w:semiHidden/>
    <w:rsid w:val="003A1330"/>
    <w:pPr>
      <w:numPr>
        <w:numId w:val="21"/>
      </w:numPr>
    </w:pPr>
  </w:style>
  <w:style w:type="numbering" w:styleId="ArticleSection">
    <w:name w:val="Outline List 3"/>
    <w:basedOn w:val="NoList"/>
    <w:semiHidden/>
    <w:rsid w:val="003A1330"/>
    <w:pPr>
      <w:numPr>
        <w:numId w:val="22"/>
      </w:numPr>
    </w:pPr>
  </w:style>
  <w:style w:type="paragraph" w:styleId="BodyText2">
    <w:name w:val="Body Text 2"/>
    <w:basedOn w:val="Normal"/>
    <w:link w:val="BodyText2Char"/>
    <w:rsid w:val="003A1330"/>
    <w:pPr>
      <w:spacing w:after="120" w:line="480" w:lineRule="auto"/>
    </w:pPr>
  </w:style>
  <w:style w:type="character" w:customStyle="1" w:styleId="BodyText2Char">
    <w:name w:val="Body Text 2 Char"/>
    <w:basedOn w:val="DefaultParagraphFont"/>
    <w:link w:val="BodyText2"/>
    <w:rsid w:val="003A1330"/>
    <w:rPr>
      <w:rFonts w:eastAsia="Times New Roman"/>
      <w:lang w:eastAsia="en-US"/>
    </w:rPr>
  </w:style>
  <w:style w:type="paragraph" w:styleId="BodyText3">
    <w:name w:val="Body Text 3"/>
    <w:basedOn w:val="Normal"/>
    <w:link w:val="BodyText3Char"/>
    <w:rsid w:val="003A1330"/>
    <w:pPr>
      <w:spacing w:after="120"/>
    </w:pPr>
    <w:rPr>
      <w:sz w:val="16"/>
      <w:szCs w:val="16"/>
    </w:rPr>
  </w:style>
  <w:style w:type="character" w:customStyle="1" w:styleId="BodyText3Char">
    <w:name w:val="Body Text 3 Char"/>
    <w:basedOn w:val="DefaultParagraphFont"/>
    <w:link w:val="BodyText3"/>
    <w:rsid w:val="003A1330"/>
    <w:rPr>
      <w:rFonts w:eastAsia="Times New Roman"/>
      <w:sz w:val="16"/>
      <w:szCs w:val="16"/>
      <w:lang w:eastAsia="en-US"/>
    </w:rPr>
  </w:style>
  <w:style w:type="paragraph" w:styleId="BodyTextFirstIndent">
    <w:name w:val="Body Text First Indent"/>
    <w:basedOn w:val="BodyText"/>
    <w:link w:val="BodyTextFirstIndentChar"/>
    <w:rsid w:val="003A1330"/>
    <w:pPr>
      <w:spacing w:after="120"/>
      <w:ind w:firstLine="210"/>
    </w:pPr>
  </w:style>
  <w:style w:type="character" w:customStyle="1" w:styleId="BodyTextFirstIndentChar">
    <w:name w:val="Body Text First Indent Char"/>
    <w:basedOn w:val="BodyTextChar"/>
    <w:link w:val="BodyTextFirstIndent"/>
    <w:rsid w:val="003A1330"/>
    <w:rPr>
      <w:rFonts w:eastAsia="Times New Roman"/>
      <w:lang w:eastAsia="en-US"/>
    </w:rPr>
  </w:style>
  <w:style w:type="paragraph" w:styleId="BodyTextFirstIndent2">
    <w:name w:val="Body Text First Indent 2"/>
    <w:basedOn w:val="BodyTextIndent"/>
    <w:link w:val="BodyTextFirstIndent2Char"/>
    <w:rsid w:val="003A1330"/>
    <w:pPr>
      <w:ind w:firstLine="210"/>
    </w:pPr>
  </w:style>
  <w:style w:type="character" w:customStyle="1" w:styleId="BodyTextFirstIndent2Char">
    <w:name w:val="Body Text First Indent 2 Char"/>
    <w:basedOn w:val="BodyTextIndentChar"/>
    <w:link w:val="BodyTextFirstIndent2"/>
    <w:rsid w:val="003A1330"/>
    <w:rPr>
      <w:rFonts w:eastAsia="Times New Roman"/>
      <w:lang w:eastAsia="en-US"/>
    </w:rPr>
  </w:style>
  <w:style w:type="paragraph" w:styleId="BodyTextIndent2">
    <w:name w:val="Body Text Indent 2"/>
    <w:basedOn w:val="Normal"/>
    <w:link w:val="BodyTextIndent2Char"/>
    <w:rsid w:val="003A1330"/>
    <w:pPr>
      <w:spacing w:after="120" w:line="480" w:lineRule="auto"/>
      <w:ind w:left="283"/>
    </w:pPr>
  </w:style>
  <w:style w:type="character" w:customStyle="1" w:styleId="BodyTextIndent2Char">
    <w:name w:val="Body Text Indent 2 Char"/>
    <w:basedOn w:val="DefaultParagraphFont"/>
    <w:link w:val="BodyTextIndent2"/>
    <w:rsid w:val="003A1330"/>
    <w:rPr>
      <w:rFonts w:eastAsia="Times New Roman"/>
      <w:lang w:eastAsia="en-US"/>
    </w:rPr>
  </w:style>
  <w:style w:type="paragraph" w:styleId="BodyTextIndent3">
    <w:name w:val="Body Text Indent 3"/>
    <w:basedOn w:val="Normal"/>
    <w:link w:val="BodyTextIndent3Char"/>
    <w:rsid w:val="003A1330"/>
    <w:pPr>
      <w:spacing w:after="120"/>
      <w:ind w:left="283"/>
    </w:pPr>
    <w:rPr>
      <w:sz w:val="16"/>
      <w:szCs w:val="16"/>
    </w:rPr>
  </w:style>
  <w:style w:type="character" w:customStyle="1" w:styleId="BodyTextIndent3Char">
    <w:name w:val="Body Text Indent 3 Char"/>
    <w:basedOn w:val="DefaultParagraphFont"/>
    <w:link w:val="BodyTextIndent3"/>
    <w:rsid w:val="003A1330"/>
    <w:rPr>
      <w:rFonts w:eastAsia="Times New Roman"/>
      <w:sz w:val="16"/>
      <w:szCs w:val="16"/>
      <w:lang w:eastAsia="en-US"/>
    </w:rPr>
  </w:style>
  <w:style w:type="paragraph" w:styleId="Closing">
    <w:name w:val="Closing"/>
    <w:basedOn w:val="Normal"/>
    <w:link w:val="ClosingChar"/>
    <w:rsid w:val="003A1330"/>
    <w:pPr>
      <w:ind w:left="4252"/>
    </w:pPr>
  </w:style>
  <w:style w:type="character" w:customStyle="1" w:styleId="ClosingChar">
    <w:name w:val="Closing Char"/>
    <w:basedOn w:val="DefaultParagraphFont"/>
    <w:link w:val="Closing"/>
    <w:rsid w:val="003A1330"/>
    <w:rPr>
      <w:rFonts w:eastAsia="Times New Roman"/>
      <w:lang w:eastAsia="en-US"/>
    </w:rPr>
  </w:style>
  <w:style w:type="paragraph" w:styleId="Date">
    <w:name w:val="Date"/>
    <w:basedOn w:val="Normal"/>
    <w:next w:val="Normal"/>
    <w:link w:val="DateChar"/>
    <w:rsid w:val="003A1330"/>
  </w:style>
  <w:style w:type="character" w:customStyle="1" w:styleId="DateChar">
    <w:name w:val="Date Char"/>
    <w:basedOn w:val="DefaultParagraphFont"/>
    <w:link w:val="Date"/>
    <w:rsid w:val="003A1330"/>
    <w:rPr>
      <w:rFonts w:eastAsia="Times New Roman"/>
      <w:lang w:eastAsia="en-US"/>
    </w:rPr>
  </w:style>
  <w:style w:type="paragraph" w:styleId="E-mailSignature">
    <w:name w:val="E-mail Signature"/>
    <w:basedOn w:val="Normal"/>
    <w:link w:val="E-mailSignatureChar"/>
    <w:rsid w:val="003A1330"/>
  </w:style>
  <w:style w:type="character" w:customStyle="1" w:styleId="E-mailSignatureChar">
    <w:name w:val="E-mail Signature Char"/>
    <w:basedOn w:val="DefaultParagraphFont"/>
    <w:link w:val="E-mailSignature"/>
    <w:rsid w:val="003A1330"/>
    <w:rPr>
      <w:rFonts w:eastAsia="Times New Roman"/>
      <w:lang w:eastAsia="en-US"/>
    </w:rPr>
  </w:style>
  <w:style w:type="character" w:styleId="Emphasis">
    <w:name w:val="Emphasis"/>
    <w:basedOn w:val="DefaultParagraphFont"/>
    <w:qFormat/>
    <w:rsid w:val="003A1330"/>
    <w:rPr>
      <w:i/>
      <w:iCs/>
    </w:rPr>
  </w:style>
  <w:style w:type="paragraph" w:styleId="EnvelopeReturn">
    <w:name w:val="envelope return"/>
    <w:basedOn w:val="Normal"/>
    <w:rsid w:val="003A1330"/>
    <w:rPr>
      <w:rFonts w:ascii="Arial" w:hAnsi="Arial" w:cs="Arial"/>
    </w:rPr>
  </w:style>
  <w:style w:type="character" w:styleId="HTMLAcronym">
    <w:name w:val="HTML Acronym"/>
    <w:basedOn w:val="DefaultParagraphFont"/>
    <w:rsid w:val="003A1330"/>
  </w:style>
  <w:style w:type="paragraph" w:styleId="HTMLAddress">
    <w:name w:val="HTML Address"/>
    <w:basedOn w:val="Normal"/>
    <w:link w:val="HTMLAddressChar"/>
    <w:rsid w:val="003A1330"/>
    <w:rPr>
      <w:i/>
      <w:iCs/>
    </w:rPr>
  </w:style>
  <w:style w:type="character" w:customStyle="1" w:styleId="HTMLAddressChar">
    <w:name w:val="HTML Address Char"/>
    <w:basedOn w:val="DefaultParagraphFont"/>
    <w:link w:val="HTMLAddress"/>
    <w:rsid w:val="003A1330"/>
    <w:rPr>
      <w:rFonts w:eastAsia="Times New Roman"/>
      <w:i/>
      <w:iCs/>
      <w:lang w:eastAsia="en-US"/>
    </w:rPr>
  </w:style>
  <w:style w:type="character" w:styleId="HTMLCite">
    <w:name w:val="HTML Cite"/>
    <w:basedOn w:val="DefaultParagraphFont"/>
    <w:rsid w:val="003A1330"/>
    <w:rPr>
      <w:i/>
      <w:iCs/>
    </w:rPr>
  </w:style>
  <w:style w:type="character" w:styleId="HTMLCode">
    <w:name w:val="HTML Code"/>
    <w:basedOn w:val="DefaultParagraphFont"/>
    <w:rsid w:val="003A1330"/>
    <w:rPr>
      <w:rFonts w:ascii="Courier New" w:hAnsi="Courier New" w:cs="Courier New"/>
      <w:sz w:val="20"/>
      <w:szCs w:val="20"/>
    </w:rPr>
  </w:style>
  <w:style w:type="character" w:styleId="HTMLDefinition">
    <w:name w:val="HTML Definition"/>
    <w:basedOn w:val="DefaultParagraphFont"/>
    <w:rsid w:val="003A1330"/>
    <w:rPr>
      <w:i/>
      <w:iCs/>
    </w:rPr>
  </w:style>
  <w:style w:type="character" w:styleId="HTMLKeyboard">
    <w:name w:val="HTML Keyboard"/>
    <w:basedOn w:val="DefaultParagraphFont"/>
    <w:rsid w:val="003A1330"/>
    <w:rPr>
      <w:rFonts w:ascii="Courier New" w:hAnsi="Courier New" w:cs="Courier New"/>
      <w:sz w:val="20"/>
      <w:szCs w:val="20"/>
    </w:rPr>
  </w:style>
  <w:style w:type="paragraph" w:styleId="HTMLPreformatted">
    <w:name w:val="HTML Preformatted"/>
    <w:basedOn w:val="Normal"/>
    <w:link w:val="HTMLPreformattedChar"/>
    <w:semiHidden/>
    <w:rsid w:val="003A1330"/>
    <w:rPr>
      <w:rFonts w:ascii="Courier New" w:hAnsi="Courier New" w:cs="Courier New"/>
    </w:rPr>
  </w:style>
  <w:style w:type="character" w:customStyle="1" w:styleId="HTMLPreformattedChar">
    <w:name w:val="HTML Preformatted Char"/>
    <w:basedOn w:val="DefaultParagraphFont"/>
    <w:link w:val="HTMLPreformatted"/>
    <w:semiHidden/>
    <w:rsid w:val="003A1330"/>
    <w:rPr>
      <w:rFonts w:ascii="Courier New" w:eastAsia="Times New Roman" w:hAnsi="Courier New" w:cs="Courier New"/>
      <w:lang w:eastAsia="en-US"/>
    </w:rPr>
  </w:style>
  <w:style w:type="character" w:styleId="HTMLSample">
    <w:name w:val="HTML Sample"/>
    <w:basedOn w:val="DefaultParagraphFont"/>
    <w:rsid w:val="003A1330"/>
    <w:rPr>
      <w:rFonts w:ascii="Courier New" w:hAnsi="Courier New" w:cs="Courier New"/>
    </w:rPr>
  </w:style>
  <w:style w:type="character" w:styleId="HTMLTypewriter">
    <w:name w:val="HTML Typewriter"/>
    <w:basedOn w:val="DefaultParagraphFont"/>
    <w:rsid w:val="003A1330"/>
    <w:rPr>
      <w:rFonts w:ascii="Courier New" w:hAnsi="Courier New" w:cs="Courier New"/>
      <w:sz w:val="20"/>
      <w:szCs w:val="20"/>
    </w:rPr>
  </w:style>
  <w:style w:type="character" w:styleId="HTMLVariable">
    <w:name w:val="HTML Variable"/>
    <w:basedOn w:val="DefaultParagraphFont"/>
    <w:rsid w:val="003A1330"/>
    <w:rPr>
      <w:i/>
      <w:iCs/>
    </w:rPr>
  </w:style>
  <w:style w:type="paragraph" w:styleId="List">
    <w:name w:val="List"/>
    <w:basedOn w:val="Normal"/>
    <w:rsid w:val="003A1330"/>
    <w:pPr>
      <w:ind w:left="283" w:hanging="283"/>
    </w:pPr>
  </w:style>
  <w:style w:type="paragraph" w:styleId="List2">
    <w:name w:val="List 2"/>
    <w:basedOn w:val="Normal"/>
    <w:rsid w:val="003A1330"/>
    <w:pPr>
      <w:ind w:left="566" w:hanging="283"/>
    </w:pPr>
  </w:style>
  <w:style w:type="paragraph" w:styleId="List3">
    <w:name w:val="List 3"/>
    <w:basedOn w:val="Normal"/>
    <w:rsid w:val="003A1330"/>
    <w:pPr>
      <w:ind w:left="849" w:hanging="283"/>
    </w:pPr>
  </w:style>
  <w:style w:type="paragraph" w:styleId="List4">
    <w:name w:val="List 4"/>
    <w:basedOn w:val="Normal"/>
    <w:rsid w:val="003A1330"/>
    <w:pPr>
      <w:ind w:left="1132" w:hanging="283"/>
    </w:pPr>
  </w:style>
  <w:style w:type="paragraph" w:styleId="List5">
    <w:name w:val="List 5"/>
    <w:basedOn w:val="Normal"/>
    <w:rsid w:val="003A1330"/>
    <w:pPr>
      <w:ind w:left="1415" w:hanging="283"/>
    </w:pPr>
  </w:style>
  <w:style w:type="paragraph" w:styleId="ListBullet">
    <w:name w:val="List Bullet"/>
    <w:basedOn w:val="Normal"/>
    <w:rsid w:val="003A1330"/>
    <w:pPr>
      <w:tabs>
        <w:tab w:val="num" w:pos="360"/>
      </w:tabs>
      <w:ind w:left="360" w:hanging="360"/>
    </w:pPr>
  </w:style>
  <w:style w:type="paragraph" w:styleId="ListBullet2">
    <w:name w:val="List Bullet 2"/>
    <w:basedOn w:val="Normal"/>
    <w:rsid w:val="003A1330"/>
    <w:pPr>
      <w:tabs>
        <w:tab w:val="num" w:pos="643"/>
      </w:tabs>
      <w:ind w:left="643" w:hanging="360"/>
    </w:pPr>
  </w:style>
  <w:style w:type="paragraph" w:styleId="ListBullet3">
    <w:name w:val="List Bullet 3"/>
    <w:basedOn w:val="Normal"/>
    <w:rsid w:val="003A1330"/>
    <w:pPr>
      <w:tabs>
        <w:tab w:val="num" w:pos="926"/>
      </w:tabs>
      <w:ind w:left="926" w:hanging="360"/>
    </w:pPr>
  </w:style>
  <w:style w:type="paragraph" w:styleId="ListBullet4">
    <w:name w:val="List Bullet 4"/>
    <w:basedOn w:val="Normal"/>
    <w:rsid w:val="003A1330"/>
    <w:pPr>
      <w:tabs>
        <w:tab w:val="num" w:pos="1209"/>
      </w:tabs>
      <w:ind w:left="1209" w:hanging="360"/>
    </w:pPr>
  </w:style>
  <w:style w:type="paragraph" w:styleId="ListBullet5">
    <w:name w:val="List Bullet 5"/>
    <w:basedOn w:val="Normal"/>
    <w:rsid w:val="003A1330"/>
    <w:pPr>
      <w:tabs>
        <w:tab w:val="num" w:pos="1492"/>
      </w:tabs>
      <w:ind w:left="1492" w:hanging="360"/>
    </w:pPr>
  </w:style>
  <w:style w:type="paragraph" w:styleId="ListContinue">
    <w:name w:val="List Continue"/>
    <w:basedOn w:val="Normal"/>
    <w:rsid w:val="003A1330"/>
    <w:pPr>
      <w:spacing w:after="120"/>
      <w:ind w:left="283"/>
    </w:pPr>
  </w:style>
  <w:style w:type="paragraph" w:styleId="ListContinue2">
    <w:name w:val="List Continue 2"/>
    <w:basedOn w:val="Normal"/>
    <w:rsid w:val="003A1330"/>
    <w:pPr>
      <w:spacing w:after="120"/>
      <w:ind w:left="566"/>
    </w:pPr>
  </w:style>
  <w:style w:type="paragraph" w:styleId="ListContinue3">
    <w:name w:val="List Continue 3"/>
    <w:basedOn w:val="Normal"/>
    <w:rsid w:val="003A1330"/>
    <w:pPr>
      <w:spacing w:after="120"/>
      <w:ind w:left="849"/>
    </w:pPr>
  </w:style>
  <w:style w:type="paragraph" w:styleId="ListContinue4">
    <w:name w:val="List Continue 4"/>
    <w:basedOn w:val="Normal"/>
    <w:rsid w:val="003A1330"/>
    <w:pPr>
      <w:spacing w:after="120"/>
      <w:ind w:left="1132"/>
    </w:pPr>
  </w:style>
  <w:style w:type="paragraph" w:styleId="ListContinue5">
    <w:name w:val="List Continue 5"/>
    <w:basedOn w:val="Normal"/>
    <w:rsid w:val="003A1330"/>
    <w:pPr>
      <w:spacing w:after="120"/>
      <w:ind w:left="1415"/>
    </w:pPr>
  </w:style>
  <w:style w:type="paragraph" w:styleId="ListNumber">
    <w:name w:val="List Number"/>
    <w:basedOn w:val="Normal"/>
    <w:rsid w:val="003A1330"/>
    <w:pPr>
      <w:tabs>
        <w:tab w:val="num" w:pos="360"/>
      </w:tabs>
      <w:ind w:left="360" w:hanging="360"/>
    </w:pPr>
  </w:style>
  <w:style w:type="paragraph" w:styleId="ListNumber2">
    <w:name w:val="List Number 2"/>
    <w:basedOn w:val="Normal"/>
    <w:rsid w:val="003A1330"/>
    <w:pPr>
      <w:tabs>
        <w:tab w:val="num" w:pos="643"/>
      </w:tabs>
      <w:ind w:left="643" w:hanging="360"/>
    </w:pPr>
  </w:style>
  <w:style w:type="paragraph" w:styleId="ListNumber3">
    <w:name w:val="List Number 3"/>
    <w:basedOn w:val="Normal"/>
    <w:rsid w:val="003A1330"/>
    <w:pPr>
      <w:tabs>
        <w:tab w:val="num" w:pos="926"/>
      </w:tabs>
      <w:ind w:left="926" w:hanging="360"/>
    </w:pPr>
  </w:style>
  <w:style w:type="paragraph" w:styleId="ListNumber4">
    <w:name w:val="List Number 4"/>
    <w:basedOn w:val="Normal"/>
    <w:rsid w:val="003A1330"/>
    <w:pPr>
      <w:tabs>
        <w:tab w:val="num" w:pos="1209"/>
      </w:tabs>
      <w:ind w:left="1209" w:hanging="360"/>
    </w:pPr>
  </w:style>
  <w:style w:type="paragraph" w:styleId="ListNumber5">
    <w:name w:val="List Number 5"/>
    <w:basedOn w:val="Normal"/>
    <w:rsid w:val="003A1330"/>
    <w:pPr>
      <w:tabs>
        <w:tab w:val="num" w:pos="1492"/>
      </w:tabs>
      <w:ind w:left="1492" w:hanging="360"/>
    </w:pPr>
  </w:style>
  <w:style w:type="paragraph" w:styleId="MessageHeader">
    <w:name w:val="Message Header"/>
    <w:basedOn w:val="Normal"/>
    <w:link w:val="MessageHeaderChar"/>
    <w:rsid w:val="003A13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3A1330"/>
    <w:rPr>
      <w:rFonts w:ascii="Arial" w:eastAsia="Times New Roman" w:hAnsi="Arial" w:cs="Arial"/>
      <w:sz w:val="24"/>
      <w:szCs w:val="24"/>
      <w:shd w:val="pct20" w:color="auto" w:fill="auto"/>
      <w:lang w:eastAsia="en-US"/>
    </w:rPr>
  </w:style>
  <w:style w:type="paragraph" w:styleId="NormalWeb">
    <w:name w:val="Normal (Web)"/>
    <w:basedOn w:val="Normal"/>
    <w:uiPriority w:val="99"/>
    <w:rsid w:val="003A1330"/>
    <w:rPr>
      <w:sz w:val="24"/>
      <w:szCs w:val="24"/>
    </w:rPr>
  </w:style>
  <w:style w:type="paragraph" w:styleId="NormalIndent">
    <w:name w:val="Normal Indent"/>
    <w:basedOn w:val="Normal"/>
    <w:rsid w:val="003A1330"/>
    <w:pPr>
      <w:ind w:left="567"/>
    </w:pPr>
  </w:style>
  <w:style w:type="paragraph" w:styleId="NoteHeading">
    <w:name w:val="Note Heading"/>
    <w:basedOn w:val="Normal"/>
    <w:next w:val="Normal"/>
    <w:link w:val="NoteHeadingChar"/>
    <w:rsid w:val="003A1330"/>
  </w:style>
  <w:style w:type="character" w:customStyle="1" w:styleId="NoteHeadingChar">
    <w:name w:val="Note Heading Char"/>
    <w:basedOn w:val="DefaultParagraphFont"/>
    <w:link w:val="NoteHeading"/>
    <w:rsid w:val="003A1330"/>
    <w:rPr>
      <w:rFonts w:eastAsia="Times New Roman"/>
      <w:lang w:eastAsia="en-US"/>
    </w:rPr>
  </w:style>
  <w:style w:type="paragraph" w:styleId="Salutation">
    <w:name w:val="Salutation"/>
    <w:basedOn w:val="Normal"/>
    <w:next w:val="Normal"/>
    <w:link w:val="SalutationChar"/>
    <w:rsid w:val="003A1330"/>
  </w:style>
  <w:style w:type="character" w:customStyle="1" w:styleId="SalutationChar">
    <w:name w:val="Salutation Char"/>
    <w:basedOn w:val="DefaultParagraphFont"/>
    <w:link w:val="Salutation"/>
    <w:rsid w:val="003A1330"/>
    <w:rPr>
      <w:rFonts w:eastAsia="Times New Roman"/>
      <w:lang w:eastAsia="en-US"/>
    </w:rPr>
  </w:style>
  <w:style w:type="paragraph" w:styleId="Signature">
    <w:name w:val="Signature"/>
    <w:basedOn w:val="Normal"/>
    <w:link w:val="SignatureChar"/>
    <w:rsid w:val="003A1330"/>
    <w:pPr>
      <w:ind w:left="4252"/>
    </w:pPr>
  </w:style>
  <w:style w:type="character" w:customStyle="1" w:styleId="SignatureChar">
    <w:name w:val="Signature Char"/>
    <w:basedOn w:val="DefaultParagraphFont"/>
    <w:link w:val="Signature"/>
    <w:rsid w:val="003A1330"/>
    <w:rPr>
      <w:rFonts w:eastAsia="Times New Roman"/>
      <w:lang w:eastAsia="en-US"/>
    </w:rPr>
  </w:style>
  <w:style w:type="character" w:styleId="Strong">
    <w:name w:val="Strong"/>
    <w:basedOn w:val="DefaultParagraphFont"/>
    <w:qFormat/>
    <w:rsid w:val="003A1330"/>
    <w:rPr>
      <w:b/>
      <w:bCs/>
    </w:rPr>
  </w:style>
  <w:style w:type="paragraph" w:styleId="Subtitle">
    <w:name w:val="Subtitle"/>
    <w:basedOn w:val="Normal"/>
    <w:link w:val="SubtitleChar"/>
    <w:qFormat/>
    <w:rsid w:val="003A133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3A1330"/>
    <w:rPr>
      <w:rFonts w:ascii="Arial" w:eastAsia="Times New Roman" w:hAnsi="Arial" w:cs="Arial"/>
      <w:sz w:val="24"/>
      <w:szCs w:val="24"/>
      <w:lang w:eastAsia="en-US"/>
    </w:rPr>
  </w:style>
  <w:style w:type="table" w:styleId="Table3Deffects1">
    <w:name w:val="Table 3D effects 1"/>
    <w:basedOn w:val="TableNormal"/>
    <w:semiHidden/>
    <w:rsid w:val="003A1330"/>
    <w:pPr>
      <w:suppressAutoHyphens/>
      <w:spacing w:line="240" w:lineRule="atLeast"/>
    </w:pPr>
    <w:rPr>
      <w:rFonts w:eastAsia="Times New Roman"/>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1330"/>
    <w:pPr>
      <w:suppressAutoHyphens/>
      <w:spacing w:line="240" w:lineRule="atLeast"/>
    </w:pPr>
    <w:rPr>
      <w:rFonts w:eastAsia="Times New Roman"/>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1330"/>
    <w:pPr>
      <w:suppressAutoHyphens/>
      <w:spacing w:line="240" w:lineRule="atLeast"/>
    </w:pPr>
    <w:rPr>
      <w:rFonts w:eastAsia="Times New Roman"/>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1330"/>
    <w:pPr>
      <w:suppressAutoHyphens/>
      <w:spacing w:line="240" w:lineRule="atLeast"/>
    </w:pPr>
    <w:rPr>
      <w:rFonts w:eastAsia="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1330"/>
    <w:pPr>
      <w:suppressAutoHyphens/>
      <w:spacing w:line="240" w:lineRule="atLeast"/>
    </w:pPr>
    <w:rPr>
      <w:rFonts w:eastAsia="Times New Roma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1330"/>
    <w:pPr>
      <w:suppressAutoHyphens/>
      <w:spacing w:line="240" w:lineRule="atLeast"/>
    </w:pPr>
    <w:rPr>
      <w:rFonts w:eastAsia="Times New Roman"/>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1330"/>
    <w:pPr>
      <w:suppressAutoHyphens/>
      <w:spacing w:line="240" w:lineRule="atLeast"/>
    </w:pPr>
    <w:rPr>
      <w:rFonts w:eastAsia="Times New Roman"/>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1330"/>
    <w:pPr>
      <w:suppressAutoHyphens/>
      <w:spacing w:line="240" w:lineRule="atLeast"/>
    </w:pPr>
    <w:rPr>
      <w:rFonts w:eastAsia="Times New Roman"/>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1330"/>
    <w:pPr>
      <w:suppressAutoHyphens/>
      <w:spacing w:line="240" w:lineRule="atLeast"/>
    </w:pPr>
    <w:rPr>
      <w:rFonts w:eastAsia="Times New Roman"/>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1330"/>
    <w:pPr>
      <w:suppressAutoHyphens/>
      <w:spacing w:line="240" w:lineRule="atLeast"/>
    </w:pPr>
    <w:rPr>
      <w:rFonts w:eastAsia="Times New Roman"/>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1330"/>
    <w:pPr>
      <w:suppressAutoHyphens/>
      <w:spacing w:line="240" w:lineRule="atLeast"/>
    </w:pPr>
    <w:rPr>
      <w:rFonts w:eastAsia="Times New Roman"/>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1330"/>
    <w:pPr>
      <w:suppressAutoHyphens/>
      <w:spacing w:line="240" w:lineRule="atLeast"/>
    </w:pPr>
    <w:rPr>
      <w:rFonts w:eastAsia="Times New Roman"/>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1330"/>
    <w:pPr>
      <w:suppressAutoHyphens/>
      <w:spacing w:line="240" w:lineRule="atLeast"/>
    </w:pPr>
    <w:rPr>
      <w:rFonts w:eastAsia="Times New Roman"/>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1330"/>
    <w:pPr>
      <w:suppressAutoHyphens/>
      <w:spacing w:line="240" w:lineRule="atLeast"/>
    </w:pPr>
    <w:rPr>
      <w:rFonts w:eastAsia="Times New Roman"/>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1330"/>
    <w:pPr>
      <w:suppressAutoHyphens/>
      <w:spacing w:line="240" w:lineRule="atLeast"/>
    </w:pPr>
    <w:rPr>
      <w:rFonts w:eastAsia="Times New Roman"/>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1330"/>
    <w:pPr>
      <w:suppressAutoHyphens/>
      <w:spacing w:line="240" w:lineRule="atLeast"/>
    </w:pPr>
    <w:rPr>
      <w:rFonts w:eastAsia="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1330"/>
    <w:pPr>
      <w:suppressAutoHyphens/>
      <w:spacing w:line="240" w:lineRule="atLeast"/>
    </w:pPr>
    <w:rPr>
      <w:rFonts w:eastAsia="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1330"/>
    <w:pPr>
      <w:suppressAutoHyphens/>
      <w:spacing w:line="240" w:lineRule="atLeast"/>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1330"/>
    <w:pPr>
      <w:suppressAutoHyphens/>
      <w:spacing w:line="240" w:lineRule="atLeast"/>
    </w:pPr>
    <w:rPr>
      <w:rFonts w:eastAsia="Times New Roman"/>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1330"/>
    <w:pPr>
      <w:suppressAutoHyphens/>
      <w:spacing w:line="240" w:lineRule="atLeast"/>
    </w:pPr>
    <w:rPr>
      <w:rFonts w:eastAsia="Times New Roman"/>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1330"/>
    <w:pPr>
      <w:suppressAutoHyphens/>
      <w:spacing w:line="240" w:lineRule="atLeast"/>
    </w:pPr>
    <w:rPr>
      <w:rFonts w:eastAsia="Times New Roman"/>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1330"/>
    <w:pPr>
      <w:suppressAutoHyphens/>
      <w:spacing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1330"/>
    <w:pPr>
      <w:suppressAutoHyphens/>
      <w:spacing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1330"/>
    <w:pPr>
      <w:suppressAutoHyphens/>
      <w:spacing w:line="240" w:lineRule="atLeast"/>
    </w:pPr>
    <w:rPr>
      <w:rFonts w:eastAsia="Times New Roman"/>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1330"/>
    <w:pPr>
      <w:suppressAutoHyphens/>
      <w:spacing w:line="240" w:lineRule="atLeast"/>
    </w:pPr>
    <w:rPr>
      <w:rFonts w:eastAsia="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1330"/>
    <w:pPr>
      <w:suppressAutoHyphens/>
      <w:spacing w:line="240" w:lineRule="atLeast"/>
    </w:pPr>
    <w:rPr>
      <w:rFonts w:eastAsia="Times New Roman"/>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1330"/>
    <w:pPr>
      <w:suppressAutoHyphens/>
      <w:spacing w:line="240" w:lineRule="atLeast"/>
    </w:pPr>
    <w:rPr>
      <w:rFonts w:eastAsia="Times New Roman"/>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1330"/>
    <w:pPr>
      <w:suppressAutoHyphens/>
      <w:spacing w:line="240" w:lineRule="atLeast"/>
    </w:pPr>
    <w:rPr>
      <w:rFonts w:eastAsia="Times New Roman"/>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1330"/>
    <w:pPr>
      <w:suppressAutoHyphens/>
      <w:spacing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1330"/>
    <w:pPr>
      <w:suppressAutoHyphens/>
      <w:spacing w:line="240" w:lineRule="atLeast"/>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1330"/>
    <w:pPr>
      <w:suppressAutoHyphens/>
      <w:spacing w:line="240" w:lineRule="atLeast"/>
    </w:pPr>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1330"/>
    <w:pPr>
      <w:suppressAutoHyphens/>
      <w:spacing w:line="240" w:lineRule="atLeast"/>
    </w:pPr>
    <w:rPr>
      <w:rFonts w:eastAsia="Times New Roman"/>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1330"/>
    <w:pPr>
      <w:suppressAutoHyphens/>
      <w:spacing w:line="240" w:lineRule="atLeast"/>
    </w:pPr>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1330"/>
    <w:pPr>
      <w:suppressAutoHyphens/>
      <w:spacing w:line="240" w:lineRule="atLeast"/>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1330"/>
    <w:pPr>
      <w:suppressAutoHyphens/>
      <w:spacing w:line="240" w:lineRule="atLeast"/>
    </w:pPr>
    <w:rPr>
      <w:rFonts w:eastAsia="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1330"/>
    <w:pPr>
      <w:suppressAutoHyphens/>
      <w:spacing w:line="240" w:lineRule="atLeast"/>
    </w:pPr>
    <w:rPr>
      <w:rFonts w:eastAsia="Times New Roman"/>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1330"/>
    <w:pPr>
      <w:suppressAutoHyphens/>
      <w:spacing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1330"/>
    <w:pPr>
      <w:suppressAutoHyphens/>
      <w:spacing w:line="240" w:lineRule="atLeast"/>
    </w:pPr>
    <w:rPr>
      <w:rFonts w:eastAsia="Times New Roman"/>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1330"/>
    <w:pPr>
      <w:suppressAutoHyphens/>
      <w:spacing w:line="240" w:lineRule="atLeast"/>
    </w:pPr>
    <w:rPr>
      <w:rFonts w:eastAsia="Times New Roman"/>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1330"/>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1330"/>
    <w:pPr>
      <w:suppressAutoHyphens/>
      <w:spacing w:line="240" w:lineRule="atLeast"/>
    </w:pPr>
    <w:rPr>
      <w:rFonts w:eastAsia="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1330"/>
    <w:pPr>
      <w:suppressAutoHyphens/>
      <w:spacing w:line="240" w:lineRule="atLeast"/>
    </w:pPr>
    <w:rPr>
      <w:rFonts w:eastAsia="Times New Roman"/>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1330"/>
    <w:pPr>
      <w:suppressAutoHyphens/>
      <w:spacing w:line="240" w:lineRule="atLeast"/>
    </w:pPr>
    <w:rPr>
      <w:rFonts w:eastAsia="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A133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A1330"/>
    <w:rPr>
      <w:rFonts w:ascii="Arial" w:eastAsia="Times New Roman" w:hAnsi="Arial" w:cs="Arial"/>
      <w:b/>
      <w:bCs/>
      <w:kern w:val="28"/>
      <w:sz w:val="32"/>
      <w:szCs w:val="32"/>
      <w:lang w:eastAsia="en-US"/>
    </w:rPr>
  </w:style>
  <w:style w:type="paragraph" w:styleId="EnvelopeAddress">
    <w:name w:val="envelope address"/>
    <w:basedOn w:val="Normal"/>
    <w:rsid w:val="003A1330"/>
    <w:pPr>
      <w:framePr w:w="7920" w:h="1980" w:hRule="exact" w:hSpace="180" w:wrap="auto" w:hAnchor="page" w:xAlign="center" w:yAlign="bottom"/>
      <w:ind w:left="2880"/>
    </w:pPr>
    <w:rPr>
      <w:rFonts w:ascii="Arial" w:hAnsi="Arial" w:cs="Arial"/>
      <w:sz w:val="24"/>
      <w:szCs w:val="24"/>
    </w:rPr>
  </w:style>
  <w:style w:type="character" w:customStyle="1" w:styleId="SingleTxtGCar">
    <w:name w:val="_ Single Txt_G Car"/>
    <w:rsid w:val="003A1330"/>
    <w:rPr>
      <w:lang w:eastAsia="en-US"/>
    </w:rPr>
  </w:style>
  <w:style w:type="character" w:customStyle="1" w:styleId="SingleTxtGZchnZchn">
    <w:name w:val="_ Single Txt_G Zchn Zchn"/>
    <w:uiPriority w:val="99"/>
    <w:rsid w:val="003A1330"/>
    <w:rPr>
      <w:lang w:eastAsia="en-US"/>
    </w:rPr>
  </w:style>
  <w:style w:type="paragraph" w:customStyle="1" w:styleId="p1">
    <w:name w:val="p1"/>
    <w:basedOn w:val="Normal"/>
    <w:rsid w:val="003A1330"/>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3A1330"/>
  </w:style>
  <w:style w:type="paragraph" w:styleId="CommentSubject">
    <w:name w:val="annotation subject"/>
    <w:basedOn w:val="CommentText"/>
    <w:next w:val="CommentText"/>
    <w:link w:val="CommentSubjectChar"/>
    <w:unhideWhenUsed/>
    <w:rsid w:val="003A1330"/>
    <w:pPr>
      <w:spacing w:line="240" w:lineRule="auto"/>
    </w:pPr>
    <w:rPr>
      <w:b/>
      <w:bCs/>
    </w:rPr>
  </w:style>
  <w:style w:type="character" w:customStyle="1" w:styleId="CommentSubjectChar">
    <w:name w:val="Comment Subject Char"/>
    <w:basedOn w:val="CommentTextChar"/>
    <w:link w:val="CommentSubject"/>
    <w:rsid w:val="003A1330"/>
    <w:rPr>
      <w:rFonts w:eastAsia="Times New Roman"/>
      <w:b/>
      <w:bCs/>
      <w:lang w:eastAsia="en-US"/>
    </w:rPr>
  </w:style>
  <w:style w:type="paragraph" w:styleId="Revision">
    <w:name w:val="Revision"/>
    <w:hidden/>
    <w:uiPriority w:val="99"/>
    <w:semiHidden/>
    <w:rsid w:val="003A1330"/>
    <w:rPr>
      <w:rFonts w:eastAsia="Times New Roman"/>
      <w:lang w:eastAsia="en-US"/>
    </w:rPr>
  </w:style>
  <w:style w:type="paragraph" w:styleId="ListParagraph">
    <w:name w:val="List Paragraph"/>
    <w:basedOn w:val="Normal"/>
    <w:uiPriority w:val="34"/>
    <w:qFormat/>
    <w:rsid w:val="003A1330"/>
    <w:pPr>
      <w:ind w:left="720"/>
      <w:contextualSpacing/>
    </w:pPr>
  </w:style>
  <w:style w:type="paragraph" w:styleId="NoSpacing">
    <w:name w:val="No Spacing"/>
    <w:uiPriority w:val="1"/>
    <w:qFormat/>
    <w:rsid w:val="003A1330"/>
    <w:rPr>
      <w:rFonts w:eastAsia="Calibri"/>
      <w:color w:val="000000"/>
      <w:sz w:val="24"/>
      <w:szCs w:val="24"/>
      <w:lang w:val="en-US" w:eastAsia="en-US"/>
    </w:rPr>
  </w:style>
  <w:style w:type="paragraph" w:customStyle="1" w:styleId="TableParagraph">
    <w:name w:val="Table Paragraph"/>
    <w:basedOn w:val="Normal"/>
    <w:uiPriority w:val="1"/>
    <w:qFormat/>
    <w:rsid w:val="003A1330"/>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3A1330"/>
  </w:style>
  <w:style w:type="paragraph" w:customStyle="1" w:styleId="Default">
    <w:name w:val="Default"/>
    <w:rsid w:val="003A1330"/>
    <w:pPr>
      <w:widowControl w:val="0"/>
      <w:autoSpaceDE w:val="0"/>
      <w:autoSpaceDN w:val="0"/>
      <w:adjustRightInd w:val="0"/>
    </w:pPr>
    <w:rPr>
      <w:rFonts w:eastAsia="Times New Roman"/>
      <w:color w:val="000000"/>
      <w:sz w:val="24"/>
      <w:szCs w:val="24"/>
      <w:lang w:val="en-US" w:eastAsia="en-US"/>
    </w:rPr>
  </w:style>
  <w:style w:type="paragraph" w:customStyle="1" w:styleId="Style1">
    <w:name w:val="Style1"/>
    <w:basedOn w:val="Normal"/>
    <w:rsid w:val="003A1330"/>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3A1330"/>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3A1330"/>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3A1330"/>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3A1330"/>
  </w:style>
  <w:style w:type="paragraph" w:customStyle="1" w:styleId="Points">
    <w:name w:val="Points"/>
    <w:basedOn w:val="BodyText"/>
    <w:rsid w:val="003A1330"/>
    <w:pPr>
      <w:numPr>
        <w:numId w:val="33"/>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3A1330"/>
    <w:pPr>
      <w:tabs>
        <w:tab w:val="num" w:pos="570"/>
      </w:tabs>
      <w:spacing w:before="60" w:after="60" w:line="280" w:lineRule="exact"/>
      <w:ind w:left="570" w:hanging="570"/>
    </w:pPr>
  </w:style>
  <w:style w:type="paragraph" w:customStyle="1" w:styleId="Tablecaption">
    <w:name w:val="Table caption"/>
    <w:basedOn w:val="BodyText"/>
    <w:rsid w:val="003A1330"/>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3A1330"/>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3A1330"/>
    <w:rPr>
      <w:rFonts w:ascii="Arial" w:eastAsia="Calibri" w:hAnsi="Arial" w:cs="Arial"/>
      <w:lang w:val="en-AU" w:eastAsia="en-AU"/>
    </w:rPr>
  </w:style>
  <w:style w:type="paragraph" w:customStyle="1" w:styleId="DocList">
    <w:name w:val="DocList"/>
    <w:basedOn w:val="SingleTxtG"/>
    <w:rsid w:val="003A1330"/>
    <w:pPr>
      <w:spacing w:after="240"/>
      <w:ind w:left="3701" w:right="1138" w:hanging="2002"/>
      <w:jc w:val="left"/>
    </w:pPr>
    <w:rPr>
      <w:i/>
      <w:lang w:val="en-US"/>
    </w:rPr>
  </w:style>
  <w:style w:type="paragraph" w:customStyle="1" w:styleId="Body1">
    <w:name w:val="Body 1"/>
    <w:rsid w:val="003A1330"/>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3A1330"/>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A1330"/>
    <w:rPr>
      <w:color w:val="605E5C"/>
      <w:shd w:val="clear" w:color="auto" w:fill="E1DFDD"/>
    </w:rPr>
  </w:style>
  <w:style w:type="table" w:customStyle="1" w:styleId="TableGrid10">
    <w:name w:val="Table Grid1"/>
    <w:basedOn w:val="TableNormal"/>
    <w:next w:val="TableGrid"/>
    <w:uiPriority w:val="39"/>
    <w:rsid w:val="003A1330"/>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A1330"/>
    <w:pPr>
      <w:spacing w:after="200" w:line="240" w:lineRule="auto"/>
    </w:pPr>
    <w:rPr>
      <w:i/>
      <w:iCs/>
      <w:color w:val="1F497D" w:themeColor="text2"/>
      <w:sz w:val="18"/>
      <w:szCs w:val="18"/>
      <w:lang w:val="en-US"/>
    </w:rPr>
  </w:style>
  <w:style w:type="character" w:styleId="UnresolvedMention">
    <w:name w:val="Unresolved Mention"/>
    <w:basedOn w:val="DefaultParagraphFont"/>
    <w:uiPriority w:val="99"/>
    <w:semiHidden/>
    <w:unhideWhenUsed/>
    <w:rsid w:val="00E75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oc/2019/dgac10c3/UN-SCETDG-55-INF49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ece.org/fileadmin/DAM/trans/doc/2019/dgac10c3/UN-SCETDG-55-INF49e.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6784</TotalTime>
  <Pages>19</Pages>
  <Words>6932</Words>
  <Characters>37990</Characters>
  <Application>Microsoft Office Word</Application>
  <DocSecurity>0</DocSecurity>
  <Lines>863</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Alibech Mireles Diaz</cp:lastModifiedBy>
  <cp:revision>36</cp:revision>
  <cp:lastPrinted>2019-01-16T13:17:00Z</cp:lastPrinted>
  <dcterms:created xsi:type="dcterms:W3CDTF">2019-07-16T14:48:00Z</dcterms:created>
  <dcterms:modified xsi:type="dcterms:W3CDTF">2019-07-30T09:53:00Z</dcterms:modified>
</cp:coreProperties>
</file>