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C83406" w:rsidTr="002C6F6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C83406" w:rsidRDefault="00C83406" w:rsidP="002C6F6B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C83406" w:rsidRPr="00D47EEA" w:rsidRDefault="00C83406" w:rsidP="002C6F6B">
            <w:pPr>
              <w:jc w:val="right"/>
            </w:pPr>
            <w:r>
              <w:rPr>
                <w:b/>
                <w:sz w:val="40"/>
                <w:szCs w:val="40"/>
              </w:rPr>
              <w:t>INF.18</w:t>
            </w:r>
          </w:p>
        </w:tc>
      </w:tr>
      <w:tr w:rsidR="00C83406" w:rsidTr="002C6F6B">
        <w:trPr>
          <w:cantSplit/>
          <w:trHeight w:hRule="exact" w:val="3973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83406" w:rsidRDefault="00C83406" w:rsidP="002C6F6B">
            <w:pPr>
              <w:spacing w:before="120" w:after="120"/>
              <w:rPr>
                <w:b/>
                <w:sz w:val="28"/>
                <w:szCs w:val="28"/>
              </w:rPr>
            </w:pPr>
            <w:r w:rsidRPr="00832334">
              <w:rPr>
                <w:b/>
                <w:sz w:val="28"/>
                <w:szCs w:val="28"/>
              </w:rPr>
              <w:t xml:space="preserve">Economic Commission for </w:t>
            </w:r>
            <w:smartTag w:uri="urn:schemas-microsoft-com:office:smarttags" w:element="place">
              <w:r w:rsidRPr="00832334">
                <w:rPr>
                  <w:b/>
                  <w:sz w:val="28"/>
                  <w:szCs w:val="28"/>
                </w:rPr>
                <w:t>Europe</w:t>
              </w:r>
            </w:smartTag>
          </w:p>
          <w:p w:rsidR="00C83406" w:rsidRDefault="00C83406" w:rsidP="002C6F6B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Inland Transport Committee</w:t>
            </w:r>
          </w:p>
          <w:p w:rsidR="00C83406" w:rsidRPr="00D530E5" w:rsidRDefault="00C83406" w:rsidP="002C6F6B">
            <w:pPr>
              <w:spacing w:before="120"/>
              <w:rPr>
                <w:b/>
                <w:sz w:val="24"/>
                <w:szCs w:val="24"/>
              </w:rPr>
            </w:pPr>
            <w:r w:rsidRPr="00D530E5">
              <w:rPr>
                <w:b/>
                <w:sz w:val="24"/>
                <w:szCs w:val="24"/>
              </w:rPr>
              <w:t>Working Party on the Transport of Dangerous Goods</w:t>
            </w:r>
          </w:p>
          <w:p w:rsidR="00C83406" w:rsidRDefault="00C83406" w:rsidP="002C6F6B">
            <w:pPr>
              <w:spacing w:before="120"/>
              <w:rPr>
                <w:b/>
              </w:rPr>
            </w:pPr>
            <w:r w:rsidRPr="008F31D2">
              <w:rPr>
                <w:b/>
              </w:rPr>
              <w:t xml:space="preserve">Joint Meeting of Experts </w:t>
            </w:r>
            <w:r>
              <w:rPr>
                <w:b/>
              </w:rPr>
              <w:t>on the Regulations annexed to the</w:t>
            </w:r>
            <w:r>
              <w:rPr>
                <w:b/>
              </w:rPr>
              <w:br/>
              <w:t>European Agreement concerning the International Carriage</w:t>
            </w:r>
            <w:r>
              <w:rPr>
                <w:b/>
              </w:rPr>
              <w:br/>
              <w:t>of Dangerous Goods by Inland Waterways (ADN)</w:t>
            </w:r>
            <w:r>
              <w:rPr>
                <w:b/>
              </w:rPr>
              <w:br/>
              <w:t>(ADN Safety Committee)</w:t>
            </w:r>
          </w:p>
          <w:p w:rsidR="00C83406" w:rsidRDefault="00C83406" w:rsidP="002C6F6B">
            <w:pPr>
              <w:spacing w:before="120"/>
              <w:rPr>
                <w:b/>
              </w:rPr>
            </w:pPr>
            <w:r>
              <w:rPr>
                <w:b/>
              </w:rPr>
              <w:t>Thirty-fifth session</w:t>
            </w:r>
          </w:p>
          <w:p w:rsidR="00C83406" w:rsidRPr="00D530E5" w:rsidRDefault="00C83406" w:rsidP="002C6F6B">
            <w:pPr>
              <w:rPr>
                <w:bCs/>
              </w:rPr>
            </w:pPr>
            <w:r w:rsidRPr="00D530E5">
              <w:rPr>
                <w:bCs/>
              </w:rPr>
              <w:t xml:space="preserve">Geneva, </w:t>
            </w:r>
            <w:r>
              <w:rPr>
                <w:bCs/>
              </w:rPr>
              <w:t>26-30 August 2019</w:t>
            </w:r>
          </w:p>
          <w:p w:rsidR="001C3D37" w:rsidRDefault="00C83406" w:rsidP="001C3D37">
            <w:pPr>
              <w:rPr>
                <w:b/>
                <w:bCs/>
              </w:rPr>
            </w:pPr>
            <w:r w:rsidRPr="00D530E5">
              <w:rPr>
                <w:bCs/>
              </w:rPr>
              <w:t xml:space="preserve">Item </w:t>
            </w:r>
            <w:r w:rsidR="00954521">
              <w:rPr>
                <w:bCs/>
              </w:rPr>
              <w:t>4</w:t>
            </w:r>
            <w:r>
              <w:rPr>
                <w:bCs/>
              </w:rPr>
              <w:t xml:space="preserve"> (</w:t>
            </w:r>
            <w:r w:rsidR="00954521">
              <w:rPr>
                <w:bCs/>
              </w:rPr>
              <w:t>b</w:t>
            </w:r>
            <w:r>
              <w:rPr>
                <w:bCs/>
              </w:rPr>
              <w:t>)</w:t>
            </w:r>
            <w:r w:rsidRPr="00D530E5">
              <w:rPr>
                <w:bCs/>
              </w:rPr>
              <w:t xml:space="preserve"> of the provisional agenda</w:t>
            </w:r>
            <w:r>
              <w:br/>
            </w:r>
            <w:r w:rsidR="00954521" w:rsidRPr="00954521">
              <w:rPr>
                <w:b/>
                <w:bCs/>
              </w:rPr>
              <w:t xml:space="preserve">Proposals for amendments to the Regulations annexed to </w:t>
            </w:r>
            <w:r w:rsidR="00954521">
              <w:rPr>
                <w:b/>
                <w:bCs/>
              </w:rPr>
              <w:t>ADN:</w:t>
            </w:r>
          </w:p>
          <w:p w:rsidR="00C83406" w:rsidRPr="00D773DF" w:rsidRDefault="00954521" w:rsidP="00954521">
            <w:r>
              <w:rPr>
                <w:b/>
                <w:bCs/>
              </w:rPr>
              <w:t>o</w:t>
            </w:r>
            <w:r w:rsidRPr="00954521">
              <w:rPr>
                <w:b/>
                <w:bCs/>
              </w:rPr>
              <w:t>ther proposals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C83406" w:rsidRDefault="00C83406" w:rsidP="002C6F6B">
            <w:pPr>
              <w:tabs>
                <w:tab w:val="right" w:pos="2835"/>
              </w:tabs>
              <w:spacing w:before="120"/>
            </w:pPr>
            <w:r>
              <w:tab/>
            </w:r>
          </w:p>
          <w:p w:rsidR="00C83406" w:rsidRDefault="00C83406" w:rsidP="002C6F6B">
            <w:pPr>
              <w:spacing w:before="120"/>
            </w:pPr>
            <w:r>
              <w:t>22 July 2019</w:t>
            </w:r>
            <w:r>
              <w:br/>
              <w:t>English</w:t>
            </w:r>
          </w:p>
        </w:tc>
      </w:tr>
    </w:tbl>
    <w:p w:rsidR="00C83406" w:rsidRDefault="00C83406" w:rsidP="00C83406">
      <w:pPr>
        <w:pStyle w:val="HChG"/>
      </w:pPr>
      <w:r w:rsidRPr="00C83406">
        <w:tab/>
      </w:r>
      <w:r>
        <w:tab/>
      </w:r>
      <w:r w:rsidRPr="00C83406">
        <w:t>Corrections to 9.3.x.12.4 (b)(</w:t>
      </w:r>
      <w:proofErr w:type="spellStart"/>
      <w:r w:rsidRPr="00C83406">
        <w:t>i</w:t>
      </w:r>
      <w:proofErr w:type="spellEnd"/>
      <w:r w:rsidRPr="00C83406">
        <w:t>)</w:t>
      </w:r>
    </w:p>
    <w:p w:rsidR="004138B9" w:rsidRPr="004138B9" w:rsidRDefault="004138B9" w:rsidP="004138B9">
      <w:pPr>
        <w:pStyle w:val="H1G"/>
      </w:pPr>
      <w:r>
        <w:tab/>
      </w:r>
      <w:r>
        <w:tab/>
        <w:t>Transmitted by the informal working group of Recommended ADN Classification Societies</w:t>
      </w:r>
      <w:bookmarkStart w:id="0" w:name="_GoBack"/>
      <w:bookmarkEnd w:id="0"/>
    </w:p>
    <w:p w:rsidR="00C83406" w:rsidRPr="00465896" w:rsidRDefault="00D91539" w:rsidP="00D91539">
      <w:pPr>
        <w:pStyle w:val="HChG"/>
        <w:tabs>
          <w:tab w:val="clear" w:pos="851"/>
        </w:tabs>
        <w:ind w:left="0" w:firstLine="0"/>
      </w:pPr>
      <w:r>
        <w:tab/>
      </w:r>
      <w:r w:rsidR="00954521">
        <w:tab/>
      </w:r>
      <w:r w:rsidR="00C83406" w:rsidRPr="00465896">
        <w:t>ADN 2019</w:t>
      </w:r>
    </w:p>
    <w:p w:rsidR="00C83406" w:rsidRDefault="00C83406" w:rsidP="00D91539">
      <w:pPr>
        <w:pStyle w:val="SingleTxtG"/>
        <w:rPr>
          <w:rFonts w:eastAsia="SimSun"/>
          <w:lang w:val="en-US" w:eastAsia="zh-CN"/>
        </w:rPr>
      </w:pPr>
      <w:r w:rsidRPr="00C83406">
        <w:rPr>
          <w:color w:val="000000" w:themeColor="text1"/>
        </w:rPr>
        <w:t>1.</w:t>
      </w:r>
      <w:r w:rsidR="004138B9">
        <w:rPr>
          <w:color w:val="000000" w:themeColor="text1"/>
        </w:rPr>
        <w:tab/>
      </w:r>
      <w:r w:rsidRPr="00465896">
        <w:rPr>
          <w:color w:val="000000" w:themeColor="text1"/>
        </w:rPr>
        <w:t>A</w:t>
      </w:r>
      <w:r>
        <w:rPr>
          <w:color w:val="000000" w:themeColor="text1"/>
        </w:rPr>
        <w:t>ccording to 1.2.1 (Definitions) a “</w:t>
      </w:r>
      <w:r w:rsidRPr="0096320F">
        <w:rPr>
          <w:color w:val="000000" w:themeColor="text1"/>
          <w:u w:val="single"/>
        </w:rPr>
        <w:t>p</w:t>
      </w:r>
      <w:proofErr w:type="spellStart"/>
      <w:r w:rsidRPr="0096320F">
        <w:rPr>
          <w:rFonts w:eastAsia="SimSun"/>
          <w:iCs/>
          <w:u w:val="single"/>
          <w:lang w:val="en-US" w:eastAsia="zh-CN"/>
        </w:rPr>
        <w:t>rotected</w:t>
      </w:r>
      <w:proofErr w:type="spellEnd"/>
      <w:r w:rsidRPr="0096320F">
        <w:rPr>
          <w:rFonts w:eastAsia="SimSun"/>
          <w:iCs/>
          <w:u w:val="single"/>
          <w:lang w:val="en-US" w:eastAsia="zh-CN"/>
        </w:rPr>
        <w:t xml:space="preserve"> area</w:t>
      </w:r>
      <w:r>
        <w:rPr>
          <w:rFonts w:eastAsia="SimSun"/>
          <w:iCs/>
          <w:u w:val="single"/>
          <w:lang w:val="en-US" w:eastAsia="zh-CN"/>
        </w:rPr>
        <w:t>”</w:t>
      </w:r>
      <w:r w:rsidRPr="00465896">
        <w:rPr>
          <w:rFonts w:eastAsia="SimSun"/>
          <w:i/>
          <w:iCs/>
          <w:lang w:val="en-US" w:eastAsia="zh-CN"/>
        </w:rPr>
        <w:t xml:space="preserve"> </w:t>
      </w:r>
      <w:r w:rsidRPr="00465896">
        <w:rPr>
          <w:rFonts w:eastAsia="SimSun"/>
          <w:lang w:val="en-US" w:eastAsia="zh-CN"/>
        </w:rPr>
        <w:t>is a space on board of dry cargo vessels.</w:t>
      </w:r>
    </w:p>
    <w:p w:rsidR="00C83406" w:rsidRPr="00465896" w:rsidRDefault="00C83406" w:rsidP="00D91539">
      <w:pPr>
        <w:pStyle w:val="SingleTxtG"/>
        <w:rPr>
          <w:rFonts w:eastAsia="SimSun"/>
          <w:lang w:val="en-US" w:eastAsia="zh-CN"/>
        </w:rPr>
      </w:pPr>
      <w:r>
        <w:rPr>
          <w:color w:val="000000" w:themeColor="text1"/>
        </w:rPr>
        <w:t>2.</w:t>
      </w:r>
      <w:r>
        <w:rPr>
          <w:color w:val="000000" w:themeColor="text1"/>
        </w:rPr>
        <w:tab/>
      </w:r>
      <w:r w:rsidRPr="00465896">
        <w:rPr>
          <w:color w:val="000000" w:themeColor="text1"/>
        </w:rPr>
        <w:t>“9.3.x.12.4</w:t>
      </w:r>
    </w:p>
    <w:p w:rsidR="00C83406" w:rsidRPr="00465896" w:rsidRDefault="00D91539" w:rsidP="00C83406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83406" w:rsidRPr="00465896">
        <w:rPr>
          <w:color w:val="000000" w:themeColor="text1"/>
        </w:rPr>
        <w:t>(a)</w:t>
      </w:r>
      <w:r w:rsidR="00C83406">
        <w:rPr>
          <w:color w:val="000000" w:themeColor="text1"/>
        </w:rPr>
        <w:tab/>
      </w:r>
      <w:r w:rsidR="00C83406" w:rsidRPr="00465896">
        <w:rPr>
          <w:color w:val="000000" w:themeColor="text1"/>
        </w:rPr>
        <w:t>Ventilation shall be provided for the accommodation, wheelhouse and service spaces</w:t>
      </w:r>
      <w:r w:rsidR="00C83406">
        <w:rPr>
          <w:color w:val="000000" w:themeColor="text1"/>
        </w:rPr>
        <w:t>;</w:t>
      </w:r>
    </w:p>
    <w:p w:rsidR="00C83406" w:rsidRPr="00465896" w:rsidRDefault="00D91539" w:rsidP="00C83406">
      <w:pPr>
        <w:pStyle w:val="SingleTxt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83406" w:rsidRPr="00465896">
        <w:rPr>
          <w:color w:val="000000" w:themeColor="text1"/>
        </w:rPr>
        <w:t>(b)</w:t>
      </w:r>
      <w:r w:rsidR="00C83406">
        <w:rPr>
          <w:color w:val="000000" w:themeColor="text1"/>
        </w:rPr>
        <w:tab/>
      </w:r>
      <w:r w:rsidR="00C83406" w:rsidRPr="00465896">
        <w:rPr>
          <w:color w:val="000000" w:themeColor="text1"/>
        </w:rPr>
        <w:t>The ventilation system in such spaces shall meet the following requirements:</w:t>
      </w:r>
    </w:p>
    <w:p w:rsidR="00C83406" w:rsidRDefault="00C83406" w:rsidP="00C83406">
      <w:pPr>
        <w:pStyle w:val="SingleTxtG"/>
        <w:ind w:left="1701"/>
        <w:rPr>
          <w:color w:val="000000" w:themeColor="text1"/>
        </w:rPr>
      </w:pPr>
      <w:r w:rsidRPr="00465896">
        <w:rPr>
          <w:color w:val="000000" w:themeColor="text1"/>
        </w:rPr>
        <w:t>(</w:t>
      </w:r>
      <w:proofErr w:type="spellStart"/>
      <w:r w:rsidRPr="00465896">
        <w:rPr>
          <w:color w:val="000000" w:themeColor="text1"/>
        </w:rPr>
        <w:t>i</w:t>
      </w:r>
      <w:proofErr w:type="spellEnd"/>
      <w:r w:rsidRPr="00465896">
        <w:rPr>
          <w:color w:val="000000" w:themeColor="text1"/>
        </w:rPr>
        <w:t>)</w:t>
      </w:r>
      <w:r>
        <w:rPr>
          <w:color w:val="000000" w:themeColor="text1"/>
        </w:rPr>
        <w:tab/>
      </w:r>
      <w:r w:rsidRPr="00465896">
        <w:rPr>
          <w:color w:val="000000" w:themeColor="text1"/>
        </w:rPr>
        <w:t>The air intakes shall be located as far away as possible, and not less than 6.00</w:t>
      </w:r>
      <w:r>
        <w:rPr>
          <w:color w:val="000000" w:themeColor="text1"/>
        </w:rPr>
        <w:t> </w:t>
      </w:r>
      <w:r w:rsidRPr="00465896">
        <w:rPr>
          <w:color w:val="000000" w:themeColor="text1"/>
        </w:rPr>
        <w:t xml:space="preserve">m from the </w:t>
      </w:r>
      <w:r w:rsidRPr="00465896">
        <w:rPr>
          <w:color w:val="000000" w:themeColor="text1"/>
          <w:u w:val="single"/>
        </w:rPr>
        <w:t>protected area</w:t>
      </w:r>
      <w:r w:rsidRPr="00465896">
        <w:rPr>
          <w:color w:val="000000" w:themeColor="text1"/>
        </w:rPr>
        <w:t xml:space="preserve"> and not less than 2.00 m above the deck;”</w:t>
      </w:r>
    </w:p>
    <w:p w:rsidR="00C83406" w:rsidRPr="00D91539" w:rsidRDefault="00D91539" w:rsidP="00D91539">
      <w:pPr>
        <w:pStyle w:val="SingleTxtG"/>
      </w:pPr>
      <w:r w:rsidRPr="00D91539">
        <w:tab/>
      </w:r>
      <w:r w:rsidR="00C83406" w:rsidRPr="00D91539">
        <w:t>3.</w:t>
      </w:r>
      <w:r w:rsidR="00C83406" w:rsidRPr="00D91539">
        <w:tab/>
        <w:t xml:space="preserve">Similar wordings in the French and German versions: </w:t>
      </w:r>
    </w:p>
    <w:p w:rsidR="00C83406" w:rsidRPr="00D91539" w:rsidRDefault="00C83406" w:rsidP="00C83406">
      <w:pPr>
        <w:pStyle w:val="SingleTxtG"/>
        <w:ind w:left="1701"/>
        <w:rPr>
          <w:rFonts w:eastAsia="SimSun"/>
          <w:i/>
          <w:color w:val="000000" w:themeColor="text1"/>
          <w:lang w:val="fr-BE" w:eastAsia="zh-CN"/>
        </w:rPr>
      </w:pPr>
      <w:r w:rsidRPr="00D91539">
        <w:rPr>
          <w:rFonts w:eastAsia="SimSun"/>
          <w:i/>
          <w:color w:val="000000" w:themeColor="text1"/>
          <w:lang w:val="fr-BE" w:eastAsia="zh-CN"/>
        </w:rPr>
        <w:t>(i)</w:t>
      </w:r>
      <w:r w:rsidRPr="00D91539">
        <w:rPr>
          <w:rFonts w:eastAsia="SimSun"/>
          <w:i/>
          <w:color w:val="000000" w:themeColor="text1"/>
          <w:lang w:val="fr-BE" w:eastAsia="zh-CN"/>
        </w:rPr>
        <w:tab/>
        <w:t xml:space="preserve">Les orifices d’aspiration doivent être situés le plus loin possible, à 6,00 m au moins de la </w:t>
      </w:r>
      <w:r w:rsidRPr="00D91539">
        <w:rPr>
          <w:rFonts w:eastAsia="SimSun"/>
          <w:i/>
          <w:color w:val="000000" w:themeColor="text1"/>
          <w:u w:val="single"/>
          <w:lang w:val="fr-BE" w:eastAsia="zh-CN"/>
        </w:rPr>
        <w:t>zone protégée</w:t>
      </w:r>
      <w:r w:rsidRPr="00D91539">
        <w:rPr>
          <w:rFonts w:eastAsia="SimSun"/>
          <w:i/>
          <w:color w:val="000000" w:themeColor="text1"/>
          <w:lang w:val="fr-BE" w:eastAsia="zh-CN"/>
        </w:rPr>
        <w:t xml:space="preserve"> et à 2,00 m au moins au-dessus du </w:t>
      </w:r>
      <w:proofErr w:type="gramStart"/>
      <w:r w:rsidRPr="00D91539">
        <w:rPr>
          <w:rFonts w:eastAsia="SimSun"/>
          <w:i/>
          <w:color w:val="000000" w:themeColor="text1"/>
          <w:lang w:val="fr-BE" w:eastAsia="zh-CN"/>
        </w:rPr>
        <w:t>pont;</w:t>
      </w:r>
      <w:proofErr w:type="gramEnd"/>
    </w:p>
    <w:p w:rsidR="00C83406" w:rsidRPr="00D91539" w:rsidRDefault="00D91539" w:rsidP="00D91539">
      <w:pPr>
        <w:pStyle w:val="SingleTxtG"/>
        <w:ind w:left="1701" w:hanging="1134"/>
        <w:rPr>
          <w:rFonts w:eastAsia="SimSun"/>
          <w:i/>
          <w:color w:val="000000" w:themeColor="text1"/>
          <w:lang w:val="nl-BE" w:eastAsia="zh-CN"/>
        </w:rPr>
      </w:pPr>
      <w:r>
        <w:rPr>
          <w:rFonts w:eastAsia="SimSun"/>
          <w:i/>
          <w:color w:val="000000" w:themeColor="text1"/>
          <w:sz w:val="22"/>
          <w:szCs w:val="22"/>
          <w:lang w:val="nl-BE" w:eastAsia="zh-CN"/>
        </w:rPr>
        <w:tab/>
      </w:r>
      <w:r w:rsidR="00C83406" w:rsidRPr="00D91539">
        <w:rPr>
          <w:rFonts w:eastAsia="SimSun"/>
          <w:i/>
          <w:color w:val="000000" w:themeColor="text1"/>
          <w:lang w:val="nl-BE" w:eastAsia="zh-CN"/>
        </w:rPr>
        <w:t>(i)</w:t>
      </w:r>
      <w:r w:rsidR="00C83406" w:rsidRPr="00D91539">
        <w:rPr>
          <w:rFonts w:eastAsia="SimSun"/>
          <w:i/>
          <w:color w:val="000000" w:themeColor="text1"/>
          <w:lang w:val="nl-BE" w:eastAsia="zh-CN"/>
        </w:rPr>
        <w:tab/>
        <w:t xml:space="preserve">Die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Ansaugöffnungen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sind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so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weit wie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möglich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,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mindestens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jedoch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6,00 m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vom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u w:val="single"/>
          <w:lang w:val="nl-BE" w:eastAsia="zh-CN"/>
        </w:rPr>
        <w:t>geschützten</w:t>
      </w:r>
      <w:proofErr w:type="spellEnd"/>
      <w:r w:rsidR="00C83406" w:rsidRPr="00D91539">
        <w:rPr>
          <w:rFonts w:eastAsia="SimSun"/>
          <w:i/>
          <w:color w:val="000000" w:themeColor="text1"/>
          <w:u w:val="single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u w:val="single"/>
          <w:lang w:val="nl-BE" w:eastAsia="zh-CN"/>
        </w:rPr>
        <w:t>Bereich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entfernt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und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mindestens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2,00 m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über</w:t>
      </w:r>
      <w:proofErr w:type="spellEnd"/>
      <w:r w:rsidR="00C83406" w:rsidRPr="00D91539">
        <w:rPr>
          <w:rFonts w:eastAsia="SimSun"/>
          <w:i/>
          <w:color w:val="000000" w:themeColor="text1"/>
          <w:lang w:val="nl-BE" w:eastAsia="zh-CN"/>
        </w:rPr>
        <w:t xml:space="preserve"> Deck </w:t>
      </w:r>
      <w:proofErr w:type="spellStart"/>
      <w:r w:rsidR="00C83406" w:rsidRPr="00D91539">
        <w:rPr>
          <w:rFonts w:eastAsia="SimSun"/>
          <w:i/>
          <w:color w:val="000000" w:themeColor="text1"/>
          <w:lang w:val="nl-BE" w:eastAsia="zh-CN"/>
        </w:rPr>
        <w:t>angeordnet</w:t>
      </w:r>
      <w:proofErr w:type="spellEnd"/>
      <w:r>
        <w:rPr>
          <w:rFonts w:eastAsia="SimSun"/>
          <w:i/>
          <w:color w:val="000000" w:themeColor="text1"/>
          <w:lang w:val="nl-BE" w:eastAsia="zh-CN"/>
        </w:rPr>
        <w:t>.</w:t>
      </w:r>
    </w:p>
    <w:p w:rsidR="00C83406" w:rsidRDefault="00D91539" w:rsidP="00D91539">
      <w:pPr>
        <w:pStyle w:val="HChG"/>
        <w:rPr>
          <w:lang w:val="fr-BE"/>
        </w:rPr>
      </w:pPr>
      <w:r>
        <w:rPr>
          <w:lang w:val="fr-BE"/>
        </w:rPr>
        <w:tab/>
      </w:r>
      <w:r w:rsidR="004138B9">
        <w:rPr>
          <w:lang w:val="fr-BE"/>
        </w:rPr>
        <w:tab/>
      </w:r>
      <w:proofErr w:type="spellStart"/>
      <w:r w:rsidR="00C83406" w:rsidRPr="00465896">
        <w:rPr>
          <w:lang w:val="fr-BE"/>
        </w:rPr>
        <w:t>P</w:t>
      </w:r>
      <w:r w:rsidR="00081437">
        <w:rPr>
          <w:lang w:val="fr-BE"/>
        </w:rPr>
        <w:t>roposal</w:t>
      </w:r>
      <w:proofErr w:type="spellEnd"/>
    </w:p>
    <w:p w:rsidR="00C83406" w:rsidRPr="0096320F" w:rsidRDefault="004138B9" w:rsidP="00D91539">
      <w:pPr>
        <w:pStyle w:val="SingleTxtG"/>
      </w:pPr>
      <w:r>
        <w:t>4</w:t>
      </w:r>
      <w:r w:rsidR="00D91539">
        <w:t>.</w:t>
      </w:r>
      <w:r w:rsidR="00D91539">
        <w:tab/>
      </w:r>
      <w:proofErr w:type="gramStart"/>
      <w:r w:rsidR="00C83406" w:rsidRPr="0096320F">
        <w:t>Taking into account</w:t>
      </w:r>
      <w:proofErr w:type="gramEnd"/>
      <w:r w:rsidR="00C83406" w:rsidRPr="0096320F">
        <w:t xml:space="preserve"> that the concept of “protected area” is linked to dry cargo vessels and not to tankers (subject of 9.3.x) we propose to replace in 9.3.x.12.4 (b)(</w:t>
      </w:r>
      <w:proofErr w:type="spellStart"/>
      <w:r w:rsidR="00C83406" w:rsidRPr="0096320F">
        <w:t>i</w:t>
      </w:r>
      <w:proofErr w:type="spellEnd"/>
      <w:r w:rsidR="00C83406" w:rsidRPr="0096320F">
        <w:t>) the words “protected area” by “cargo area”</w:t>
      </w:r>
    </w:p>
    <w:p w:rsidR="00446FE5" w:rsidRDefault="004138B9" w:rsidP="00D91539">
      <w:pPr>
        <w:pStyle w:val="SingleTxtG"/>
      </w:pPr>
      <w:r>
        <w:t>5</w:t>
      </w:r>
      <w:r w:rsidR="00D91539">
        <w:t>.</w:t>
      </w:r>
      <w:r w:rsidR="00D91539">
        <w:tab/>
      </w:r>
      <w:r w:rsidR="00C83406" w:rsidRPr="00495C89">
        <w:t>Similar correction in the other languages.</w:t>
      </w:r>
    </w:p>
    <w:p w:rsidR="00D91539" w:rsidRPr="00D91539" w:rsidRDefault="00D91539" w:rsidP="00D9153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91539" w:rsidRPr="00D91539" w:rsidSect="00382A1F"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406" w:rsidRDefault="00C83406" w:rsidP="00F95C08">
      <w:pPr>
        <w:spacing w:line="240" w:lineRule="auto"/>
      </w:pPr>
    </w:p>
  </w:endnote>
  <w:endnote w:type="continuationSeparator" w:id="0">
    <w:p w:rsidR="00C83406" w:rsidRPr="00AC3823" w:rsidRDefault="00C83406" w:rsidP="00AC3823">
      <w:pPr>
        <w:pStyle w:val="Footer"/>
      </w:pPr>
    </w:p>
  </w:endnote>
  <w:endnote w:type="continuationNotice" w:id="1">
    <w:p w:rsidR="00C83406" w:rsidRDefault="00C834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406" w:rsidRPr="00AC3823" w:rsidRDefault="00C834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3406" w:rsidRPr="00AC3823" w:rsidRDefault="00C83406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83406" w:rsidRPr="00AC3823" w:rsidRDefault="00C83406">
      <w:pPr>
        <w:spacing w:line="240" w:lineRule="auto"/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30353"/>
    <w:multiLevelType w:val="hybridMultilevel"/>
    <w:tmpl w:val="4ED013E6"/>
    <w:lvl w:ilvl="0" w:tplc="AD565B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09C15CC"/>
    <w:multiLevelType w:val="multilevel"/>
    <w:tmpl w:val="BEE039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 w:themeColor="text1"/>
        <w:sz w:val="20"/>
      </w:rPr>
    </w:lvl>
  </w:abstractNum>
  <w:abstractNum w:abstractNumId="1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406"/>
    <w:rsid w:val="00017F94"/>
    <w:rsid w:val="00023842"/>
    <w:rsid w:val="000334F9"/>
    <w:rsid w:val="0007796D"/>
    <w:rsid w:val="00081437"/>
    <w:rsid w:val="000B7790"/>
    <w:rsid w:val="000C390E"/>
    <w:rsid w:val="00103267"/>
    <w:rsid w:val="00111F2F"/>
    <w:rsid w:val="0014365E"/>
    <w:rsid w:val="0014660A"/>
    <w:rsid w:val="00150DB2"/>
    <w:rsid w:val="00176178"/>
    <w:rsid w:val="001C3D37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138B9"/>
    <w:rsid w:val="00446FE5"/>
    <w:rsid w:val="00452396"/>
    <w:rsid w:val="004D1CEB"/>
    <w:rsid w:val="005505B7"/>
    <w:rsid w:val="00573BE5"/>
    <w:rsid w:val="00586ED3"/>
    <w:rsid w:val="00596AA9"/>
    <w:rsid w:val="006122C4"/>
    <w:rsid w:val="006E2C9B"/>
    <w:rsid w:val="0071601D"/>
    <w:rsid w:val="0076624F"/>
    <w:rsid w:val="00766CEC"/>
    <w:rsid w:val="0079527C"/>
    <w:rsid w:val="007A62E6"/>
    <w:rsid w:val="007D0A06"/>
    <w:rsid w:val="0080684C"/>
    <w:rsid w:val="00815502"/>
    <w:rsid w:val="00871C75"/>
    <w:rsid w:val="008776DC"/>
    <w:rsid w:val="008F2A1D"/>
    <w:rsid w:val="0093050C"/>
    <w:rsid w:val="00954521"/>
    <w:rsid w:val="00957790"/>
    <w:rsid w:val="009705C8"/>
    <w:rsid w:val="00A12AB5"/>
    <w:rsid w:val="00AC3823"/>
    <w:rsid w:val="00AD3959"/>
    <w:rsid w:val="00AE323C"/>
    <w:rsid w:val="00AE7D9F"/>
    <w:rsid w:val="00B00181"/>
    <w:rsid w:val="00B43C66"/>
    <w:rsid w:val="00B765F7"/>
    <w:rsid w:val="00BA0CA9"/>
    <w:rsid w:val="00BB3E59"/>
    <w:rsid w:val="00BE1F4C"/>
    <w:rsid w:val="00BE4745"/>
    <w:rsid w:val="00BF3C2C"/>
    <w:rsid w:val="00C02897"/>
    <w:rsid w:val="00C83406"/>
    <w:rsid w:val="00C94FD2"/>
    <w:rsid w:val="00CF3AE1"/>
    <w:rsid w:val="00D3439C"/>
    <w:rsid w:val="00D40AEB"/>
    <w:rsid w:val="00D91539"/>
    <w:rsid w:val="00DA22F4"/>
    <w:rsid w:val="00DB1831"/>
    <w:rsid w:val="00DD3BFD"/>
    <w:rsid w:val="00DF6678"/>
    <w:rsid w:val="00E22CF2"/>
    <w:rsid w:val="00E33F14"/>
    <w:rsid w:val="00E52D9F"/>
    <w:rsid w:val="00F12269"/>
    <w:rsid w:val="00F164B0"/>
    <w:rsid w:val="00F660DF"/>
    <w:rsid w:val="00F80094"/>
    <w:rsid w:val="00F95C08"/>
    <w:rsid w:val="00FA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6C52720"/>
  <w15:chartTrackingRefBased/>
  <w15:docId w15:val="{2DB8EB2B-DF6A-4A36-AF8F-45E31766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406"/>
    <w:pPr>
      <w:suppressAutoHyphens/>
      <w:spacing w:after="0" w:line="240" w:lineRule="atLeast"/>
    </w:pPr>
    <w:rPr>
      <w:rFonts w:eastAsia="Times New Roman"/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rsid w:val="00AE7D9F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382A1F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79527C"/>
    <w:pPr>
      <w:numPr>
        <w:numId w:val="14"/>
      </w:numPr>
      <w:suppressAutoHyphens w:val="0"/>
    </w:pPr>
  </w:style>
  <w:style w:type="paragraph" w:styleId="ListParagraph">
    <w:name w:val="List Paragraph"/>
    <w:basedOn w:val="Normal"/>
    <w:uiPriority w:val="34"/>
    <w:qFormat/>
    <w:rsid w:val="00C8340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A076F-BAEE-4467-9B7A-600DF65C7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Marie-Claude Collet</dc:creator>
  <cp:keywords/>
  <dc:description/>
  <cp:lastModifiedBy>Marie-Claude Collet</cp:lastModifiedBy>
  <cp:revision>4</cp:revision>
  <cp:lastPrinted>2019-07-22T08:31:00Z</cp:lastPrinted>
  <dcterms:created xsi:type="dcterms:W3CDTF">2019-07-22T08:07:00Z</dcterms:created>
  <dcterms:modified xsi:type="dcterms:W3CDTF">2019-07-22T09:38:00Z</dcterms:modified>
</cp:coreProperties>
</file>