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A72A612" w14:textId="77777777" w:rsidTr="00387CD4">
        <w:trPr>
          <w:trHeight w:hRule="exact" w:val="851"/>
        </w:trPr>
        <w:tc>
          <w:tcPr>
            <w:tcW w:w="142" w:type="dxa"/>
            <w:tcBorders>
              <w:bottom w:val="single" w:sz="4" w:space="0" w:color="auto"/>
            </w:tcBorders>
          </w:tcPr>
          <w:p w14:paraId="00BD0398" w14:textId="77777777" w:rsidR="002D5AAC" w:rsidRDefault="002D5AAC" w:rsidP="007A0320">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6E3F7F4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5020B27" w14:textId="77777777" w:rsidR="002D5AAC" w:rsidRDefault="007A0320" w:rsidP="007A0320">
            <w:pPr>
              <w:jc w:val="right"/>
            </w:pPr>
            <w:r w:rsidRPr="007A0320">
              <w:rPr>
                <w:sz w:val="40"/>
              </w:rPr>
              <w:t>ECE</w:t>
            </w:r>
            <w:r>
              <w:t>/TRANS/WP.15/AC.2/70</w:t>
            </w:r>
          </w:p>
        </w:tc>
      </w:tr>
      <w:tr w:rsidR="002D5AAC" w:rsidRPr="00E8363D" w14:paraId="27F4D95F" w14:textId="77777777" w:rsidTr="00387CD4">
        <w:trPr>
          <w:trHeight w:hRule="exact" w:val="2835"/>
        </w:trPr>
        <w:tc>
          <w:tcPr>
            <w:tcW w:w="1280" w:type="dxa"/>
            <w:gridSpan w:val="2"/>
            <w:tcBorders>
              <w:top w:val="single" w:sz="4" w:space="0" w:color="auto"/>
              <w:bottom w:val="single" w:sz="12" w:space="0" w:color="auto"/>
            </w:tcBorders>
          </w:tcPr>
          <w:p w14:paraId="6B59BE47" w14:textId="77777777" w:rsidR="002D5AAC" w:rsidRDefault="002E5067" w:rsidP="00387CD4">
            <w:pPr>
              <w:spacing w:before="120"/>
              <w:jc w:val="center"/>
            </w:pPr>
            <w:r>
              <w:rPr>
                <w:noProof/>
                <w:lang w:val="fr-CH" w:eastAsia="fr-CH"/>
              </w:rPr>
              <w:drawing>
                <wp:inline distT="0" distB="0" distL="0" distR="0" wp14:anchorId="710F3896" wp14:editId="6FFAC83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CE59D6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FD4831C" w14:textId="77777777" w:rsidR="002D5AAC" w:rsidRDefault="007A0320" w:rsidP="00387CD4">
            <w:pPr>
              <w:spacing w:before="240"/>
              <w:rPr>
                <w:lang w:val="en-US"/>
              </w:rPr>
            </w:pPr>
            <w:r>
              <w:rPr>
                <w:lang w:val="en-US"/>
              </w:rPr>
              <w:t>Distr.: General</w:t>
            </w:r>
          </w:p>
          <w:p w14:paraId="56B6AB67" w14:textId="77777777" w:rsidR="007A0320" w:rsidRDefault="007A0320" w:rsidP="007A0320">
            <w:pPr>
              <w:spacing w:line="240" w:lineRule="exact"/>
              <w:rPr>
                <w:lang w:val="en-US"/>
              </w:rPr>
            </w:pPr>
            <w:r>
              <w:rPr>
                <w:lang w:val="en-US"/>
              </w:rPr>
              <w:t>8 February 2019</w:t>
            </w:r>
          </w:p>
          <w:p w14:paraId="38DA6D47" w14:textId="77777777" w:rsidR="007A0320" w:rsidRDefault="007A0320" w:rsidP="007A0320">
            <w:pPr>
              <w:spacing w:line="240" w:lineRule="exact"/>
              <w:rPr>
                <w:lang w:val="en-US"/>
              </w:rPr>
            </w:pPr>
            <w:r>
              <w:rPr>
                <w:lang w:val="en-US"/>
              </w:rPr>
              <w:t>Russian</w:t>
            </w:r>
          </w:p>
          <w:p w14:paraId="2E9F14FC" w14:textId="77777777" w:rsidR="007A0320" w:rsidRPr="008D53B6" w:rsidRDefault="007A0320" w:rsidP="007A0320">
            <w:pPr>
              <w:spacing w:line="240" w:lineRule="exact"/>
              <w:rPr>
                <w:lang w:val="en-US"/>
              </w:rPr>
            </w:pPr>
            <w:r>
              <w:rPr>
                <w:lang w:val="en-US"/>
              </w:rPr>
              <w:t>Original: English</w:t>
            </w:r>
          </w:p>
        </w:tc>
      </w:tr>
    </w:tbl>
    <w:p w14:paraId="7743D279" w14:textId="77777777" w:rsidR="007A0320" w:rsidRDefault="008A37C8" w:rsidP="00255343">
      <w:pPr>
        <w:spacing w:before="120"/>
        <w:rPr>
          <w:b/>
          <w:sz w:val="28"/>
          <w:szCs w:val="28"/>
        </w:rPr>
      </w:pPr>
      <w:r w:rsidRPr="00245892">
        <w:rPr>
          <w:b/>
          <w:sz w:val="28"/>
          <w:szCs w:val="28"/>
        </w:rPr>
        <w:t>Европейская экономическая комиссия</w:t>
      </w:r>
    </w:p>
    <w:p w14:paraId="7FEE584D" w14:textId="77777777" w:rsidR="007A0320" w:rsidRPr="00FC4EBB" w:rsidRDefault="007A0320" w:rsidP="007A0320">
      <w:pPr>
        <w:spacing w:before="120"/>
        <w:rPr>
          <w:sz w:val="28"/>
          <w:szCs w:val="28"/>
        </w:rPr>
      </w:pPr>
      <w:r w:rsidRPr="00FC4EBB">
        <w:rPr>
          <w:sz w:val="28"/>
          <w:szCs w:val="28"/>
        </w:rPr>
        <w:t>Комитет по внутреннему транспорту</w:t>
      </w:r>
    </w:p>
    <w:p w14:paraId="75BE74FC" w14:textId="77777777" w:rsidR="007A0320" w:rsidRPr="00FC4EBB" w:rsidRDefault="007A0320" w:rsidP="007A0320">
      <w:pPr>
        <w:spacing w:before="120"/>
        <w:rPr>
          <w:b/>
          <w:bCs/>
          <w:sz w:val="24"/>
          <w:szCs w:val="24"/>
        </w:rPr>
      </w:pPr>
      <w:r w:rsidRPr="00FC4EBB">
        <w:rPr>
          <w:b/>
          <w:bCs/>
          <w:sz w:val="24"/>
          <w:szCs w:val="24"/>
        </w:rPr>
        <w:t>Рабочая группа по перевозкам опасных грузов</w:t>
      </w:r>
    </w:p>
    <w:p w14:paraId="269AE0DC" w14:textId="77777777" w:rsidR="007A0320" w:rsidRPr="00363108" w:rsidRDefault="007A0320" w:rsidP="007A0320">
      <w:pPr>
        <w:spacing w:before="120"/>
        <w:rPr>
          <w:b/>
        </w:rPr>
      </w:pPr>
      <w:r>
        <w:rPr>
          <w:b/>
          <w:bCs/>
        </w:rPr>
        <w:t>Совместное совещание экспертов по Правилам,</w:t>
      </w:r>
      <w:r>
        <w:rPr>
          <w:b/>
          <w:bCs/>
        </w:rPr>
        <w:br/>
        <w:t>прилагаемым к Европейскому соглашению</w:t>
      </w:r>
      <w:r>
        <w:rPr>
          <w:b/>
          <w:bCs/>
        </w:rPr>
        <w:br/>
        <w:t>о международной перевозке опасных грузов</w:t>
      </w:r>
      <w:r>
        <w:rPr>
          <w:b/>
          <w:bCs/>
        </w:rPr>
        <w:br/>
        <w:t>по внутренним водным путям (ВОПОГ)</w:t>
      </w:r>
      <w:r>
        <w:rPr>
          <w:b/>
          <w:bCs/>
        </w:rPr>
        <w:br/>
        <w:t>(Комитет по вопросам безопасности ВОПОГ)</w:t>
      </w:r>
    </w:p>
    <w:p w14:paraId="1EB10E66" w14:textId="77777777" w:rsidR="007A0320" w:rsidRPr="00363108" w:rsidRDefault="007A0320" w:rsidP="007A0320">
      <w:pPr>
        <w:spacing w:before="120"/>
        <w:rPr>
          <w:b/>
          <w:bCs/>
        </w:rPr>
      </w:pPr>
      <w:r>
        <w:rPr>
          <w:b/>
          <w:bCs/>
        </w:rPr>
        <w:t>Тридцать четвертая сессия</w:t>
      </w:r>
    </w:p>
    <w:p w14:paraId="0982148F" w14:textId="77777777" w:rsidR="007A0320" w:rsidRPr="00363108" w:rsidRDefault="007A0320" w:rsidP="007A0320">
      <w:r>
        <w:t>Женева, 21–25 января 2019 года</w:t>
      </w:r>
    </w:p>
    <w:p w14:paraId="5E5B5996" w14:textId="77777777" w:rsidR="007A0320" w:rsidRPr="00363108" w:rsidRDefault="007A0320" w:rsidP="007A0320">
      <w:pPr>
        <w:pStyle w:val="HChG"/>
        <w:rPr>
          <w:szCs w:val="28"/>
        </w:rPr>
      </w:pPr>
      <w:r>
        <w:tab/>
      </w:r>
      <w:r>
        <w:tab/>
        <w:t>Доклад Совместного совещания экспертов</w:t>
      </w:r>
      <w:r>
        <w:br/>
        <w:t>по Правилам, прилагаемым к Европейскому соглашению о международной перевозке опасных</w:t>
      </w:r>
      <w:r>
        <w:br/>
        <w:t>грузов по внутренним водным путям</w:t>
      </w:r>
      <w:r>
        <w:br/>
        <w:t>(Комитета по вопросам безопасности ВОПОГ),</w:t>
      </w:r>
      <w:r>
        <w:br/>
        <w:t>о работе его тридцать четвертой сессии</w:t>
      </w:r>
      <w:r w:rsidRPr="007A0320">
        <w:rPr>
          <w:rStyle w:val="FootnoteReference"/>
          <w:b w:val="0"/>
          <w:position w:val="6"/>
          <w:szCs w:val="28"/>
          <w:vertAlign w:val="baseline"/>
        </w:rPr>
        <w:footnoteReference w:customMarkFollows="1" w:id="1"/>
        <w:sym w:font="Symbol" w:char="F02A"/>
      </w:r>
      <w:bookmarkStart w:id="1" w:name="_Toc410743246"/>
      <w:bookmarkStart w:id="2" w:name="_Toc428948781"/>
      <w:bookmarkStart w:id="3" w:name="_Toc442372095"/>
      <w:bookmarkStart w:id="4" w:name="_Toc505688398"/>
      <w:bookmarkEnd w:id="1"/>
      <w:bookmarkEnd w:id="2"/>
      <w:bookmarkEnd w:id="3"/>
      <w:bookmarkEnd w:id="4"/>
    </w:p>
    <w:p w14:paraId="7188ACB3" w14:textId="77777777" w:rsidR="007A0320" w:rsidRDefault="007A0320" w:rsidP="007A0320">
      <w:pPr>
        <w:pageBreakBefore/>
        <w:spacing w:after="120"/>
        <w:rPr>
          <w:sz w:val="28"/>
        </w:rPr>
      </w:pPr>
      <w:r>
        <w:lastRenderedPageBreak/>
        <w:tab/>
      </w:r>
      <w:r>
        <w:rPr>
          <w:sz w:val="28"/>
        </w:rPr>
        <w:t>Содержание</w:t>
      </w:r>
    </w:p>
    <w:p w14:paraId="23564DBC" w14:textId="77777777" w:rsidR="007A0320" w:rsidRDefault="007A0320" w:rsidP="007A0320">
      <w:pPr>
        <w:tabs>
          <w:tab w:val="right" w:pos="8929"/>
          <w:tab w:val="right" w:pos="9638"/>
        </w:tabs>
        <w:spacing w:after="120"/>
        <w:ind w:left="283"/>
        <w:rPr>
          <w:sz w:val="18"/>
        </w:rPr>
      </w:pPr>
      <w:r>
        <w:rPr>
          <w:i/>
          <w:sz w:val="18"/>
        </w:rPr>
        <w:tab/>
        <w:t>Пункты</w:t>
      </w:r>
      <w:r>
        <w:rPr>
          <w:i/>
          <w:sz w:val="18"/>
        </w:rPr>
        <w:tab/>
        <w:t>Стр.</w:t>
      </w:r>
    </w:p>
    <w:p w14:paraId="40F0DEC4" w14:textId="77777777" w:rsidR="004B1F26" w:rsidRPr="004B1F26" w:rsidRDefault="004B1F26" w:rsidP="002579C3">
      <w:pPr>
        <w:tabs>
          <w:tab w:val="right" w:pos="850"/>
          <w:tab w:val="left" w:pos="1134"/>
          <w:tab w:val="left" w:pos="1559"/>
          <w:tab w:val="left" w:pos="1984"/>
          <w:tab w:val="left" w:leader="dot" w:pos="7654"/>
          <w:tab w:val="right" w:pos="8929"/>
          <w:tab w:val="right" w:pos="9638"/>
        </w:tabs>
        <w:spacing w:after="100"/>
      </w:pPr>
      <w:r w:rsidRPr="004B1F26">
        <w:tab/>
        <w:t>I.</w:t>
      </w:r>
      <w:r w:rsidRPr="004B1F26">
        <w:tab/>
      </w:r>
      <w:r>
        <w:rPr>
          <w:bCs/>
        </w:rPr>
        <w:t xml:space="preserve">Участники </w:t>
      </w:r>
      <w:r>
        <w:rPr>
          <w:bCs/>
        </w:rPr>
        <w:tab/>
      </w:r>
      <w:r>
        <w:rPr>
          <w:bCs/>
        </w:rPr>
        <w:tab/>
      </w:r>
      <w:r w:rsidRPr="004B1F26">
        <w:rPr>
          <w:webHidden/>
        </w:rPr>
        <w:t>1</w:t>
      </w:r>
      <w:r>
        <w:rPr>
          <w:webHidden/>
        </w:rPr>
        <w:t>–</w:t>
      </w:r>
      <w:r w:rsidRPr="004B1F26">
        <w:rPr>
          <w:webHidden/>
        </w:rPr>
        <w:t>4</w:t>
      </w:r>
      <w:r w:rsidRPr="004B1F26">
        <w:rPr>
          <w:webHidden/>
        </w:rPr>
        <w:tab/>
        <w:t>4</w:t>
      </w:r>
    </w:p>
    <w:p w14:paraId="739EEB41" w14:textId="77777777" w:rsidR="004B1F26" w:rsidRPr="004B1F26" w:rsidRDefault="004B1F26" w:rsidP="002579C3">
      <w:pPr>
        <w:tabs>
          <w:tab w:val="right" w:pos="850"/>
          <w:tab w:val="left" w:pos="1134"/>
          <w:tab w:val="left" w:pos="1559"/>
          <w:tab w:val="left" w:pos="1984"/>
          <w:tab w:val="left" w:leader="dot" w:pos="7654"/>
          <w:tab w:val="right" w:pos="8929"/>
          <w:tab w:val="right" w:pos="9638"/>
        </w:tabs>
        <w:spacing w:after="100"/>
        <w:rPr>
          <w:webHidden/>
        </w:rPr>
      </w:pPr>
      <w:r w:rsidRPr="004B1F26">
        <w:tab/>
        <w:t>II.</w:t>
      </w:r>
      <w:r w:rsidRPr="004B1F26">
        <w:tab/>
      </w:r>
      <w:r>
        <w:rPr>
          <w:bCs/>
        </w:rPr>
        <w:t>Утверждение повестки дня (пункт 1 повестки дня</w:t>
      </w:r>
      <w:r w:rsidR="0035521E" w:rsidRPr="0035521E">
        <w:rPr>
          <w:bCs/>
        </w:rPr>
        <w:t>)</w:t>
      </w:r>
      <w:r>
        <w:rPr>
          <w:bCs/>
        </w:rPr>
        <w:t xml:space="preserve"> </w:t>
      </w:r>
      <w:r>
        <w:rPr>
          <w:bCs/>
        </w:rPr>
        <w:tab/>
      </w:r>
      <w:r>
        <w:rPr>
          <w:bCs/>
        </w:rPr>
        <w:tab/>
      </w:r>
      <w:r w:rsidRPr="004B1F26">
        <w:rPr>
          <w:webHidden/>
        </w:rPr>
        <w:t>5</w:t>
      </w:r>
      <w:r w:rsidRPr="004B1F26">
        <w:rPr>
          <w:webHidden/>
        </w:rPr>
        <w:tab/>
        <w:t>4</w:t>
      </w:r>
    </w:p>
    <w:p w14:paraId="32B40597"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rPr>
          <w:webHidden/>
        </w:rPr>
        <w:tab/>
        <w:t>III.</w:t>
      </w:r>
      <w:r w:rsidRPr="004B1F26">
        <w:rPr>
          <w:webHidden/>
        </w:rPr>
        <w:tab/>
      </w:r>
      <w:r>
        <w:rPr>
          <w:bCs/>
        </w:rPr>
        <w:t xml:space="preserve">Выборы должностных лиц на 2019 год (пункт 2 повестки дня) </w:t>
      </w:r>
      <w:r w:rsidRPr="004B1F26">
        <w:tab/>
      </w:r>
      <w:r w:rsidRPr="004B1F26">
        <w:tab/>
        <w:t>6</w:t>
      </w:r>
      <w:r w:rsidRPr="004B1F26">
        <w:tab/>
        <w:t>4</w:t>
      </w:r>
    </w:p>
    <w:p w14:paraId="3F4737C4"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ind w:left="1134" w:hanging="1134"/>
      </w:pPr>
      <w:r w:rsidRPr="004B1F26">
        <w:tab/>
      </w:r>
      <w:r w:rsidRPr="004B1F26">
        <w:rPr>
          <w:lang w:val="en-US"/>
        </w:rPr>
        <w:t>IV</w:t>
      </w:r>
      <w:r w:rsidRPr="004B1F26">
        <w:t>.</w:t>
      </w:r>
      <w:r w:rsidRPr="004B1F26">
        <w:tab/>
      </w:r>
      <w:r>
        <w:rPr>
          <w:bCs/>
        </w:rPr>
        <w:t>Вопросы, вытекающие из работы органов Организации Объединенных</w:t>
      </w:r>
      <w:r>
        <w:rPr>
          <w:bCs/>
        </w:rPr>
        <w:br/>
        <w:t xml:space="preserve">Наций или других организаций (пункт 3 повестки дня) </w:t>
      </w:r>
      <w:r w:rsidRPr="004B1F26">
        <w:tab/>
      </w:r>
      <w:r w:rsidRPr="004B1F26">
        <w:tab/>
        <w:t>7–10</w:t>
      </w:r>
      <w:r w:rsidRPr="004B1F26">
        <w:tab/>
        <w:t>4</w:t>
      </w:r>
    </w:p>
    <w:p w14:paraId="2A331FBD"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ind w:left="1559" w:hanging="1559"/>
      </w:pPr>
      <w:r w:rsidRPr="004B1F26">
        <w:tab/>
      </w:r>
      <w:r w:rsidRPr="004B1F26">
        <w:tab/>
      </w:r>
      <w:r w:rsidRPr="004B1F26">
        <w:rPr>
          <w:lang w:val="en-US"/>
        </w:rPr>
        <w:t>A</w:t>
      </w:r>
      <w:r w:rsidRPr="004B1F26">
        <w:t>.</w:t>
      </w:r>
      <w:r w:rsidRPr="004B1F26">
        <w:tab/>
      </w:r>
      <w:r>
        <w:rPr>
          <w:bCs/>
        </w:rPr>
        <w:t>Стратегия Европейского союза для Дунайского региона (СЕСДР):</w:t>
      </w:r>
      <w:r>
        <w:rPr>
          <w:bCs/>
        </w:rPr>
        <w:br/>
        <w:t xml:space="preserve">работа по приоритетным областям 1A и 11 </w:t>
      </w:r>
      <w:r w:rsidRPr="004B1F26">
        <w:tab/>
      </w:r>
      <w:r w:rsidRPr="004B1F26">
        <w:tab/>
        <w:t>7–9</w:t>
      </w:r>
      <w:r w:rsidRPr="004B1F26">
        <w:tab/>
        <w:t>4</w:t>
      </w:r>
    </w:p>
    <w:p w14:paraId="06555EB8"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t>B.</w:t>
      </w:r>
      <w:r w:rsidRPr="004B1F26">
        <w:tab/>
      </w:r>
      <w:r>
        <w:rPr>
          <w:bCs/>
        </w:rPr>
        <w:t xml:space="preserve">Работа Комитета по внутреннему транспорту </w:t>
      </w:r>
      <w:r w:rsidRPr="004B1F26">
        <w:tab/>
      </w:r>
      <w:r w:rsidRPr="004B1F26">
        <w:tab/>
        <w:t>10</w:t>
      </w:r>
      <w:r w:rsidRPr="004B1F26">
        <w:tab/>
        <w:t>5</w:t>
      </w:r>
    </w:p>
    <w:p w14:paraId="141F7025"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ind w:left="1134" w:hanging="1134"/>
      </w:pPr>
      <w:r w:rsidRPr="004B1F26">
        <w:tab/>
      </w:r>
      <w:r w:rsidRPr="004B1F26">
        <w:rPr>
          <w:lang w:val="en-US"/>
        </w:rPr>
        <w:t>V</w:t>
      </w:r>
      <w:r w:rsidRPr="004B1F26">
        <w:t>.</w:t>
      </w:r>
      <w:r w:rsidRPr="004B1F26">
        <w:tab/>
      </w:r>
      <w:r w:rsidRPr="004B1F26">
        <w:rPr>
          <w:bCs/>
        </w:rPr>
        <w:t>Применение Европейского соглашения о международной перевозке</w:t>
      </w:r>
      <w:r>
        <w:rPr>
          <w:bCs/>
        </w:rPr>
        <w:br/>
      </w:r>
      <w:r w:rsidRPr="004B1F26">
        <w:rPr>
          <w:bCs/>
        </w:rPr>
        <w:t>опасных грузов по внутренним водным путям (ВОПОГ)</w:t>
      </w:r>
      <w:r>
        <w:rPr>
          <w:bCs/>
        </w:rPr>
        <w:br/>
      </w:r>
      <w:r w:rsidRPr="004B1F26">
        <w:rPr>
          <w:bCs/>
        </w:rPr>
        <w:t>(пункт 4 повестки дня)</w:t>
      </w:r>
      <w:r>
        <w:rPr>
          <w:bCs/>
        </w:rPr>
        <w:t xml:space="preserve"> </w:t>
      </w:r>
      <w:r w:rsidRPr="004B1F26">
        <w:rPr>
          <w:bCs/>
        </w:rPr>
        <w:tab/>
      </w:r>
      <w:r w:rsidRPr="004B1F26">
        <w:tab/>
        <w:t>11–35</w:t>
      </w:r>
      <w:r w:rsidRPr="004B1F26">
        <w:tab/>
        <w:t>5</w:t>
      </w:r>
    </w:p>
    <w:p w14:paraId="151DF0DE"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t>A.</w:t>
      </w:r>
      <w:r w:rsidRPr="004B1F26">
        <w:tab/>
      </w:r>
      <w:r w:rsidRPr="004B1F26">
        <w:rPr>
          <w:bCs/>
        </w:rPr>
        <w:t>Состояние ВОПОГ</w:t>
      </w:r>
      <w:r>
        <w:rPr>
          <w:bCs/>
        </w:rPr>
        <w:t xml:space="preserve"> </w:t>
      </w:r>
      <w:r w:rsidRPr="004B1F26">
        <w:tab/>
      </w:r>
      <w:r w:rsidRPr="004B1F26">
        <w:tab/>
        <w:t>11</w:t>
      </w:r>
      <w:r w:rsidRPr="004B1F26">
        <w:tab/>
        <w:t>5</w:t>
      </w:r>
    </w:p>
    <w:p w14:paraId="38AE3BAE"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t>B.</w:t>
      </w:r>
      <w:r w:rsidRPr="004B1F26">
        <w:tab/>
      </w:r>
      <w:r w:rsidRPr="004B1F26">
        <w:rPr>
          <w:bCs/>
        </w:rPr>
        <w:t>Специальные разрешения, отступления и эквивалентные аналоги</w:t>
      </w:r>
      <w:r>
        <w:rPr>
          <w:bCs/>
        </w:rPr>
        <w:t xml:space="preserve"> </w:t>
      </w:r>
      <w:r w:rsidRPr="004B1F26">
        <w:tab/>
      </w:r>
      <w:r w:rsidRPr="004B1F26">
        <w:tab/>
        <w:t>12</w:t>
      </w:r>
      <w:r w:rsidRPr="004B1F26">
        <w:tab/>
        <w:t>6</w:t>
      </w:r>
    </w:p>
    <w:p w14:paraId="0F34638C"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r>
      <w:r w:rsidRPr="004B1F26">
        <w:rPr>
          <w:lang w:val="en-US"/>
        </w:rPr>
        <w:t>C</w:t>
      </w:r>
      <w:r w:rsidRPr="004B1F26">
        <w:t>.</w:t>
      </w:r>
      <w:r w:rsidRPr="004B1F26">
        <w:tab/>
      </w:r>
      <w:r w:rsidRPr="004B1F26">
        <w:rPr>
          <w:bCs/>
        </w:rPr>
        <w:t>Толкование Правил, прилагаемых к ВОПОГ</w:t>
      </w:r>
      <w:r>
        <w:rPr>
          <w:bCs/>
        </w:rPr>
        <w:t xml:space="preserve"> </w:t>
      </w:r>
      <w:r w:rsidRPr="004B1F26">
        <w:tab/>
      </w:r>
      <w:r w:rsidRPr="004B1F26">
        <w:tab/>
        <w:t>13–20</w:t>
      </w:r>
      <w:r w:rsidRPr="004B1F26">
        <w:tab/>
        <w:t>6</w:t>
      </w:r>
    </w:p>
    <w:p w14:paraId="67DBA376"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r>
      <w:r w:rsidRPr="004B1F26">
        <w:tab/>
        <w:t>1.</w:t>
      </w:r>
      <w:r w:rsidRPr="004B1F26">
        <w:tab/>
      </w:r>
      <w:r w:rsidRPr="004B1F26">
        <w:rPr>
          <w:bCs/>
        </w:rPr>
        <w:t>Тяжелое печное топливо под № ООН 3082 или № ООН 1202</w:t>
      </w:r>
      <w:r>
        <w:rPr>
          <w:bCs/>
        </w:rPr>
        <w:t xml:space="preserve"> </w:t>
      </w:r>
      <w:r w:rsidRPr="004B1F26">
        <w:tab/>
      </w:r>
      <w:r w:rsidRPr="004B1F26">
        <w:tab/>
        <w:t>13–15</w:t>
      </w:r>
      <w:r w:rsidRPr="004B1F26">
        <w:tab/>
        <w:t>6</w:t>
      </w:r>
    </w:p>
    <w:p w14:paraId="701AC925"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r>
      <w:r w:rsidRPr="004B1F26">
        <w:tab/>
        <w:t>2.</w:t>
      </w:r>
      <w:r w:rsidRPr="004B1F26">
        <w:tab/>
      </w:r>
      <w:r w:rsidRPr="004B1F26">
        <w:rPr>
          <w:bCs/>
        </w:rPr>
        <w:t>Скорость загрузки и разгрузки</w:t>
      </w:r>
      <w:r>
        <w:rPr>
          <w:bCs/>
        </w:rPr>
        <w:t xml:space="preserve"> </w:t>
      </w:r>
      <w:r w:rsidRPr="004B1F26">
        <w:tab/>
      </w:r>
      <w:r w:rsidRPr="004B1F26">
        <w:tab/>
        <w:t>16–17</w:t>
      </w:r>
      <w:r w:rsidRPr="004B1F26">
        <w:tab/>
        <w:t>6</w:t>
      </w:r>
    </w:p>
    <w:p w14:paraId="4EA38421"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r>
      <w:r w:rsidRPr="004B1F26">
        <w:tab/>
        <w:t>3.</w:t>
      </w:r>
      <w:r w:rsidRPr="004B1F26">
        <w:tab/>
      </w:r>
      <w:r w:rsidRPr="004B1F26">
        <w:rPr>
          <w:bCs/>
        </w:rPr>
        <w:t>Различные вопросы, касающиеся толкования, и уточнения</w:t>
      </w:r>
      <w:r>
        <w:rPr>
          <w:bCs/>
        </w:rPr>
        <w:t xml:space="preserve"> </w:t>
      </w:r>
      <w:r w:rsidRPr="004B1F26">
        <w:tab/>
      </w:r>
      <w:r w:rsidRPr="004B1F26">
        <w:tab/>
        <w:t>18–19</w:t>
      </w:r>
      <w:r w:rsidRPr="004B1F26">
        <w:tab/>
        <w:t>6</w:t>
      </w:r>
    </w:p>
    <w:p w14:paraId="7210D135"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r>
      <w:r w:rsidRPr="004B1F26">
        <w:tab/>
        <w:t>4.</w:t>
      </w:r>
      <w:r w:rsidRPr="004B1F26">
        <w:tab/>
      </w:r>
      <w:r w:rsidRPr="004B1F26">
        <w:rPr>
          <w:bCs/>
        </w:rPr>
        <w:t>Работы, производимые на борту судна (раздел 8.3.5)</w:t>
      </w:r>
      <w:r>
        <w:rPr>
          <w:bCs/>
        </w:rPr>
        <w:t xml:space="preserve"> </w:t>
      </w:r>
      <w:r w:rsidRPr="004B1F26">
        <w:tab/>
      </w:r>
      <w:r w:rsidRPr="004B1F26">
        <w:tab/>
        <w:t>20</w:t>
      </w:r>
      <w:r w:rsidRPr="004B1F26">
        <w:tab/>
        <w:t>7</w:t>
      </w:r>
    </w:p>
    <w:p w14:paraId="0A36DBB0"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r>
      <w:r w:rsidRPr="004B1F26">
        <w:rPr>
          <w:lang w:val="en-US"/>
        </w:rPr>
        <w:t>D</w:t>
      </w:r>
      <w:r w:rsidRPr="004B1F26">
        <w:t>.</w:t>
      </w:r>
      <w:r w:rsidRPr="004B1F26">
        <w:tab/>
      </w:r>
      <w:r w:rsidRPr="004B1F26">
        <w:rPr>
          <w:bCs/>
        </w:rPr>
        <w:t>Подготовка экспертов</w:t>
      </w:r>
      <w:r>
        <w:rPr>
          <w:bCs/>
        </w:rPr>
        <w:t xml:space="preserve"> </w:t>
      </w:r>
      <w:r w:rsidRPr="004B1F26">
        <w:tab/>
      </w:r>
      <w:r w:rsidRPr="004B1F26">
        <w:tab/>
        <w:t>21–28</w:t>
      </w:r>
      <w:r w:rsidRPr="004B1F26">
        <w:tab/>
        <w:t>7</w:t>
      </w:r>
    </w:p>
    <w:p w14:paraId="7596A51C"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ind w:left="1984" w:hanging="1984"/>
      </w:pPr>
      <w:r w:rsidRPr="004B1F26">
        <w:tab/>
      </w:r>
      <w:r w:rsidRPr="004B1F26">
        <w:tab/>
      </w:r>
      <w:r w:rsidRPr="004B1F26">
        <w:tab/>
        <w:t>1.</w:t>
      </w:r>
      <w:r w:rsidRPr="004B1F26">
        <w:tab/>
      </w:r>
      <w:r w:rsidRPr="004B1F26">
        <w:rPr>
          <w:bCs/>
        </w:rPr>
        <w:t>Доклад о работе девятнадцатого совещания неофициальной</w:t>
      </w:r>
      <w:r>
        <w:rPr>
          <w:bCs/>
        </w:rPr>
        <w:br/>
      </w:r>
      <w:r w:rsidRPr="004B1F26">
        <w:rPr>
          <w:bCs/>
        </w:rPr>
        <w:t>рабочей группы по подготовке экспертов</w:t>
      </w:r>
      <w:r>
        <w:rPr>
          <w:bCs/>
        </w:rPr>
        <w:t xml:space="preserve"> </w:t>
      </w:r>
      <w:r w:rsidRPr="004B1F26">
        <w:tab/>
      </w:r>
      <w:r w:rsidRPr="004B1F26">
        <w:tab/>
        <w:t>21–22</w:t>
      </w:r>
      <w:r w:rsidRPr="004B1F26">
        <w:tab/>
        <w:t>7</w:t>
      </w:r>
    </w:p>
    <w:p w14:paraId="2F490986"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ind w:left="1984" w:hanging="1984"/>
      </w:pPr>
      <w:r w:rsidRPr="004B1F26">
        <w:tab/>
      </w:r>
      <w:r w:rsidRPr="004B1F26">
        <w:tab/>
      </w:r>
      <w:r w:rsidRPr="004B1F26">
        <w:tab/>
        <w:t>2.</w:t>
      </w:r>
      <w:r w:rsidRPr="004B1F26">
        <w:tab/>
      </w:r>
      <w:r w:rsidRPr="004B1F26">
        <w:rPr>
          <w:bCs/>
        </w:rPr>
        <w:t>Директива Административного комитета по использованию</w:t>
      </w:r>
      <w:r>
        <w:rPr>
          <w:bCs/>
        </w:rPr>
        <w:br/>
      </w:r>
      <w:r w:rsidRPr="004B1F26">
        <w:rPr>
          <w:bCs/>
        </w:rPr>
        <w:t>каталога вопросов для экзаменования экспертов в области</w:t>
      </w:r>
      <w:r>
        <w:rPr>
          <w:bCs/>
        </w:rPr>
        <w:br/>
      </w:r>
      <w:r w:rsidRPr="004B1F26">
        <w:rPr>
          <w:bCs/>
        </w:rPr>
        <w:t>ВОПОГ (глава 8.2)</w:t>
      </w:r>
      <w:r>
        <w:rPr>
          <w:bCs/>
        </w:rPr>
        <w:t xml:space="preserve"> </w:t>
      </w:r>
      <w:r w:rsidRPr="004B1F26">
        <w:tab/>
      </w:r>
      <w:r w:rsidRPr="004B1F26">
        <w:tab/>
        <w:t>23–24</w:t>
      </w:r>
      <w:r w:rsidRPr="004B1F26">
        <w:tab/>
        <w:t>8</w:t>
      </w:r>
    </w:p>
    <w:p w14:paraId="1FFF3851"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r>
      <w:r w:rsidRPr="004B1F26">
        <w:tab/>
        <w:t>3.</w:t>
      </w:r>
      <w:r w:rsidRPr="004B1F26">
        <w:tab/>
      </w:r>
      <w:r w:rsidRPr="004B1F26">
        <w:rPr>
          <w:bCs/>
        </w:rPr>
        <w:t>Каталог вопросов 2019 года</w:t>
      </w:r>
      <w:r>
        <w:rPr>
          <w:bCs/>
        </w:rPr>
        <w:t xml:space="preserve"> </w:t>
      </w:r>
      <w:r w:rsidRPr="004B1F26">
        <w:tab/>
      </w:r>
      <w:r w:rsidRPr="004B1F26">
        <w:tab/>
        <w:t>25–26</w:t>
      </w:r>
      <w:r w:rsidRPr="004B1F26">
        <w:tab/>
        <w:t>8</w:t>
      </w:r>
    </w:p>
    <w:p w14:paraId="1D203EB7"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ind w:left="1984" w:hanging="1984"/>
      </w:pPr>
      <w:r w:rsidRPr="004B1F26">
        <w:tab/>
      </w:r>
      <w:r w:rsidRPr="004B1F26">
        <w:tab/>
      </w:r>
      <w:r w:rsidRPr="004B1F26">
        <w:tab/>
        <w:t>4.</w:t>
      </w:r>
      <w:r w:rsidRPr="004B1F26">
        <w:tab/>
      </w:r>
      <w:r w:rsidRPr="004B1F26">
        <w:rPr>
          <w:bCs/>
        </w:rPr>
        <w:t>Последующие меры в связи с предложением об увеличении</w:t>
      </w:r>
      <w:r>
        <w:rPr>
          <w:bCs/>
        </w:rPr>
        <w:br/>
      </w:r>
      <w:r w:rsidRPr="004B1F26">
        <w:rPr>
          <w:bCs/>
        </w:rPr>
        <w:t>продолжительности экзаменов, предусмотренной</w:t>
      </w:r>
      <w:r w:rsidR="00690F9B">
        <w:rPr>
          <w:bCs/>
        </w:rPr>
        <w:br/>
      </w:r>
      <w:r w:rsidRPr="004B1F26">
        <w:rPr>
          <w:bCs/>
        </w:rPr>
        <w:t>в пунктах 8.2.2.7.1.5 (основной курс подготовки)</w:t>
      </w:r>
      <w:r w:rsidRPr="004B1F26">
        <w:rPr>
          <w:bCs/>
        </w:rPr>
        <w:br/>
        <w:t>и 8.2.2.7.3.2 (курс переподготовки)</w:t>
      </w:r>
      <w:r w:rsidR="00690F9B">
        <w:rPr>
          <w:bCs/>
        </w:rPr>
        <w:t xml:space="preserve"> </w:t>
      </w:r>
      <w:r w:rsidRPr="004B1F26">
        <w:tab/>
      </w:r>
      <w:r w:rsidRPr="004B1F26">
        <w:tab/>
        <w:t>27–28</w:t>
      </w:r>
      <w:r w:rsidRPr="004B1F26">
        <w:tab/>
        <w:t>8</w:t>
      </w:r>
    </w:p>
    <w:p w14:paraId="7912AA4D" w14:textId="77777777" w:rsidR="004B1F26" w:rsidRPr="00690F9B"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r>
      <w:r w:rsidRPr="004B1F26">
        <w:rPr>
          <w:lang w:val="en-US"/>
        </w:rPr>
        <w:t>E</w:t>
      </w:r>
      <w:r w:rsidRPr="00690F9B">
        <w:t>.</w:t>
      </w:r>
      <w:r w:rsidRPr="00690F9B">
        <w:tab/>
      </w:r>
      <w:r w:rsidR="00690F9B" w:rsidRPr="00690F9B">
        <w:rPr>
          <w:bCs/>
        </w:rPr>
        <w:t>Вопросы, касающиеся классификационных обществ</w:t>
      </w:r>
      <w:r w:rsidR="00690F9B">
        <w:rPr>
          <w:bCs/>
        </w:rPr>
        <w:t xml:space="preserve"> </w:t>
      </w:r>
      <w:r w:rsidRPr="00690F9B">
        <w:tab/>
      </w:r>
      <w:r w:rsidRPr="00690F9B">
        <w:tab/>
        <w:t>29–35</w:t>
      </w:r>
      <w:r w:rsidRPr="00690F9B">
        <w:tab/>
        <w:t>9</w:t>
      </w:r>
    </w:p>
    <w:p w14:paraId="5C1C322C" w14:textId="77777777" w:rsidR="004B1F26" w:rsidRPr="004B1F26" w:rsidRDefault="004B1F26" w:rsidP="002579C3">
      <w:pPr>
        <w:tabs>
          <w:tab w:val="right" w:pos="851"/>
          <w:tab w:val="left" w:pos="1134"/>
          <w:tab w:val="left" w:pos="1559"/>
          <w:tab w:val="left" w:pos="1984"/>
          <w:tab w:val="left" w:leader="dot" w:pos="7654"/>
          <w:tab w:val="right" w:pos="8929"/>
          <w:tab w:val="right" w:pos="9638"/>
        </w:tabs>
        <w:spacing w:after="100"/>
        <w:ind w:left="1984" w:hanging="1984"/>
      </w:pPr>
      <w:r w:rsidRPr="00690F9B">
        <w:tab/>
      </w:r>
      <w:r w:rsidRPr="00690F9B">
        <w:tab/>
      </w:r>
      <w:r w:rsidRPr="00690F9B">
        <w:tab/>
      </w:r>
      <w:r w:rsidRPr="004B1F26">
        <w:t>1.</w:t>
      </w:r>
      <w:r w:rsidRPr="004B1F26">
        <w:tab/>
      </w:r>
      <w:r w:rsidR="00690F9B" w:rsidRPr="00690F9B">
        <w:rPr>
          <w:bCs/>
        </w:rPr>
        <w:t>Доклад о работе шестнадцатого совещания неофициальной</w:t>
      </w:r>
      <w:r w:rsidR="00690F9B">
        <w:rPr>
          <w:bCs/>
        </w:rPr>
        <w:br/>
      </w:r>
      <w:r w:rsidR="00690F9B" w:rsidRPr="00690F9B">
        <w:rPr>
          <w:bCs/>
        </w:rPr>
        <w:t>рабочей группы Рекомендованных классификационных</w:t>
      </w:r>
      <w:r w:rsidR="00690F9B">
        <w:rPr>
          <w:bCs/>
        </w:rPr>
        <w:br/>
      </w:r>
      <w:r w:rsidR="00690F9B" w:rsidRPr="00690F9B">
        <w:rPr>
          <w:bCs/>
        </w:rPr>
        <w:t>обществ ВОПОГ</w:t>
      </w:r>
      <w:r w:rsidR="00690F9B">
        <w:rPr>
          <w:bCs/>
        </w:rPr>
        <w:t xml:space="preserve"> </w:t>
      </w:r>
      <w:r w:rsidRPr="004B1F26">
        <w:tab/>
      </w:r>
      <w:r w:rsidRPr="004B1F26">
        <w:tab/>
        <w:t>29</w:t>
      </w:r>
      <w:r w:rsidRPr="004B1F26">
        <w:tab/>
        <w:t>9</w:t>
      </w:r>
    </w:p>
    <w:p w14:paraId="40BDB8E5" w14:textId="77777777" w:rsidR="004B1F26" w:rsidRPr="0035521E" w:rsidRDefault="004B1F26" w:rsidP="002579C3">
      <w:pPr>
        <w:tabs>
          <w:tab w:val="right" w:pos="851"/>
          <w:tab w:val="left" w:pos="1134"/>
          <w:tab w:val="left" w:pos="1559"/>
          <w:tab w:val="left" w:pos="1984"/>
          <w:tab w:val="left" w:leader="dot" w:pos="7654"/>
          <w:tab w:val="right" w:pos="8929"/>
          <w:tab w:val="right" w:pos="9638"/>
        </w:tabs>
        <w:spacing w:after="100"/>
      </w:pPr>
      <w:r w:rsidRPr="004B1F26">
        <w:tab/>
      </w:r>
      <w:r w:rsidRPr="004B1F26">
        <w:tab/>
      </w:r>
      <w:r w:rsidRPr="004B1F26">
        <w:tab/>
        <w:t>2.</w:t>
      </w:r>
      <w:r w:rsidRPr="004B1F26">
        <w:tab/>
      </w:r>
      <w:r w:rsidR="00690F9B">
        <w:rPr>
          <w:bCs/>
        </w:rPr>
        <w:t xml:space="preserve">Признание классификационных обществ </w:t>
      </w:r>
      <w:r w:rsidRPr="004B1F26">
        <w:tab/>
      </w:r>
      <w:r w:rsidRPr="004B1F26">
        <w:tab/>
        <w:t>30</w:t>
      </w:r>
      <w:r w:rsidRPr="004B1F26">
        <w:tab/>
      </w:r>
      <w:r w:rsidR="0035521E" w:rsidRPr="0035521E">
        <w:t>10</w:t>
      </w:r>
    </w:p>
    <w:p w14:paraId="496B0D25" w14:textId="77777777" w:rsidR="004B1F26" w:rsidRPr="0035521E" w:rsidRDefault="004B1F26" w:rsidP="002579C3">
      <w:pPr>
        <w:tabs>
          <w:tab w:val="right" w:pos="851"/>
          <w:tab w:val="left" w:pos="1134"/>
          <w:tab w:val="left" w:pos="1559"/>
          <w:tab w:val="left" w:pos="1984"/>
          <w:tab w:val="left" w:leader="dot" w:pos="7654"/>
          <w:tab w:val="right" w:pos="8929"/>
          <w:tab w:val="right" w:pos="9638"/>
        </w:tabs>
        <w:spacing w:after="100"/>
        <w:ind w:left="1984" w:hanging="1984"/>
      </w:pPr>
      <w:r w:rsidRPr="004B1F26">
        <w:tab/>
      </w:r>
      <w:r w:rsidRPr="004B1F26">
        <w:tab/>
      </w:r>
      <w:r w:rsidRPr="004B1F26">
        <w:tab/>
      </w:r>
      <w:r w:rsidRPr="00690F9B">
        <w:t>3.</w:t>
      </w:r>
      <w:r w:rsidRPr="00690F9B">
        <w:tab/>
      </w:r>
      <w:r w:rsidR="00690F9B">
        <w:rPr>
          <w:bCs/>
        </w:rPr>
        <w:t>Фактическое положение дел с утверждением приборов</w:t>
      </w:r>
      <w:r w:rsidR="00690F9B">
        <w:rPr>
          <w:bCs/>
        </w:rPr>
        <w:br/>
        <w:t xml:space="preserve">контроля загрузки </w:t>
      </w:r>
      <w:r w:rsidRPr="00690F9B">
        <w:tab/>
      </w:r>
      <w:r w:rsidRPr="00690F9B">
        <w:tab/>
        <w:t>31–35</w:t>
      </w:r>
      <w:r w:rsidRPr="00690F9B">
        <w:tab/>
      </w:r>
      <w:r w:rsidR="0035521E" w:rsidRPr="0035521E">
        <w:t>10</w:t>
      </w:r>
    </w:p>
    <w:p w14:paraId="2AE42A1F" w14:textId="77777777" w:rsidR="004B1F26" w:rsidRPr="00690F9B" w:rsidRDefault="004B1F26" w:rsidP="002579C3">
      <w:pPr>
        <w:tabs>
          <w:tab w:val="right" w:pos="851"/>
          <w:tab w:val="left" w:pos="1134"/>
          <w:tab w:val="left" w:pos="1559"/>
          <w:tab w:val="left" w:pos="1984"/>
          <w:tab w:val="left" w:leader="dot" w:pos="7654"/>
          <w:tab w:val="right" w:pos="8929"/>
          <w:tab w:val="right" w:pos="9638"/>
        </w:tabs>
        <w:spacing w:after="100"/>
        <w:ind w:left="1134" w:hanging="1134"/>
      </w:pPr>
      <w:r w:rsidRPr="00690F9B">
        <w:tab/>
      </w:r>
      <w:r w:rsidRPr="004B1F26">
        <w:rPr>
          <w:lang w:val="en-US"/>
        </w:rPr>
        <w:t>VI</w:t>
      </w:r>
      <w:r w:rsidRPr="00690F9B">
        <w:t>.</w:t>
      </w:r>
      <w:r w:rsidRPr="00690F9B">
        <w:tab/>
      </w:r>
      <w:r w:rsidR="00690F9B">
        <w:rPr>
          <w:bCs/>
        </w:rPr>
        <w:t>Предложения о внесении поправок в Правила, прилагаемые к ВОПОГ</w:t>
      </w:r>
      <w:r w:rsidR="00690F9B">
        <w:rPr>
          <w:bCs/>
        </w:rPr>
        <w:br/>
        <w:t xml:space="preserve">(пункт 5 повестки дня) </w:t>
      </w:r>
      <w:r w:rsidRPr="00690F9B">
        <w:tab/>
      </w:r>
      <w:r w:rsidRPr="00690F9B">
        <w:tab/>
        <w:t>36–71</w:t>
      </w:r>
      <w:r w:rsidRPr="00690F9B">
        <w:tab/>
        <w:t>10</w:t>
      </w:r>
    </w:p>
    <w:p w14:paraId="0E30AD66" w14:textId="77777777" w:rsidR="004B1F26" w:rsidRPr="00690F9B" w:rsidRDefault="004B1F26" w:rsidP="002579C3">
      <w:pPr>
        <w:tabs>
          <w:tab w:val="right" w:pos="851"/>
          <w:tab w:val="left" w:pos="1134"/>
          <w:tab w:val="left" w:pos="1559"/>
          <w:tab w:val="left" w:pos="1984"/>
          <w:tab w:val="left" w:leader="dot" w:pos="7654"/>
          <w:tab w:val="right" w:pos="8929"/>
          <w:tab w:val="right" w:pos="9638"/>
        </w:tabs>
        <w:spacing w:after="100"/>
      </w:pPr>
      <w:r w:rsidRPr="00690F9B">
        <w:tab/>
      </w:r>
      <w:r w:rsidRPr="00690F9B">
        <w:tab/>
      </w:r>
      <w:r w:rsidRPr="004B1F26">
        <w:rPr>
          <w:lang w:val="en-US"/>
        </w:rPr>
        <w:t>A</w:t>
      </w:r>
      <w:r w:rsidRPr="00690F9B">
        <w:t>.</w:t>
      </w:r>
      <w:r w:rsidRPr="00690F9B">
        <w:tab/>
      </w:r>
      <w:r w:rsidR="00690F9B">
        <w:rPr>
          <w:bCs/>
        </w:rPr>
        <w:t xml:space="preserve">Работа Совместного совещания МПОГ/ДОПОГ/ВОПОГ </w:t>
      </w:r>
      <w:r w:rsidRPr="00690F9B">
        <w:tab/>
      </w:r>
      <w:r w:rsidRPr="00690F9B">
        <w:tab/>
        <w:t>36–38</w:t>
      </w:r>
      <w:r w:rsidRPr="00690F9B">
        <w:tab/>
        <w:t>10</w:t>
      </w:r>
    </w:p>
    <w:p w14:paraId="7C78D620" w14:textId="77777777" w:rsidR="004B1F26" w:rsidRPr="00690F9B" w:rsidRDefault="004B1F26" w:rsidP="002579C3">
      <w:pPr>
        <w:tabs>
          <w:tab w:val="right" w:pos="851"/>
          <w:tab w:val="left" w:pos="1134"/>
          <w:tab w:val="left" w:pos="1559"/>
          <w:tab w:val="left" w:pos="1984"/>
          <w:tab w:val="left" w:leader="dot" w:pos="7654"/>
          <w:tab w:val="right" w:pos="8929"/>
          <w:tab w:val="right" w:pos="9638"/>
        </w:tabs>
        <w:spacing w:after="100"/>
      </w:pPr>
      <w:r w:rsidRPr="00690F9B">
        <w:tab/>
      </w:r>
      <w:r w:rsidRPr="00690F9B">
        <w:tab/>
      </w:r>
      <w:r w:rsidRPr="004B1F26">
        <w:rPr>
          <w:lang w:val="en-US"/>
        </w:rPr>
        <w:t>B</w:t>
      </w:r>
      <w:r w:rsidRPr="00690F9B">
        <w:t>.</w:t>
      </w:r>
      <w:r w:rsidRPr="00690F9B">
        <w:tab/>
      </w:r>
      <w:r w:rsidR="00690F9B">
        <w:rPr>
          <w:bCs/>
        </w:rPr>
        <w:t xml:space="preserve">Другие предложения о поправках </w:t>
      </w:r>
      <w:r w:rsidRPr="00690F9B">
        <w:tab/>
      </w:r>
      <w:r w:rsidRPr="00690F9B">
        <w:tab/>
        <w:t>39–71</w:t>
      </w:r>
      <w:r w:rsidRPr="00690F9B">
        <w:tab/>
        <w:t>11</w:t>
      </w:r>
    </w:p>
    <w:p w14:paraId="42BB930B" w14:textId="77777777" w:rsidR="004B1F26" w:rsidRPr="00690F9B" w:rsidRDefault="004B1F26" w:rsidP="002579C3">
      <w:pPr>
        <w:tabs>
          <w:tab w:val="right" w:pos="851"/>
          <w:tab w:val="left" w:pos="1134"/>
          <w:tab w:val="left" w:pos="1559"/>
          <w:tab w:val="left" w:pos="1984"/>
          <w:tab w:val="left" w:leader="dot" w:pos="7654"/>
          <w:tab w:val="right" w:pos="8929"/>
          <w:tab w:val="right" w:pos="9638"/>
        </w:tabs>
        <w:spacing w:after="100"/>
        <w:ind w:left="1984" w:hanging="1984"/>
      </w:pPr>
      <w:r w:rsidRPr="00690F9B">
        <w:tab/>
      </w:r>
      <w:r w:rsidRPr="00690F9B">
        <w:tab/>
      </w:r>
      <w:r w:rsidRPr="00690F9B">
        <w:tab/>
        <w:t>1.</w:t>
      </w:r>
      <w:r w:rsidRPr="00690F9B">
        <w:tab/>
      </w:r>
      <w:r w:rsidR="00690F9B">
        <w:rPr>
          <w:bCs/>
        </w:rPr>
        <w:t>Специальные положения, применимые к перевозке</w:t>
      </w:r>
      <w:r w:rsidR="00690F9B">
        <w:rPr>
          <w:bCs/>
        </w:rPr>
        <w:br/>
        <w:t>самореактивных веществ класса 4.1, органических пероксидов</w:t>
      </w:r>
      <w:r w:rsidR="00690F9B">
        <w:rPr>
          <w:bCs/>
        </w:rPr>
        <w:br/>
        <w:t>класса 5.2 и веществ, стабилизируемых путем регулирования</w:t>
      </w:r>
      <w:r w:rsidR="00690F9B">
        <w:rPr>
          <w:bCs/>
        </w:rPr>
        <w:br/>
        <w:t>температуры (за исключением самореактивных веществ</w:t>
      </w:r>
      <w:r w:rsidR="00690F9B">
        <w:rPr>
          <w:bCs/>
        </w:rPr>
        <w:br/>
        <w:t xml:space="preserve">и органических пероксидов): раздел 7.1.7 </w:t>
      </w:r>
      <w:r w:rsidRPr="00690F9B">
        <w:tab/>
      </w:r>
      <w:r w:rsidRPr="00690F9B">
        <w:tab/>
        <w:t>39–41</w:t>
      </w:r>
      <w:r w:rsidRPr="00690F9B">
        <w:tab/>
        <w:t>11</w:t>
      </w:r>
    </w:p>
    <w:p w14:paraId="3104EBEE"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690F9B">
        <w:lastRenderedPageBreak/>
        <w:tab/>
      </w:r>
      <w:r w:rsidRPr="00690F9B">
        <w:tab/>
      </w:r>
      <w:r w:rsidRPr="00690F9B">
        <w:tab/>
      </w:r>
      <w:r w:rsidRPr="0035521E">
        <w:t>2.</w:t>
      </w:r>
      <w:r w:rsidRPr="0035521E">
        <w:tab/>
      </w:r>
      <w:r w:rsidR="00690F9B">
        <w:rPr>
          <w:bCs/>
        </w:rPr>
        <w:t>Уточнение</w:t>
      </w:r>
      <w:r w:rsidR="00690F9B" w:rsidRPr="0035521E">
        <w:rPr>
          <w:bCs/>
        </w:rPr>
        <w:t xml:space="preserve"> </w:t>
      </w:r>
      <w:r w:rsidR="00690F9B">
        <w:rPr>
          <w:bCs/>
        </w:rPr>
        <w:t>пункта</w:t>
      </w:r>
      <w:r w:rsidR="00690F9B" w:rsidRPr="0035521E">
        <w:rPr>
          <w:bCs/>
        </w:rPr>
        <w:t xml:space="preserve"> 1.1.3.6.1 </w:t>
      </w:r>
      <w:r w:rsidRPr="0035521E">
        <w:tab/>
      </w:r>
      <w:r w:rsidRPr="0035521E">
        <w:tab/>
        <w:t>42</w:t>
      </w:r>
      <w:r w:rsidRPr="0035521E">
        <w:tab/>
        <w:t>1</w:t>
      </w:r>
      <w:r w:rsidR="0035521E" w:rsidRPr="0035521E">
        <w:t>2</w:t>
      </w:r>
    </w:p>
    <w:p w14:paraId="24DBE89F"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35521E">
        <w:tab/>
      </w:r>
      <w:r w:rsidRPr="0035521E">
        <w:tab/>
      </w:r>
      <w:r w:rsidRPr="0035521E">
        <w:tab/>
      </w:r>
      <w:r w:rsidRPr="00690F9B">
        <w:t>3.</w:t>
      </w:r>
      <w:r w:rsidRPr="00690F9B">
        <w:tab/>
      </w:r>
      <w:r w:rsidR="00690F9B">
        <w:rPr>
          <w:bCs/>
        </w:rPr>
        <w:t xml:space="preserve">Средства пожаротушения (пункт 9.1.0.40.1) </w:t>
      </w:r>
      <w:r w:rsidRPr="00690F9B">
        <w:tab/>
      </w:r>
      <w:r w:rsidRPr="00690F9B">
        <w:tab/>
        <w:t>43</w:t>
      </w:r>
      <w:r w:rsidRPr="00690F9B">
        <w:tab/>
        <w:t>1</w:t>
      </w:r>
      <w:r w:rsidR="0035521E" w:rsidRPr="0035521E">
        <w:t>2</w:t>
      </w:r>
    </w:p>
    <w:p w14:paraId="2377E977"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690F9B">
        <w:tab/>
      </w:r>
      <w:r w:rsidRPr="00690F9B">
        <w:tab/>
      </w:r>
      <w:r w:rsidRPr="00690F9B">
        <w:tab/>
      </w:r>
      <w:r w:rsidRPr="004B1F26">
        <w:t>4.</w:t>
      </w:r>
      <w:r w:rsidRPr="004B1F26">
        <w:tab/>
      </w:r>
      <w:r w:rsidR="00690F9B">
        <w:rPr>
          <w:bCs/>
        </w:rPr>
        <w:t xml:space="preserve">Конструкционные материалы (подраздел 9.1.0.0) </w:t>
      </w:r>
      <w:r w:rsidRPr="004B1F26">
        <w:tab/>
      </w:r>
      <w:r w:rsidRPr="004B1F26">
        <w:tab/>
        <w:t>44</w:t>
      </w:r>
      <w:r w:rsidRPr="004B1F26">
        <w:tab/>
        <w:t>1</w:t>
      </w:r>
      <w:r w:rsidR="0035521E" w:rsidRPr="0035521E">
        <w:t>2</w:t>
      </w:r>
    </w:p>
    <w:p w14:paraId="4A443B91"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4B1F26">
        <w:tab/>
      </w:r>
      <w:r w:rsidRPr="004B1F26">
        <w:tab/>
      </w:r>
      <w:r w:rsidRPr="004B1F26">
        <w:tab/>
      </w:r>
      <w:r w:rsidRPr="00690F9B">
        <w:t>5.</w:t>
      </w:r>
      <w:r w:rsidRPr="00690F9B">
        <w:tab/>
      </w:r>
      <w:r w:rsidR="00690F9B">
        <w:rPr>
          <w:bCs/>
        </w:rPr>
        <w:t xml:space="preserve">Бункеровка сжиженным природным газом (СПГ) </w:t>
      </w:r>
      <w:r w:rsidRPr="00690F9B">
        <w:tab/>
      </w:r>
      <w:r w:rsidRPr="00690F9B">
        <w:tab/>
        <w:t>45–47</w:t>
      </w:r>
      <w:r w:rsidRPr="00690F9B">
        <w:tab/>
        <w:t>1</w:t>
      </w:r>
      <w:r w:rsidR="0035521E" w:rsidRPr="0035521E">
        <w:t>2</w:t>
      </w:r>
    </w:p>
    <w:p w14:paraId="36AE1280" w14:textId="77777777" w:rsidR="004B1F26" w:rsidRPr="00690F9B" w:rsidRDefault="004B1F26" w:rsidP="004B1F26">
      <w:pPr>
        <w:tabs>
          <w:tab w:val="right" w:pos="851"/>
          <w:tab w:val="left" w:pos="1134"/>
          <w:tab w:val="left" w:pos="1559"/>
          <w:tab w:val="left" w:pos="1984"/>
          <w:tab w:val="left" w:leader="dot" w:pos="7654"/>
          <w:tab w:val="right" w:pos="8929"/>
          <w:tab w:val="right" w:pos="9638"/>
        </w:tabs>
        <w:spacing w:after="120"/>
      </w:pPr>
      <w:r w:rsidRPr="00690F9B">
        <w:tab/>
      </w:r>
      <w:r w:rsidRPr="00690F9B">
        <w:tab/>
      </w:r>
      <w:r w:rsidRPr="00690F9B">
        <w:tab/>
        <w:t>6.</w:t>
      </w:r>
      <w:r w:rsidRPr="00690F9B">
        <w:tab/>
      </w:r>
      <w:r w:rsidR="00690F9B">
        <w:rPr>
          <w:bCs/>
        </w:rPr>
        <w:t xml:space="preserve">Поправки и исправления к Правилам, прилагаемым к ВОПОГ </w:t>
      </w:r>
      <w:r w:rsidRPr="00690F9B">
        <w:tab/>
      </w:r>
      <w:r w:rsidRPr="00690F9B">
        <w:tab/>
        <w:t>48–50</w:t>
      </w:r>
      <w:r w:rsidRPr="00690F9B">
        <w:tab/>
        <w:t>12</w:t>
      </w:r>
    </w:p>
    <w:p w14:paraId="4F0896C2"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690F9B">
        <w:tab/>
      </w:r>
      <w:r w:rsidRPr="00690F9B">
        <w:tab/>
      </w:r>
      <w:r w:rsidRPr="00690F9B">
        <w:tab/>
      </w:r>
      <w:r w:rsidRPr="004B1F26">
        <w:t>7.</w:t>
      </w:r>
      <w:r w:rsidRPr="004B1F26">
        <w:tab/>
      </w:r>
      <w:r w:rsidR="00690F9B">
        <w:rPr>
          <w:bCs/>
        </w:rPr>
        <w:t xml:space="preserve">Таблица C: № ООН 3295 </w:t>
      </w:r>
      <w:r w:rsidRPr="004B1F26">
        <w:tab/>
      </w:r>
      <w:r w:rsidRPr="004B1F26">
        <w:tab/>
        <w:t>51</w:t>
      </w:r>
      <w:r w:rsidRPr="004B1F26">
        <w:tab/>
        <w:t>1</w:t>
      </w:r>
      <w:r w:rsidR="0035521E" w:rsidRPr="0035521E">
        <w:t>3</w:t>
      </w:r>
    </w:p>
    <w:p w14:paraId="178C7DA6" w14:textId="77777777" w:rsidR="004B1F26" w:rsidRPr="0035521E" w:rsidRDefault="004B1F26" w:rsidP="00690F9B">
      <w:pPr>
        <w:tabs>
          <w:tab w:val="right" w:pos="851"/>
          <w:tab w:val="left" w:pos="1134"/>
          <w:tab w:val="left" w:pos="1559"/>
          <w:tab w:val="left" w:pos="1984"/>
          <w:tab w:val="left" w:leader="dot" w:pos="7654"/>
          <w:tab w:val="right" w:pos="8929"/>
          <w:tab w:val="right" w:pos="9638"/>
        </w:tabs>
        <w:spacing w:after="120"/>
        <w:ind w:left="1984" w:hanging="1984"/>
      </w:pPr>
      <w:r w:rsidRPr="004B1F26">
        <w:tab/>
      </w:r>
      <w:r w:rsidRPr="004B1F26">
        <w:tab/>
      </w:r>
      <w:r w:rsidRPr="004B1F26">
        <w:tab/>
        <w:t>8.</w:t>
      </w:r>
      <w:r w:rsidRPr="004B1F26">
        <w:tab/>
      </w:r>
      <w:r w:rsidR="00690F9B">
        <w:rPr>
          <w:bCs/>
        </w:rPr>
        <w:t>Предложения о внесении поправок в ссылки на ЕПСВВП</w:t>
      </w:r>
      <w:r w:rsidR="00690F9B">
        <w:rPr>
          <w:bCs/>
        </w:rPr>
        <w:br/>
        <w:t xml:space="preserve">в ВОПОГ </w:t>
      </w:r>
      <w:r w:rsidRPr="004B1F26">
        <w:tab/>
      </w:r>
      <w:r w:rsidRPr="004B1F26">
        <w:tab/>
        <w:t>52</w:t>
      </w:r>
      <w:r w:rsidRPr="004B1F26">
        <w:tab/>
        <w:t>1</w:t>
      </w:r>
      <w:r w:rsidR="0035521E" w:rsidRPr="0035521E">
        <w:t>3</w:t>
      </w:r>
    </w:p>
    <w:p w14:paraId="03BD15BC" w14:textId="77777777" w:rsidR="004B1F26" w:rsidRPr="0035521E" w:rsidRDefault="004B1F26" w:rsidP="00690F9B">
      <w:pPr>
        <w:tabs>
          <w:tab w:val="right" w:pos="851"/>
          <w:tab w:val="left" w:pos="1134"/>
          <w:tab w:val="left" w:pos="1559"/>
          <w:tab w:val="left" w:pos="1984"/>
          <w:tab w:val="left" w:leader="dot" w:pos="7654"/>
          <w:tab w:val="right" w:pos="8929"/>
          <w:tab w:val="right" w:pos="9638"/>
        </w:tabs>
        <w:spacing w:after="120"/>
        <w:ind w:left="1984" w:hanging="1984"/>
      </w:pPr>
      <w:r w:rsidRPr="004B1F26">
        <w:tab/>
      </w:r>
      <w:r w:rsidRPr="004B1F26">
        <w:tab/>
      </w:r>
      <w:r w:rsidRPr="004B1F26">
        <w:tab/>
        <w:t>9.</w:t>
      </w:r>
      <w:r w:rsidRPr="004B1F26">
        <w:tab/>
      </w:r>
      <w:r w:rsidR="00690F9B">
        <w:rPr>
          <w:bCs/>
        </w:rPr>
        <w:t>Исправление, касающееся примеров типов судов</w:t>
      </w:r>
      <w:r w:rsidR="00690F9B">
        <w:rPr>
          <w:bCs/>
        </w:rPr>
        <w:br/>
        <w:t xml:space="preserve">в подразделе 1.2.1 </w:t>
      </w:r>
      <w:r w:rsidRPr="004B1F26">
        <w:tab/>
      </w:r>
      <w:r w:rsidRPr="004B1F26">
        <w:tab/>
        <w:t>53</w:t>
      </w:r>
      <w:r w:rsidRPr="004B1F26">
        <w:tab/>
        <w:t>1</w:t>
      </w:r>
      <w:r w:rsidR="0035521E" w:rsidRPr="0035521E">
        <w:t>3</w:t>
      </w:r>
    </w:p>
    <w:p w14:paraId="07F78B44" w14:textId="77777777" w:rsidR="004B1F26" w:rsidRPr="0035521E" w:rsidRDefault="004B1F26" w:rsidP="00690F9B">
      <w:pPr>
        <w:tabs>
          <w:tab w:val="right" w:pos="851"/>
          <w:tab w:val="left" w:pos="1134"/>
          <w:tab w:val="left" w:pos="1559"/>
          <w:tab w:val="left" w:pos="1984"/>
          <w:tab w:val="left" w:leader="dot" w:pos="7654"/>
          <w:tab w:val="right" w:pos="8929"/>
          <w:tab w:val="right" w:pos="9638"/>
        </w:tabs>
        <w:spacing w:after="120"/>
        <w:ind w:left="1984" w:hanging="1984"/>
      </w:pPr>
      <w:r w:rsidRPr="004B1F26">
        <w:tab/>
      </w:r>
      <w:r w:rsidRPr="004B1F26">
        <w:tab/>
      </w:r>
      <w:r w:rsidRPr="004B1F26">
        <w:tab/>
        <w:t>10.</w:t>
      </w:r>
      <w:r w:rsidRPr="004B1F26">
        <w:tab/>
      </w:r>
      <w:r w:rsidR="00690F9B">
        <w:rPr>
          <w:bCs/>
        </w:rPr>
        <w:t>Обновление судовых перечней проверок в соответствии</w:t>
      </w:r>
      <w:r w:rsidR="00690F9B">
        <w:rPr>
          <w:bCs/>
        </w:rPr>
        <w:br/>
        <w:t xml:space="preserve">с пунктом 1.8.1.2.1 </w:t>
      </w:r>
      <w:r w:rsidRPr="004B1F26">
        <w:tab/>
      </w:r>
      <w:r w:rsidRPr="004B1F26">
        <w:tab/>
        <w:t>54</w:t>
      </w:r>
      <w:r w:rsidRPr="004B1F26">
        <w:tab/>
        <w:t>1</w:t>
      </w:r>
      <w:r w:rsidR="0035521E" w:rsidRPr="0035521E">
        <w:t>3</w:t>
      </w:r>
    </w:p>
    <w:p w14:paraId="3EA66B7F" w14:textId="77777777" w:rsidR="004B1F26" w:rsidRPr="00690F9B" w:rsidRDefault="004B1F26" w:rsidP="00690F9B">
      <w:pPr>
        <w:tabs>
          <w:tab w:val="right" w:pos="851"/>
          <w:tab w:val="left" w:pos="1134"/>
          <w:tab w:val="left" w:pos="1559"/>
          <w:tab w:val="left" w:pos="1984"/>
          <w:tab w:val="left" w:leader="dot" w:pos="7654"/>
          <w:tab w:val="right" w:pos="8929"/>
          <w:tab w:val="right" w:pos="9638"/>
        </w:tabs>
        <w:spacing w:after="120"/>
        <w:ind w:left="1984" w:hanging="1984"/>
      </w:pPr>
      <w:r w:rsidRPr="004B1F26">
        <w:tab/>
      </w:r>
      <w:r w:rsidRPr="004B1F26">
        <w:tab/>
      </w:r>
      <w:r w:rsidRPr="004B1F26">
        <w:tab/>
      </w:r>
      <w:r w:rsidRPr="00690F9B">
        <w:t>11.</w:t>
      </w:r>
      <w:r w:rsidRPr="00690F9B">
        <w:tab/>
      </w:r>
      <w:r w:rsidR="00690F9B">
        <w:rPr>
          <w:bCs/>
        </w:rPr>
        <w:t>Подраздел 3.2.3.3, схема А: Критерии, применяемые</w:t>
      </w:r>
      <w:r w:rsidR="00690F9B">
        <w:rPr>
          <w:bCs/>
        </w:rPr>
        <w:br/>
        <w:t xml:space="preserve">к оборудованию грузовых танков судов </w:t>
      </w:r>
      <w:proofErr w:type="gramStart"/>
      <w:r w:rsidR="00690F9B">
        <w:rPr>
          <w:bCs/>
        </w:rPr>
        <w:t>типа С</w:t>
      </w:r>
      <w:proofErr w:type="gramEnd"/>
      <w:r w:rsidR="00690F9B">
        <w:rPr>
          <w:bCs/>
        </w:rPr>
        <w:t xml:space="preserve"> </w:t>
      </w:r>
      <w:r w:rsidRPr="00690F9B">
        <w:tab/>
      </w:r>
      <w:r w:rsidRPr="00690F9B">
        <w:tab/>
        <w:t>55–56</w:t>
      </w:r>
      <w:r w:rsidRPr="00690F9B">
        <w:tab/>
        <w:t>13</w:t>
      </w:r>
    </w:p>
    <w:p w14:paraId="1176BF08" w14:textId="77777777" w:rsidR="004B1F26" w:rsidRPr="004B1F26" w:rsidRDefault="004B1F26" w:rsidP="00690F9B">
      <w:pPr>
        <w:tabs>
          <w:tab w:val="right" w:pos="851"/>
          <w:tab w:val="left" w:pos="1134"/>
          <w:tab w:val="left" w:pos="1559"/>
          <w:tab w:val="left" w:pos="1984"/>
          <w:tab w:val="left" w:leader="dot" w:pos="7654"/>
          <w:tab w:val="right" w:pos="8929"/>
          <w:tab w:val="right" w:pos="9638"/>
        </w:tabs>
        <w:spacing w:after="120"/>
        <w:ind w:left="1984" w:hanging="1984"/>
      </w:pPr>
      <w:r w:rsidRPr="00690F9B">
        <w:tab/>
      </w:r>
      <w:r w:rsidRPr="00690F9B">
        <w:tab/>
      </w:r>
      <w:r w:rsidRPr="00690F9B">
        <w:tab/>
      </w:r>
      <w:r w:rsidRPr="004B1F26">
        <w:t>12.</w:t>
      </w:r>
      <w:r w:rsidRPr="004B1F26">
        <w:tab/>
      </w:r>
      <w:r w:rsidR="00690F9B">
        <w:rPr>
          <w:bCs/>
        </w:rPr>
        <w:t>Определение «Газовозвратный трубопровод (береговой)»</w:t>
      </w:r>
      <w:r w:rsidR="00690F9B">
        <w:rPr>
          <w:bCs/>
        </w:rPr>
        <w:br/>
        <w:t xml:space="preserve">в разделе 1.2.1 </w:t>
      </w:r>
      <w:r w:rsidRPr="004B1F26">
        <w:tab/>
      </w:r>
      <w:r w:rsidRPr="004B1F26">
        <w:tab/>
        <w:t>57</w:t>
      </w:r>
      <w:r w:rsidRPr="004B1F26">
        <w:tab/>
        <w:t>13</w:t>
      </w:r>
    </w:p>
    <w:p w14:paraId="138B4BDC" w14:textId="77777777" w:rsidR="004B1F26" w:rsidRPr="00805184" w:rsidRDefault="004B1F26" w:rsidP="004B1F26">
      <w:pPr>
        <w:tabs>
          <w:tab w:val="right" w:pos="851"/>
          <w:tab w:val="left" w:pos="1134"/>
          <w:tab w:val="left" w:pos="1559"/>
          <w:tab w:val="left" w:pos="1984"/>
          <w:tab w:val="left" w:leader="dot" w:pos="7654"/>
          <w:tab w:val="right" w:pos="8929"/>
          <w:tab w:val="right" w:pos="9638"/>
        </w:tabs>
        <w:spacing w:after="120"/>
      </w:pPr>
      <w:r w:rsidRPr="004B1F26">
        <w:tab/>
      </w:r>
      <w:r w:rsidRPr="004B1F26">
        <w:tab/>
      </w:r>
      <w:r w:rsidRPr="004B1F26">
        <w:tab/>
        <w:t>13.</w:t>
      </w:r>
      <w:r w:rsidRPr="004B1F26">
        <w:tab/>
      </w:r>
      <w:r w:rsidR="00690F9B">
        <w:rPr>
          <w:bCs/>
        </w:rPr>
        <w:t xml:space="preserve">Заголовки колонок </w:t>
      </w:r>
      <w:proofErr w:type="gramStart"/>
      <w:r w:rsidR="00690F9B">
        <w:rPr>
          <w:bCs/>
        </w:rPr>
        <w:t>таблицы С</w:t>
      </w:r>
      <w:proofErr w:type="gramEnd"/>
      <w:r w:rsidR="00690F9B">
        <w:rPr>
          <w:bCs/>
        </w:rPr>
        <w:t xml:space="preserve"> </w:t>
      </w:r>
      <w:r w:rsidRPr="004B1F26">
        <w:tab/>
      </w:r>
      <w:r w:rsidRPr="004B1F26">
        <w:tab/>
        <w:t>58</w:t>
      </w:r>
      <w:r w:rsidRPr="004B1F26">
        <w:tab/>
        <w:t>1</w:t>
      </w:r>
      <w:r w:rsidR="0035521E" w:rsidRPr="00805184">
        <w:t>4</w:t>
      </w:r>
    </w:p>
    <w:p w14:paraId="61E9E201" w14:textId="77777777" w:rsidR="004B1F26" w:rsidRPr="00690F9B" w:rsidRDefault="004B1F26" w:rsidP="00690F9B">
      <w:pPr>
        <w:tabs>
          <w:tab w:val="right" w:pos="851"/>
          <w:tab w:val="left" w:pos="1134"/>
          <w:tab w:val="left" w:pos="1559"/>
          <w:tab w:val="left" w:pos="1984"/>
          <w:tab w:val="left" w:leader="dot" w:pos="7654"/>
          <w:tab w:val="right" w:pos="8929"/>
          <w:tab w:val="right" w:pos="9638"/>
        </w:tabs>
        <w:spacing w:after="120"/>
        <w:ind w:left="1984" w:hanging="1984"/>
      </w:pPr>
      <w:r w:rsidRPr="004B1F26">
        <w:tab/>
      </w:r>
      <w:r w:rsidRPr="004B1F26">
        <w:tab/>
      </w:r>
      <w:r w:rsidRPr="004B1F26">
        <w:tab/>
      </w:r>
      <w:r w:rsidRPr="00690F9B">
        <w:t>14.</w:t>
      </w:r>
      <w:r w:rsidRPr="00690F9B">
        <w:tab/>
      </w:r>
      <w:r w:rsidR="00690F9B">
        <w:rPr>
          <w:bCs/>
        </w:rPr>
        <w:t>Внедрение измененной концепции взрывозащиты на судах</w:t>
      </w:r>
      <w:r w:rsidR="00690F9B">
        <w:rPr>
          <w:bCs/>
        </w:rPr>
        <w:br/>
        <w:t xml:space="preserve">внутреннего плавания: вопросы толкования </w:t>
      </w:r>
      <w:r w:rsidRPr="00690F9B">
        <w:tab/>
      </w:r>
      <w:r w:rsidRPr="00690F9B">
        <w:tab/>
        <w:t>59–66</w:t>
      </w:r>
      <w:r w:rsidRPr="00690F9B">
        <w:tab/>
        <w:t>1</w:t>
      </w:r>
      <w:r w:rsidR="007C1E58">
        <w:t>4</w:t>
      </w:r>
    </w:p>
    <w:p w14:paraId="64902B36"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690F9B">
        <w:tab/>
      </w:r>
      <w:r w:rsidRPr="00690F9B">
        <w:tab/>
      </w:r>
      <w:r w:rsidRPr="00690F9B">
        <w:tab/>
      </w:r>
      <w:r w:rsidRPr="0035521E">
        <w:t>15.</w:t>
      </w:r>
      <w:r w:rsidRPr="0035521E">
        <w:tab/>
      </w:r>
      <w:r w:rsidR="00690F9B">
        <w:rPr>
          <w:bCs/>
        </w:rPr>
        <w:t>Подраздел</w:t>
      </w:r>
      <w:r w:rsidR="00690F9B" w:rsidRPr="0035521E">
        <w:rPr>
          <w:bCs/>
        </w:rPr>
        <w:t xml:space="preserve"> 9.3.</w:t>
      </w:r>
      <w:r w:rsidR="00690F9B" w:rsidRPr="00690F9B">
        <w:rPr>
          <w:bCs/>
          <w:lang w:val="en-US"/>
        </w:rPr>
        <w:t>x</w:t>
      </w:r>
      <w:r w:rsidR="00690F9B" w:rsidRPr="0035521E">
        <w:rPr>
          <w:bCs/>
        </w:rPr>
        <w:t xml:space="preserve">.8.4 </w:t>
      </w:r>
      <w:r w:rsidRPr="0035521E">
        <w:tab/>
      </w:r>
      <w:r w:rsidRPr="0035521E">
        <w:tab/>
        <w:t>67–68</w:t>
      </w:r>
      <w:r w:rsidRPr="0035521E">
        <w:tab/>
        <w:t>1</w:t>
      </w:r>
      <w:r w:rsidR="0035521E" w:rsidRPr="0035521E">
        <w:t>5</w:t>
      </w:r>
    </w:p>
    <w:p w14:paraId="09D69136"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35521E">
        <w:tab/>
      </w:r>
      <w:r w:rsidRPr="0035521E">
        <w:tab/>
      </w:r>
      <w:r w:rsidRPr="0035521E">
        <w:tab/>
      </w:r>
      <w:r w:rsidRPr="00690F9B">
        <w:t>16.</w:t>
      </w:r>
      <w:r w:rsidRPr="00690F9B">
        <w:tab/>
      </w:r>
      <w:r w:rsidR="00690F9B">
        <w:rPr>
          <w:bCs/>
        </w:rPr>
        <w:t xml:space="preserve">Примеры укладки и разделения контейнеров </w:t>
      </w:r>
      <w:r w:rsidRPr="00690F9B">
        <w:tab/>
      </w:r>
      <w:r w:rsidRPr="00690F9B">
        <w:tab/>
        <w:t>69–70</w:t>
      </w:r>
      <w:r w:rsidRPr="00690F9B">
        <w:tab/>
        <w:t>1</w:t>
      </w:r>
      <w:r w:rsidR="0035521E" w:rsidRPr="0035521E">
        <w:t>5</w:t>
      </w:r>
    </w:p>
    <w:p w14:paraId="078D68E3" w14:textId="77777777" w:rsidR="004B1F26" w:rsidRPr="004B1F26" w:rsidRDefault="004B1F26" w:rsidP="004B1F26">
      <w:pPr>
        <w:tabs>
          <w:tab w:val="right" w:pos="851"/>
          <w:tab w:val="left" w:pos="1134"/>
          <w:tab w:val="left" w:pos="1559"/>
          <w:tab w:val="left" w:pos="1984"/>
          <w:tab w:val="left" w:leader="dot" w:pos="7654"/>
          <w:tab w:val="right" w:pos="8929"/>
          <w:tab w:val="right" w:pos="9638"/>
        </w:tabs>
        <w:spacing w:after="120"/>
      </w:pPr>
      <w:r w:rsidRPr="00690F9B">
        <w:tab/>
      </w:r>
      <w:r w:rsidRPr="00690F9B">
        <w:tab/>
      </w:r>
      <w:r w:rsidRPr="00690F9B">
        <w:tab/>
      </w:r>
      <w:r w:rsidRPr="004B1F26">
        <w:t>17.</w:t>
      </w:r>
      <w:r w:rsidRPr="004B1F26">
        <w:tab/>
      </w:r>
      <w:r w:rsidR="00690F9B">
        <w:rPr>
          <w:bCs/>
        </w:rPr>
        <w:t xml:space="preserve">№ ООН 2057 – Трипропилен </w:t>
      </w:r>
      <w:r w:rsidRPr="004B1F26">
        <w:tab/>
      </w:r>
      <w:r w:rsidRPr="004B1F26">
        <w:tab/>
        <w:t>71</w:t>
      </w:r>
      <w:r w:rsidRPr="004B1F26">
        <w:tab/>
        <w:t>15</w:t>
      </w:r>
    </w:p>
    <w:p w14:paraId="56FD7CA5"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4B1F26">
        <w:tab/>
      </w:r>
      <w:r w:rsidRPr="004B1F26">
        <w:rPr>
          <w:lang w:val="en-US"/>
        </w:rPr>
        <w:t>VII</w:t>
      </w:r>
      <w:r w:rsidRPr="00690F9B">
        <w:t>.</w:t>
      </w:r>
      <w:r w:rsidRPr="00690F9B">
        <w:tab/>
      </w:r>
      <w:r w:rsidR="00690F9B">
        <w:rPr>
          <w:bCs/>
        </w:rPr>
        <w:t xml:space="preserve">Доклады неофициальных рабочих групп (пункт 6 повестки дня) </w:t>
      </w:r>
      <w:r w:rsidRPr="00690F9B">
        <w:tab/>
      </w:r>
      <w:r w:rsidRPr="00690F9B">
        <w:tab/>
        <w:t>72–79</w:t>
      </w:r>
      <w:r w:rsidRPr="00690F9B">
        <w:tab/>
        <w:t>1</w:t>
      </w:r>
      <w:r w:rsidR="0035521E" w:rsidRPr="0035521E">
        <w:t>6</w:t>
      </w:r>
    </w:p>
    <w:p w14:paraId="55A397E9" w14:textId="77777777" w:rsidR="004B1F26" w:rsidRPr="0035521E" w:rsidRDefault="00690F9B" w:rsidP="004B1F26">
      <w:pPr>
        <w:tabs>
          <w:tab w:val="right" w:pos="850"/>
          <w:tab w:val="left" w:pos="1134"/>
          <w:tab w:val="left" w:pos="1559"/>
          <w:tab w:val="left" w:pos="1984"/>
          <w:tab w:val="left" w:leader="dot" w:pos="7654"/>
          <w:tab w:val="right" w:pos="8929"/>
          <w:tab w:val="right" w:pos="9638"/>
        </w:tabs>
        <w:spacing w:after="120"/>
      </w:pPr>
      <w:r w:rsidRPr="0035521E">
        <w:tab/>
      </w:r>
      <w:r w:rsidRPr="0035521E">
        <w:tab/>
      </w:r>
      <w:r w:rsidRPr="00690F9B">
        <w:rPr>
          <w:lang w:val="en-US"/>
        </w:rPr>
        <w:t>A</w:t>
      </w:r>
      <w:r w:rsidRPr="00690F9B">
        <w:t>.</w:t>
      </w:r>
      <w:r w:rsidRPr="00690F9B">
        <w:tab/>
      </w:r>
      <w:r>
        <w:rPr>
          <w:bCs/>
        </w:rPr>
        <w:t>Доклад</w:t>
      </w:r>
      <w:r w:rsidRPr="00690F9B">
        <w:rPr>
          <w:bCs/>
        </w:rPr>
        <w:t xml:space="preserve"> </w:t>
      </w:r>
      <w:r>
        <w:rPr>
          <w:bCs/>
        </w:rPr>
        <w:t>неофициальной</w:t>
      </w:r>
      <w:r w:rsidRPr="00690F9B">
        <w:rPr>
          <w:bCs/>
        </w:rPr>
        <w:t xml:space="preserve"> </w:t>
      </w:r>
      <w:r>
        <w:rPr>
          <w:bCs/>
        </w:rPr>
        <w:t>рабочей</w:t>
      </w:r>
      <w:r w:rsidRPr="00690F9B">
        <w:rPr>
          <w:bCs/>
        </w:rPr>
        <w:t xml:space="preserve"> </w:t>
      </w:r>
      <w:r>
        <w:rPr>
          <w:bCs/>
        </w:rPr>
        <w:t>группы</w:t>
      </w:r>
      <w:r w:rsidRPr="00690F9B">
        <w:rPr>
          <w:bCs/>
        </w:rPr>
        <w:t xml:space="preserve"> </w:t>
      </w:r>
      <w:r>
        <w:rPr>
          <w:bCs/>
        </w:rPr>
        <w:t>по</w:t>
      </w:r>
      <w:r w:rsidRPr="00690F9B">
        <w:rPr>
          <w:bCs/>
        </w:rPr>
        <w:t xml:space="preserve"> </w:t>
      </w:r>
      <w:r>
        <w:rPr>
          <w:bCs/>
        </w:rPr>
        <w:t>мембранным</w:t>
      </w:r>
      <w:r w:rsidRPr="00690F9B">
        <w:rPr>
          <w:bCs/>
        </w:rPr>
        <w:t xml:space="preserve"> </w:t>
      </w:r>
      <w:r>
        <w:rPr>
          <w:bCs/>
        </w:rPr>
        <w:t xml:space="preserve">танкам </w:t>
      </w:r>
      <w:r w:rsidR="004B1F26" w:rsidRPr="00690F9B">
        <w:tab/>
      </w:r>
      <w:r w:rsidR="004B1F26" w:rsidRPr="00690F9B">
        <w:tab/>
        <w:t>72–74</w:t>
      </w:r>
      <w:r w:rsidR="004B1F26" w:rsidRPr="00690F9B">
        <w:tab/>
        <w:t>1</w:t>
      </w:r>
      <w:r w:rsidR="0035521E" w:rsidRPr="0035521E">
        <w:t>6</w:t>
      </w:r>
    </w:p>
    <w:p w14:paraId="0007BAE9" w14:textId="77777777" w:rsidR="004B1F26" w:rsidRPr="0035521E" w:rsidRDefault="00690F9B" w:rsidP="00690F9B">
      <w:pPr>
        <w:tabs>
          <w:tab w:val="right" w:pos="851"/>
          <w:tab w:val="left" w:pos="1134"/>
          <w:tab w:val="left" w:pos="1559"/>
          <w:tab w:val="left" w:pos="1984"/>
          <w:tab w:val="left" w:leader="dot" w:pos="7654"/>
          <w:tab w:val="right" w:pos="8929"/>
          <w:tab w:val="right" w:pos="9638"/>
        </w:tabs>
        <w:spacing w:after="120"/>
        <w:ind w:left="1559" w:hanging="1559"/>
      </w:pPr>
      <w:r w:rsidRPr="0035521E">
        <w:tab/>
      </w:r>
      <w:r w:rsidRPr="0035521E">
        <w:tab/>
      </w:r>
      <w:r w:rsidR="004B1F26" w:rsidRPr="004B1F26">
        <w:rPr>
          <w:lang w:val="en-US"/>
        </w:rPr>
        <w:t>B</w:t>
      </w:r>
      <w:r w:rsidR="004B1F26" w:rsidRPr="00690F9B">
        <w:t>.</w:t>
      </w:r>
      <w:r w:rsidR="004B1F26" w:rsidRPr="00690F9B">
        <w:tab/>
      </w:r>
      <w:r>
        <w:rPr>
          <w:bCs/>
        </w:rPr>
        <w:t>«Дорожная карта» по вопросу о смешивании на борту танкеров</w:t>
      </w:r>
      <w:r>
        <w:rPr>
          <w:bCs/>
        </w:rPr>
        <w:br/>
        <w:t xml:space="preserve">внутреннего плавания </w:t>
      </w:r>
      <w:r w:rsidR="004B1F26" w:rsidRPr="00690F9B">
        <w:tab/>
      </w:r>
      <w:r w:rsidR="004B1F26" w:rsidRPr="00690F9B">
        <w:tab/>
        <w:t>75–79</w:t>
      </w:r>
      <w:r w:rsidR="004B1F26" w:rsidRPr="00690F9B">
        <w:tab/>
        <w:t>1</w:t>
      </w:r>
      <w:r w:rsidR="0035521E" w:rsidRPr="0035521E">
        <w:t>6</w:t>
      </w:r>
    </w:p>
    <w:p w14:paraId="439A3A63"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690F9B">
        <w:tab/>
      </w:r>
      <w:r w:rsidRPr="004B1F26">
        <w:t>VIII.</w:t>
      </w:r>
      <w:r w:rsidRPr="004B1F26">
        <w:tab/>
      </w:r>
      <w:r w:rsidR="00690F9B">
        <w:rPr>
          <w:bCs/>
        </w:rPr>
        <w:t xml:space="preserve">Программа работы и график совещаний (пункт 7 повестки дня) </w:t>
      </w:r>
      <w:r w:rsidRPr="00690F9B">
        <w:tab/>
      </w:r>
      <w:r w:rsidRPr="00690F9B">
        <w:tab/>
        <w:t>80–82</w:t>
      </w:r>
      <w:r w:rsidRPr="00690F9B">
        <w:tab/>
        <w:t>1</w:t>
      </w:r>
      <w:r w:rsidR="0035521E" w:rsidRPr="0035521E">
        <w:t>7</w:t>
      </w:r>
    </w:p>
    <w:p w14:paraId="0EBEB538"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690F9B">
        <w:tab/>
      </w:r>
      <w:r w:rsidRPr="00690F9B">
        <w:tab/>
      </w:r>
      <w:r w:rsidRPr="004B1F26">
        <w:t>A.</w:t>
      </w:r>
      <w:r w:rsidRPr="004B1F26">
        <w:tab/>
      </w:r>
      <w:r w:rsidR="00690F9B">
        <w:rPr>
          <w:bCs/>
        </w:rPr>
        <w:t xml:space="preserve">График совещаний </w:t>
      </w:r>
      <w:r w:rsidRPr="004B1F26">
        <w:tab/>
      </w:r>
      <w:r w:rsidRPr="004B1F26">
        <w:tab/>
        <w:t>80</w:t>
      </w:r>
      <w:r w:rsidRPr="004B1F26">
        <w:tab/>
        <w:t>1</w:t>
      </w:r>
      <w:r w:rsidR="0035521E" w:rsidRPr="0035521E">
        <w:t>7</w:t>
      </w:r>
    </w:p>
    <w:p w14:paraId="453AF0DF" w14:textId="77777777" w:rsidR="004B1F26" w:rsidRPr="0035521E" w:rsidRDefault="004B1F26" w:rsidP="004B1F26">
      <w:pPr>
        <w:tabs>
          <w:tab w:val="right" w:pos="851"/>
          <w:tab w:val="left" w:pos="1134"/>
          <w:tab w:val="left" w:pos="1559"/>
          <w:tab w:val="left" w:pos="1984"/>
          <w:tab w:val="left" w:leader="dot" w:pos="7654"/>
          <w:tab w:val="right" w:pos="8929"/>
          <w:tab w:val="right" w:pos="9638"/>
        </w:tabs>
        <w:spacing w:after="120"/>
      </w:pPr>
      <w:r w:rsidRPr="004B1F26">
        <w:tab/>
      </w:r>
      <w:r w:rsidRPr="004B1F26">
        <w:tab/>
      </w:r>
      <w:r w:rsidRPr="004B1F26">
        <w:rPr>
          <w:lang w:val="en-US"/>
        </w:rPr>
        <w:t>B</w:t>
      </w:r>
      <w:r w:rsidRPr="00690F9B">
        <w:t>.</w:t>
      </w:r>
      <w:r w:rsidRPr="00690F9B">
        <w:tab/>
      </w:r>
      <w:r w:rsidR="00690F9B">
        <w:rPr>
          <w:bCs/>
        </w:rPr>
        <w:t xml:space="preserve">Неофициальная рабочая группа по стандартам </w:t>
      </w:r>
      <w:r w:rsidRPr="00690F9B">
        <w:tab/>
      </w:r>
      <w:r w:rsidRPr="00690F9B">
        <w:tab/>
        <w:t>81–82</w:t>
      </w:r>
      <w:r w:rsidRPr="00690F9B">
        <w:tab/>
        <w:t>1</w:t>
      </w:r>
      <w:r w:rsidR="0035521E" w:rsidRPr="0035521E">
        <w:t>7</w:t>
      </w:r>
    </w:p>
    <w:p w14:paraId="01377874" w14:textId="77777777" w:rsidR="004B1F26" w:rsidRPr="00F56EF3" w:rsidRDefault="004B1F26" w:rsidP="004B1F26">
      <w:pPr>
        <w:tabs>
          <w:tab w:val="right" w:pos="851"/>
          <w:tab w:val="left" w:pos="1134"/>
          <w:tab w:val="left" w:pos="1559"/>
          <w:tab w:val="left" w:pos="1984"/>
          <w:tab w:val="left" w:leader="dot" w:pos="7654"/>
          <w:tab w:val="right" w:pos="8929"/>
          <w:tab w:val="right" w:pos="9638"/>
        </w:tabs>
        <w:spacing w:after="120"/>
      </w:pPr>
      <w:r w:rsidRPr="00690F9B">
        <w:tab/>
      </w:r>
      <w:r w:rsidRPr="004B1F26">
        <w:rPr>
          <w:lang w:val="en-US"/>
        </w:rPr>
        <w:t>IX</w:t>
      </w:r>
      <w:r w:rsidRPr="00690F9B">
        <w:t>.</w:t>
      </w:r>
      <w:r w:rsidRPr="00690F9B">
        <w:tab/>
      </w:r>
      <w:r w:rsidR="00690F9B">
        <w:rPr>
          <w:bCs/>
        </w:rPr>
        <w:t xml:space="preserve">Прочие вопросы (пункт 8 повестки дня) </w:t>
      </w:r>
      <w:r w:rsidRPr="00690F9B">
        <w:tab/>
      </w:r>
      <w:r w:rsidRPr="00690F9B">
        <w:tab/>
        <w:t>83–85</w:t>
      </w:r>
      <w:r w:rsidRPr="00690F9B">
        <w:tab/>
        <w:t>1</w:t>
      </w:r>
      <w:r w:rsidR="00F56EF3" w:rsidRPr="00F56EF3">
        <w:t>7</w:t>
      </w:r>
    </w:p>
    <w:p w14:paraId="48149AA9" w14:textId="77777777" w:rsidR="004B1F26" w:rsidRPr="00F56EF3" w:rsidRDefault="004B1F26" w:rsidP="004B1F26">
      <w:pPr>
        <w:tabs>
          <w:tab w:val="right" w:pos="851"/>
          <w:tab w:val="left" w:pos="1134"/>
          <w:tab w:val="left" w:pos="1559"/>
          <w:tab w:val="left" w:pos="1984"/>
          <w:tab w:val="left" w:leader="dot" w:pos="7654"/>
          <w:tab w:val="right" w:pos="8929"/>
          <w:tab w:val="right" w:pos="9638"/>
        </w:tabs>
        <w:spacing w:after="120"/>
      </w:pPr>
      <w:r w:rsidRPr="00690F9B">
        <w:tab/>
      </w:r>
      <w:r w:rsidRPr="00690F9B">
        <w:tab/>
      </w:r>
      <w:r w:rsidRPr="004B1F26">
        <w:t>1.</w:t>
      </w:r>
      <w:r w:rsidRPr="004B1F26">
        <w:tab/>
      </w:r>
      <w:r w:rsidR="00690F9B">
        <w:rPr>
          <w:bCs/>
        </w:rPr>
        <w:t xml:space="preserve">Европейская платформа для внутреннего водного транспорта </w:t>
      </w:r>
      <w:r w:rsidRPr="004B1F26">
        <w:tab/>
      </w:r>
      <w:r w:rsidRPr="004B1F26">
        <w:tab/>
        <w:t>83</w:t>
      </w:r>
      <w:r w:rsidRPr="004B1F26">
        <w:tab/>
        <w:t>1</w:t>
      </w:r>
      <w:r w:rsidR="00F56EF3" w:rsidRPr="00F56EF3">
        <w:t>7</w:t>
      </w:r>
    </w:p>
    <w:p w14:paraId="597E18CA" w14:textId="77777777" w:rsidR="004B1F26" w:rsidRPr="00690F9B" w:rsidRDefault="004B1F26" w:rsidP="004B1F26">
      <w:pPr>
        <w:tabs>
          <w:tab w:val="right" w:pos="851"/>
          <w:tab w:val="left" w:pos="1134"/>
          <w:tab w:val="left" w:pos="1559"/>
          <w:tab w:val="left" w:pos="1984"/>
          <w:tab w:val="left" w:leader="dot" w:pos="7654"/>
          <w:tab w:val="right" w:pos="8929"/>
          <w:tab w:val="right" w:pos="9638"/>
        </w:tabs>
        <w:spacing w:after="120"/>
        <w:rPr>
          <w:bCs/>
        </w:rPr>
      </w:pPr>
      <w:r w:rsidRPr="00690F9B">
        <w:rPr>
          <w:bCs/>
        </w:rPr>
        <w:tab/>
      </w:r>
      <w:r w:rsidRPr="00690F9B">
        <w:rPr>
          <w:bCs/>
        </w:rPr>
        <w:tab/>
        <w:t>2.</w:t>
      </w:r>
      <w:r w:rsidRPr="00690F9B">
        <w:rPr>
          <w:bCs/>
        </w:rPr>
        <w:tab/>
      </w:r>
      <w:r w:rsidR="00690F9B">
        <w:rPr>
          <w:bCs/>
        </w:rPr>
        <w:t xml:space="preserve">Выражение признательности г-ну Роггеману (Бельгия) </w:t>
      </w:r>
      <w:r w:rsidR="00690F9B">
        <w:rPr>
          <w:bCs/>
        </w:rPr>
        <w:tab/>
      </w:r>
      <w:r w:rsidR="00690F9B">
        <w:rPr>
          <w:bCs/>
        </w:rPr>
        <w:tab/>
      </w:r>
      <w:r w:rsidRPr="004B1F26">
        <w:t>84</w:t>
      </w:r>
      <w:r w:rsidRPr="004B1F26">
        <w:tab/>
        <w:t>17</w:t>
      </w:r>
    </w:p>
    <w:p w14:paraId="5589E90E" w14:textId="77777777" w:rsidR="004B1F26" w:rsidRPr="00F56EF3" w:rsidRDefault="004B1F26" w:rsidP="004B1F26">
      <w:pPr>
        <w:tabs>
          <w:tab w:val="right" w:pos="851"/>
          <w:tab w:val="left" w:pos="1134"/>
          <w:tab w:val="left" w:pos="1559"/>
          <w:tab w:val="left" w:pos="1984"/>
          <w:tab w:val="left" w:leader="dot" w:pos="7654"/>
          <w:tab w:val="right" w:pos="8929"/>
          <w:tab w:val="right" w:pos="9638"/>
        </w:tabs>
        <w:spacing w:after="120"/>
      </w:pPr>
      <w:r w:rsidRPr="004B1F26">
        <w:tab/>
      </w:r>
      <w:r w:rsidR="00690F9B">
        <w:tab/>
      </w:r>
      <w:r w:rsidRPr="004B1F26">
        <w:t>3.</w:t>
      </w:r>
      <w:r w:rsidRPr="004B1F26">
        <w:tab/>
      </w:r>
      <w:r w:rsidR="00690F9B" w:rsidRPr="00690F9B">
        <w:rPr>
          <w:bCs/>
        </w:rPr>
        <w:t>Многостороннее соглашение M024</w:t>
      </w:r>
      <w:r w:rsidR="00690F9B">
        <w:rPr>
          <w:bCs/>
        </w:rPr>
        <w:t xml:space="preserve"> </w:t>
      </w:r>
      <w:r w:rsidRPr="004B1F26">
        <w:tab/>
      </w:r>
      <w:r w:rsidRPr="004B1F26">
        <w:tab/>
        <w:t>85</w:t>
      </w:r>
      <w:r w:rsidRPr="004B1F26">
        <w:tab/>
        <w:t>1</w:t>
      </w:r>
      <w:r w:rsidR="00F56EF3" w:rsidRPr="00F56EF3">
        <w:t>8</w:t>
      </w:r>
    </w:p>
    <w:p w14:paraId="26BE989A" w14:textId="77777777" w:rsidR="004B1F26" w:rsidRPr="00F56EF3" w:rsidRDefault="004B1F26" w:rsidP="004B1F26">
      <w:pPr>
        <w:tabs>
          <w:tab w:val="right" w:pos="851"/>
          <w:tab w:val="left" w:pos="1134"/>
          <w:tab w:val="left" w:pos="1559"/>
          <w:tab w:val="left" w:pos="1984"/>
          <w:tab w:val="left" w:leader="dot" w:pos="7654"/>
          <w:tab w:val="right" w:pos="8929"/>
          <w:tab w:val="right" w:pos="9638"/>
        </w:tabs>
        <w:spacing w:after="120"/>
      </w:pPr>
      <w:r w:rsidRPr="004B1F26">
        <w:tab/>
        <w:t>X.</w:t>
      </w:r>
      <w:r w:rsidRPr="004B1F26">
        <w:tab/>
      </w:r>
      <w:r w:rsidR="00690F9B">
        <w:rPr>
          <w:bCs/>
        </w:rPr>
        <w:t xml:space="preserve">Утверждение доклада (пункт 9 повестки дня) </w:t>
      </w:r>
      <w:r w:rsidRPr="004B1F26">
        <w:tab/>
      </w:r>
      <w:r w:rsidRPr="004B1F26">
        <w:tab/>
        <w:t>86</w:t>
      </w:r>
      <w:r w:rsidRPr="004B1F26">
        <w:tab/>
        <w:t>1</w:t>
      </w:r>
      <w:r w:rsidR="00F56EF3" w:rsidRPr="00F56EF3">
        <w:t>8</w:t>
      </w:r>
    </w:p>
    <w:p w14:paraId="78F10F9A" w14:textId="77777777" w:rsidR="007A0320" w:rsidRPr="00363108" w:rsidRDefault="007A0320" w:rsidP="00690F9B">
      <w:pPr>
        <w:widowControl w:val="0"/>
        <w:tabs>
          <w:tab w:val="right" w:pos="850"/>
          <w:tab w:val="left" w:pos="1134"/>
          <w:tab w:val="left" w:pos="1559"/>
          <w:tab w:val="left" w:pos="1984"/>
          <w:tab w:val="left" w:leader="dot" w:pos="7654"/>
          <w:tab w:val="right" w:pos="8929"/>
          <w:tab w:val="right" w:pos="9638"/>
        </w:tabs>
        <w:spacing w:after="120" w:line="220" w:lineRule="atLeast"/>
        <w:ind w:left="1980" w:hanging="1980"/>
      </w:pPr>
      <w:r>
        <w:t>Приложения</w:t>
      </w:r>
    </w:p>
    <w:p w14:paraId="52F087F9" w14:textId="77777777" w:rsidR="007A0320" w:rsidRPr="00F56EF3" w:rsidRDefault="00690F9B" w:rsidP="00B72598">
      <w:pPr>
        <w:tabs>
          <w:tab w:val="right" w:pos="851"/>
          <w:tab w:val="left" w:pos="1134"/>
          <w:tab w:val="left" w:pos="1559"/>
          <w:tab w:val="left" w:pos="1984"/>
          <w:tab w:val="left" w:leader="dot" w:pos="8931"/>
          <w:tab w:val="right" w:pos="9638"/>
        </w:tabs>
        <w:spacing w:after="120"/>
        <w:ind w:left="1134" w:hanging="1134"/>
        <w:rPr>
          <w:bCs/>
        </w:rPr>
      </w:pPr>
      <w:r>
        <w:rPr>
          <w:bCs/>
        </w:rPr>
        <w:tab/>
      </w:r>
      <w:r>
        <w:rPr>
          <w:bCs/>
          <w:lang w:val="en-US"/>
        </w:rPr>
        <w:t>I</w:t>
      </w:r>
      <w:r w:rsidRPr="00690F9B">
        <w:rPr>
          <w:bCs/>
        </w:rPr>
        <w:t>.</w:t>
      </w:r>
      <w:r>
        <w:rPr>
          <w:bCs/>
        </w:rPr>
        <w:tab/>
      </w:r>
      <w:r w:rsidR="007A0320" w:rsidRPr="00690F9B">
        <w:t>Предлагаемые</w:t>
      </w:r>
      <w:r w:rsidR="007A0320" w:rsidRPr="00690F9B">
        <w:rPr>
          <w:bCs/>
        </w:rPr>
        <w:t xml:space="preserve"> поправки к Правилам, прилагаемым к ВОПОГ, для вступления в силу</w:t>
      </w:r>
      <w:r w:rsidR="00B72598">
        <w:rPr>
          <w:bCs/>
        </w:rPr>
        <w:br/>
      </w:r>
      <w:r w:rsidR="007A0320" w:rsidRPr="00690F9B">
        <w:rPr>
          <w:bCs/>
        </w:rPr>
        <w:t>1 января 2021 года</w:t>
      </w:r>
      <w:r w:rsidR="00B72598" w:rsidRPr="00B72598">
        <w:rPr>
          <w:bCs/>
        </w:rPr>
        <w:t xml:space="preserve"> </w:t>
      </w:r>
      <w:r w:rsidR="00B72598">
        <w:rPr>
          <w:bCs/>
        </w:rPr>
        <w:tab/>
      </w:r>
      <w:r w:rsidR="00B72598">
        <w:rPr>
          <w:bCs/>
        </w:rPr>
        <w:tab/>
      </w:r>
      <w:r w:rsidR="00F56EF3" w:rsidRPr="00F56EF3">
        <w:rPr>
          <w:bCs/>
        </w:rPr>
        <w:t>19</w:t>
      </w:r>
    </w:p>
    <w:p w14:paraId="709D2D33" w14:textId="77777777" w:rsidR="007A0320" w:rsidRPr="00F56EF3" w:rsidRDefault="007A0320" w:rsidP="00B72598">
      <w:pPr>
        <w:tabs>
          <w:tab w:val="right" w:pos="850"/>
          <w:tab w:val="left" w:pos="1134"/>
          <w:tab w:val="left" w:pos="1559"/>
          <w:tab w:val="left" w:pos="1984"/>
          <w:tab w:val="left" w:leader="dot" w:pos="8931"/>
          <w:tab w:val="right" w:pos="9638"/>
        </w:tabs>
        <w:spacing w:after="120"/>
        <w:ind w:left="1134" w:hanging="1134"/>
        <w:rPr>
          <w:bCs/>
        </w:rPr>
      </w:pPr>
      <w:r w:rsidRPr="00690F9B">
        <w:rPr>
          <w:bCs/>
        </w:rPr>
        <w:tab/>
        <w:t>II.</w:t>
      </w:r>
      <w:r w:rsidRPr="00690F9B">
        <w:rPr>
          <w:bCs/>
        </w:rPr>
        <w:tab/>
        <w:t>Исправления к документу ECE/TRANS/276 (издание ВОПОГ 2019 года)</w:t>
      </w:r>
      <w:r w:rsidR="00B72598">
        <w:rPr>
          <w:bCs/>
        </w:rPr>
        <w:br/>
      </w:r>
      <w:r w:rsidRPr="00690F9B">
        <w:rPr>
          <w:bCs/>
        </w:rPr>
        <w:t>(Исправления, не требующие принятия Договаривающимися сторонами)</w:t>
      </w:r>
      <w:r w:rsidR="00B72598" w:rsidRPr="00B72598">
        <w:rPr>
          <w:bCs/>
        </w:rPr>
        <w:t xml:space="preserve"> </w:t>
      </w:r>
      <w:r w:rsidR="00B72598">
        <w:rPr>
          <w:bCs/>
        </w:rPr>
        <w:tab/>
      </w:r>
      <w:r w:rsidR="00B72598">
        <w:rPr>
          <w:bCs/>
        </w:rPr>
        <w:tab/>
      </w:r>
      <w:r w:rsidR="00F56EF3" w:rsidRPr="00F56EF3">
        <w:rPr>
          <w:bCs/>
        </w:rPr>
        <w:t>23</w:t>
      </w:r>
    </w:p>
    <w:p w14:paraId="58DC043F" w14:textId="77777777" w:rsidR="007A0320" w:rsidRPr="00F56EF3" w:rsidRDefault="007A0320" w:rsidP="00B72598">
      <w:pPr>
        <w:tabs>
          <w:tab w:val="right" w:pos="850"/>
          <w:tab w:val="left" w:pos="1134"/>
          <w:tab w:val="left" w:pos="1559"/>
          <w:tab w:val="left" w:pos="1984"/>
          <w:tab w:val="left" w:leader="dot" w:pos="8931"/>
          <w:tab w:val="right" w:pos="9638"/>
        </w:tabs>
        <w:spacing w:after="120"/>
        <w:ind w:left="1134" w:hanging="1134"/>
        <w:rPr>
          <w:bCs/>
        </w:rPr>
      </w:pPr>
      <w:r w:rsidRPr="00690F9B">
        <w:rPr>
          <w:bCs/>
        </w:rPr>
        <w:tab/>
        <w:t>III.</w:t>
      </w:r>
      <w:r w:rsidRPr="00690F9B">
        <w:rPr>
          <w:bCs/>
        </w:rPr>
        <w:tab/>
        <w:t>Предлагаемые исправления к Правилам, прилагаемым к ВОПОГ</w:t>
      </w:r>
      <w:r w:rsidR="00B72598">
        <w:rPr>
          <w:bCs/>
        </w:rPr>
        <w:br/>
      </w:r>
      <w:r w:rsidRPr="00690F9B">
        <w:rPr>
          <w:bCs/>
        </w:rPr>
        <w:t>(Исправления, требующие принятия Договаривающимися сторонами)</w:t>
      </w:r>
      <w:r w:rsidR="00B72598" w:rsidRPr="00B72598">
        <w:rPr>
          <w:bCs/>
        </w:rPr>
        <w:t xml:space="preserve"> </w:t>
      </w:r>
      <w:r w:rsidR="00B72598">
        <w:rPr>
          <w:bCs/>
        </w:rPr>
        <w:tab/>
      </w:r>
      <w:r w:rsidR="00B72598">
        <w:rPr>
          <w:bCs/>
        </w:rPr>
        <w:tab/>
      </w:r>
      <w:r w:rsidR="00F56EF3" w:rsidRPr="00F56EF3">
        <w:rPr>
          <w:bCs/>
        </w:rPr>
        <w:t>25</w:t>
      </w:r>
    </w:p>
    <w:p w14:paraId="0B9BD582" w14:textId="77777777" w:rsidR="007A0320" w:rsidRPr="00363108" w:rsidRDefault="007A0320" w:rsidP="007A0320">
      <w:pPr>
        <w:pStyle w:val="HChG"/>
      </w:pPr>
      <w:r>
        <w:lastRenderedPageBreak/>
        <w:tab/>
        <w:t>I.</w:t>
      </w:r>
      <w:r>
        <w:tab/>
      </w:r>
      <w:r>
        <w:tab/>
      </w:r>
      <w:r>
        <w:rPr>
          <w:bCs/>
        </w:rPr>
        <w:t>Участники</w:t>
      </w:r>
    </w:p>
    <w:p w14:paraId="745A8FED" w14:textId="77777777" w:rsidR="007A0320" w:rsidRPr="00363108" w:rsidRDefault="007A0320" w:rsidP="007A0320">
      <w:pPr>
        <w:pStyle w:val="SingleTxtG"/>
      </w:pPr>
      <w:r>
        <w:t>1.</w:t>
      </w:r>
      <w:r>
        <w:tab/>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провело свою тридцать четвертую сессию в Женеве 21−25 января 2019 года.</w:t>
      </w:r>
    </w:p>
    <w:p w14:paraId="51505DAC" w14:textId="77777777" w:rsidR="007A0320" w:rsidRPr="00363108" w:rsidRDefault="007A0320" w:rsidP="007A0320">
      <w:pPr>
        <w:pStyle w:val="SingleTxtG"/>
      </w:pPr>
      <w:proofErr w:type="gramStart"/>
      <w:r>
        <w:t>2.</w:t>
      </w:r>
      <w:r>
        <w:tab/>
        <w:t>В</w:t>
      </w:r>
      <w:proofErr w:type="gramEnd"/>
      <w:r>
        <w:t xml:space="preserve"> работе сессии приняли участие представители следующих стран: Австрии, Бельгии, Германии, Люксембурга, Нидерландов, Российской Федерации, Румынии, Словакии, Франции, Хорватии, Чешской Республики и Швейцарии.</w:t>
      </w:r>
    </w:p>
    <w:p w14:paraId="132682F4" w14:textId="77777777" w:rsidR="007A0320" w:rsidRPr="00C57905" w:rsidRDefault="007A0320" w:rsidP="007A0320">
      <w:pPr>
        <w:pStyle w:val="SingleTxtG"/>
      </w:pPr>
      <w:r>
        <w:t>3.</w:t>
      </w:r>
      <w:r>
        <w:tab/>
        <w:t>Были представлены следующие межправительственные организации: Дунайская комиссия, Европейский союз и Центральная комиссия судоходства по Рейну (ЦКСР).</w:t>
      </w:r>
    </w:p>
    <w:p w14:paraId="477A7A98" w14:textId="77777777" w:rsidR="007A0320" w:rsidRPr="00363108" w:rsidRDefault="007A0320" w:rsidP="007A0320">
      <w:pPr>
        <w:pStyle w:val="SingleTxtG"/>
      </w:pPr>
      <w:r>
        <w:t>4.</w:t>
      </w:r>
      <w:r>
        <w:tab/>
        <w:t>Были также представлены следующие неправительственные организации: Европейская ассоциация оптовых поставщиков нефтепродуктов (ЕАОН), Европейская организация судоводителей (ЕОС), Европейский совет химической промышленности (ЕСФХП), Европейский союз речного судоходства (ЕСРС),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Федерация европейских ассоциаций владельцев цистерн-хранилищ (ФЕТСА) и «Фьюэлз-Юроп».</w:t>
      </w:r>
    </w:p>
    <w:p w14:paraId="40BDFCA6" w14:textId="77777777" w:rsidR="007A0320" w:rsidRPr="00363108" w:rsidRDefault="007A0320" w:rsidP="007A0320">
      <w:pPr>
        <w:pStyle w:val="HChG"/>
      </w:pPr>
      <w:r>
        <w:tab/>
        <w:t>II.</w:t>
      </w:r>
      <w:r>
        <w:tab/>
      </w:r>
      <w:r>
        <w:rPr>
          <w:bCs/>
        </w:rPr>
        <w:t>Утверждение повестки дня (пункт 1 повестки дня)</w:t>
      </w:r>
    </w:p>
    <w:p w14:paraId="53924791" w14:textId="77777777" w:rsidR="007A0320" w:rsidRPr="00805184" w:rsidRDefault="007A0320" w:rsidP="007A0320">
      <w:pPr>
        <w:pStyle w:val="SingleTxtG"/>
        <w:tabs>
          <w:tab w:val="left" w:pos="3780"/>
        </w:tabs>
        <w:ind w:left="3780" w:hanging="2646"/>
        <w:jc w:val="left"/>
      </w:pPr>
      <w:r>
        <w:rPr>
          <w:i/>
          <w:iCs/>
        </w:rPr>
        <w:t>Документы</w:t>
      </w:r>
      <w:r w:rsidRPr="003C7B10">
        <w:rPr>
          <w:iCs/>
        </w:rPr>
        <w:t>:</w:t>
      </w:r>
      <w:r>
        <w:tab/>
        <w:t>ECE/TRANS/WP.15/AC.2/69 (секретариат)</w:t>
      </w:r>
      <w:r>
        <w:br/>
      </w:r>
      <w:r w:rsidRPr="00363108">
        <w:rPr>
          <w:lang w:val="en-US"/>
        </w:rPr>
        <w:t>ECE</w:t>
      </w:r>
      <w:r w:rsidRPr="00805184">
        <w:t>/</w:t>
      </w:r>
      <w:r w:rsidRPr="00363108">
        <w:rPr>
          <w:lang w:val="en-US"/>
        </w:rPr>
        <w:t>TRANS</w:t>
      </w:r>
      <w:r w:rsidRPr="00805184">
        <w:t>/</w:t>
      </w:r>
      <w:r w:rsidRPr="00363108">
        <w:rPr>
          <w:lang w:val="en-US"/>
        </w:rPr>
        <w:t>WP</w:t>
      </w:r>
      <w:r w:rsidRPr="00805184">
        <w:t>.15/</w:t>
      </w:r>
      <w:r w:rsidRPr="00363108">
        <w:rPr>
          <w:lang w:val="en-US"/>
        </w:rPr>
        <w:t>AC</w:t>
      </w:r>
      <w:r w:rsidRPr="00805184">
        <w:t>.2/69/</w:t>
      </w:r>
      <w:r w:rsidRPr="00363108">
        <w:rPr>
          <w:lang w:val="en-US"/>
        </w:rPr>
        <w:t>Add</w:t>
      </w:r>
      <w:r w:rsidRPr="00805184">
        <w:t>.1 (</w:t>
      </w:r>
      <w:r>
        <w:t>секретариат</w:t>
      </w:r>
      <w:r w:rsidRPr="00805184">
        <w:t>)</w:t>
      </w:r>
    </w:p>
    <w:p w14:paraId="2DD068A8" w14:textId="77777777" w:rsidR="007A0320" w:rsidRPr="00363108" w:rsidRDefault="007A0320" w:rsidP="007A0320">
      <w:pPr>
        <w:pStyle w:val="SingleTxtG"/>
        <w:tabs>
          <w:tab w:val="left" w:pos="3119"/>
          <w:tab w:val="left" w:pos="3780"/>
        </w:tabs>
      </w:pPr>
      <w:r>
        <w:rPr>
          <w:i/>
          <w:iCs/>
        </w:rPr>
        <w:t>Неофициальные документы</w:t>
      </w:r>
      <w:r w:rsidRPr="003C7B10">
        <w:rPr>
          <w:iCs/>
        </w:rPr>
        <w:t>:</w:t>
      </w:r>
      <w:r>
        <w:tab/>
        <w:t>INF.1 и INF.17 (секретариат)</w:t>
      </w:r>
    </w:p>
    <w:p w14:paraId="2F4BCCD9" w14:textId="77777777" w:rsidR="007A0320" w:rsidRPr="00363108" w:rsidRDefault="007A0320" w:rsidP="007A0320">
      <w:pPr>
        <w:pStyle w:val="SingleTxtG"/>
        <w:spacing w:after="240"/>
      </w:pPr>
      <w:r>
        <w:t>5.</w:t>
      </w:r>
      <w:r>
        <w:tab/>
        <w:t>Комитет по вопросам безопасности утвердил подготовленную секретариатом повестку дня, измененную в соответствии с неофициальным документом INF.1</w:t>
      </w:r>
      <w:r w:rsidR="00771504">
        <w:br/>
      </w:r>
      <w:r>
        <w:t>с целью учета неофициальных документов INF.1–INF.20.</w:t>
      </w:r>
    </w:p>
    <w:p w14:paraId="09FE762E" w14:textId="77777777" w:rsidR="007A0320" w:rsidRPr="00363108" w:rsidRDefault="007A0320" w:rsidP="007A0320">
      <w:pPr>
        <w:pStyle w:val="HChG"/>
      </w:pPr>
      <w:r>
        <w:tab/>
        <w:t>III.</w:t>
      </w:r>
      <w:r>
        <w:tab/>
      </w:r>
      <w:r>
        <w:rPr>
          <w:bCs/>
        </w:rPr>
        <w:t>Выборы должностных лиц на 2019 год</w:t>
      </w:r>
      <w:r>
        <w:rPr>
          <w:bCs/>
        </w:rPr>
        <w:br/>
        <w:t>(пункт 2 повестки дня)</w:t>
      </w:r>
    </w:p>
    <w:p w14:paraId="020871EB" w14:textId="77777777" w:rsidR="007A0320" w:rsidRPr="00363108" w:rsidRDefault="007A0320" w:rsidP="007A0320">
      <w:pPr>
        <w:pStyle w:val="SingleTxtG"/>
      </w:pPr>
      <w:r>
        <w:t>6.</w:t>
      </w:r>
      <w:r>
        <w:tab/>
        <w:t>По предложению представителей Швейцарии и Люксембурга Комитет по вопросам безопасности избрал г-на Х. Лангенберга (Нидерланды) Председателем и вновь избрал г-на Б. Биркльхубера (Австрия) заместителем Председателя для своих сессий в 2019 году.</w:t>
      </w:r>
    </w:p>
    <w:p w14:paraId="1907087C" w14:textId="77777777" w:rsidR="007A0320" w:rsidRPr="00363108" w:rsidRDefault="007A0320" w:rsidP="007A0320">
      <w:pPr>
        <w:pStyle w:val="HChG"/>
      </w:pPr>
      <w:bookmarkStart w:id="5" w:name="_Hlk536607958"/>
      <w:r>
        <w:tab/>
        <w:t>IV.</w:t>
      </w:r>
      <w:r>
        <w:tab/>
      </w:r>
      <w:r>
        <w:rPr>
          <w:bCs/>
        </w:rPr>
        <w:t>Вопросы, вытекающие из работы органов Организации Объединенных Наций или других организаций</w:t>
      </w:r>
      <w:r w:rsidR="004B1F26">
        <w:rPr>
          <w:bCs/>
        </w:rPr>
        <w:br/>
      </w:r>
      <w:r>
        <w:rPr>
          <w:bCs/>
        </w:rPr>
        <w:t>(пункт 3 повестки дня)</w:t>
      </w:r>
      <w:bookmarkStart w:id="6" w:name="_Hlk536608040"/>
      <w:bookmarkEnd w:id="5"/>
      <w:bookmarkEnd w:id="6"/>
    </w:p>
    <w:p w14:paraId="3DDD34CC" w14:textId="77777777" w:rsidR="007A0320" w:rsidRPr="00363108" w:rsidRDefault="007A0320" w:rsidP="007A0320">
      <w:pPr>
        <w:pStyle w:val="H1G"/>
      </w:pPr>
      <w:r>
        <w:tab/>
        <w:t>A.</w:t>
      </w:r>
      <w:r>
        <w:tab/>
      </w:r>
      <w:r>
        <w:rPr>
          <w:bCs/>
        </w:rPr>
        <w:t>Стратегия Европейского союза для Дунайского региона (СЕСДР): работа по приоритетным областям 1A и 11</w:t>
      </w:r>
    </w:p>
    <w:p w14:paraId="6A3F45FB" w14:textId="77777777" w:rsidR="007A0320" w:rsidRPr="00C57905" w:rsidRDefault="007A0320" w:rsidP="00226B70">
      <w:pPr>
        <w:pStyle w:val="SingleTxtG"/>
        <w:tabs>
          <w:tab w:val="left" w:pos="3780"/>
        </w:tabs>
        <w:ind w:left="3780" w:hanging="2646"/>
        <w:jc w:val="left"/>
      </w:pPr>
      <w:r>
        <w:rPr>
          <w:i/>
          <w:iCs/>
        </w:rPr>
        <w:t>Неофициальный документ</w:t>
      </w:r>
      <w:r w:rsidRPr="003C7B10">
        <w:rPr>
          <w:iCs/>
        </w:rPr>
        <w:t>:</w:t>
      </w:r>
      <w:r>
        <w:tab/>
        <w:t>INF.8 (Дунайская комиссия)</w:t>
      </w:r>
    </w:p>
    <w:p w14:paraId="186CA027" w14:textId="77777777" w:rsidR="007A0320" w:rsidRPr="00363108" w:rsidRDefault="007A0320" w:rsidP="007A0320">
      <w:pPr>
        <w:pStyle w:val="SingleTxtG"/>
      </w:pPr>
      <w:r>
        <w:t>7.</w:t>
      </w:r>
      <w:r>
        <w:tab/>
        <w:t>Комитет по вопросам безопасности принял к сведению информацию, содержащуюся в добавлении к неофициальному документу INF.8,</w:t>
      </w:r>
      <w:r w:rsidR="00771504">
        <w:br/>
      </w:r>
      <w:r>
        <w:t>о транснациональном рабочем совещании по практическому осуществлению меры М04, которое будет проведено в Тегернзе (Германия) 27 марта 2019 года. Было отмечено, что это рабочее совещание будет охватывать аспекты, связанные с приоритетными областями 1A (водная мобильность) и 11 (безопасность) СЕСДР.</w:t>
      </w:r>
    </w:p>
    <w:p w14:paraId="1A48B636" w14:textId="77777777" w:rsidR="007A0320" w:rsidRPr="00363108" w:rsidRDefault="007A0320" w:rsidP="007A0320">
      <w:pPr>
        <w:pStyle w:val="SingleTxtG"/>
      </w:pPr>
      <w:r>
        <w:lastRenderedPageBreak/>
        <w:t>8.</w:t>
      </w:r>
      <w:r>
        <w:tab/>
        <w:t>Представитель Германии указал, что цель данного рабочего совещания заключается не в рассмотрении технических положений по перевозке опасных грузов по внутренним водным путям, охватываемым ВОПОГ, а в изучении путей более эффективного проведения проверок судов в соответствии с разделами 1.8.1 и 1.8.2 ВОПОГ.</w:t>
      </w:r>
    </w:p>
    <w:p w14:paraId="7282F860" w14:textId="77777777" w:rsidR="007A0320" w:rsidRPr="00363108" w:rsidRDefault="007A0320" w:rsidP="007A0320">
      <w:pPr>
        <w:pStyle w:val="SingleTxtG"/>
      </w:pPr>
      <w:r>
        <w:t>9.</w:t>
      </w:r>
      <w:r>
        <w:tab/>
        <w:t>Комитет по вопросам безопасности предложил представителю Дунайской комиссии информировать его об итогах этого рабочего совещания.</w:t>
      </w:r>
    </w:p>
    <w:p w14:paraId="257F7503" w14:textId="77777777" w:rsidR="007A0320" w:rsidRPr="00363108" w:rsidRDefault="007A0320" w:rsidP="007A0320">
      <w:pPr>
        <w:pStyle w:val="H1G"/>
      </w:pPr>
      <w:r>
        <w:tab/>
        <w:t>B.</w:t>
      </w:r>
      <w:r>
        <w:tab/>
      </w:r>
      <w:r>
        <w:rPr>
          <w:bCs/>
        </w:rPr>
        <w:t>Работа Комитета по внутреннему транспорту</w:t>
      </w:r>
    </w:p>
    <w:p w14:paraId="25B8AA91" w14:textId="77777777" w:rsidR="007A0320" w:rsidRPr="007A0320" w:rsidRDefault="007A0320" w:rsidP="007A0320">
      <w:pPr>
        <w:pStyle w:val="SingleTxtG"/>
      </w:pPr>
      <w:bookmarkStart w:id="7" w:name="_Hlk535760431"/>
      <w:r>
        <w:t>10.</w:t>
      </w:r>
      <w:r>
        <w:tab/>
        <w:t>Комитет по вопросам безопасности был проинформирован о том, что восемьдесят первая сессия Комитета по внутреннему транспорту будет проведена в Женеве 19–22 февраля 2019 года. Было отмечено, что в дополнение к вопросам, касающимся его работы и работы его вспомогательных органов, Комитет будет иметь возможность рассмотреть и принять свою стратегию и план действий на период до 2030 года и пересмотреть свой круг ведения. Аннотированная предварительная повестка дня (ECE/TRANS/287/Add.1), а также документация для указанной сессии размещены на веб-сайте секретариата ЕЭК ООН</w:t>
      </w:r>
      <w:r w:rsidRPr="007A0320">
        <w:rPr>
          <w:sz w:val="18"/>
          <w:szCs w:val="18"/>
          <w:vertAlign w:val="superscript"/>
        </w:rPr>
        <w:footnoteReference w:id="2"/>
      </w:r>
      <w:r>
        <w:t>.</w:t>
      </w:r>
    </w:p>
    <w:bookmarkEnd w:id="7"/>
    <w:p w14:paraId="3874322D" w14:textId="77777777" w:rsidR="007A0320" w:rsidRPr="00863C9E" w:rsidRDefault="007A0320" w:rsidP="007A0320">
      <w:pPr>
        <w:keepNext/>
        <w:keepLines/>
        <w:tabs>
          <w:tab w:val="right" w:pos="851"/>
        </w:tabs>
        <w:spacing w:before="360" w:after="240" w:line="300" w:lineRule="exact"/>
        <w:ind w:left="1134" w:right="1134" w:hanging="1134"/>
        <w:rPr>
          <w:b/>
          <w:bCs/>
          <w:sz w:val="28"/>
          <w:szCs w:val="28"/>
        </w:rPr>
      </w:pPr>
      <w:r>
        <w:rPr>
          <w:b/>
          <w:bCs/>
          <w:sz w:val="28"/>
          <w:szCs w:val="28"/>
        </w:rPr>
        <w:tab/>
      </w:r>
      <w:r w:rsidRPr="00863C9E">
        <w:rPr>
          <w:b/>
          <w:bCs/>
          <w:sz w:val="28"/>
          <w:szCs w:val="28"/>
        </w:rPr>
        <w:t>V.</w:t>
      </w:r>
      <w:r w:rsidRPr="00863C9E">
        <w:rPr>
          <w:b/>
          <w:bCs/>
          <w:sz w:val="28"/>
          <w:szCs w:val="28"/>
        </w:rPr>
        <w:tab/>
        <w:t>Применение Европейского соглашения о международной перевозке опасных грузов по внутренним водным путям (ВОПОГ) (пункт 4 повестки дня)</w:t>
      </w:r>
    </w:p>
    <w:p w14:paraId="5CB5B659" w14:textId="77777777" w:rsidR="007A0320" w:rsidRPr="00863C9E" w:rsidRDefault="007A0320" w:rsidP="007A0320">
      <w:pPr>
        <w:keepNext/>
        <w:keepLines/>
        <w:tabs>
          <w:tab w:val="right" w:pos="851"/>
        </w:tabs>
        <w:spacing w:before="360" w:after="240" w:line="270" w:lineRule="exact"/>
        <w:ind w:left="1134" w:right="1134" w:hanging="1134"/>
        <w:rPr>
          <w:b/>
          <w:bCs/>
          <w:sz w:val="24"/>
          <w:szCs w:val="24"/>
        </w:rPr>
      </w:pPr>
      <w:r>
        <w:tab/>
      </w:r>
      <w:r w:rsidRPr="00863C9E">
        <w:rPr>
          <w:b/>
          <w:bCs/>
          <w:sz w:val="24"/>
          <w:szCs w:val="24"/>
        </w:rPr>
        <w:t>A.</w:t>
      </w:r>
      <w:r w:rsidRPr="00863C9E">
        <w:rPr>
          <w:b/>
          <w:bCs/>
          <w:sz w:val="24"/>
          <w:szCs w:val="24"/>
        </w:rPr>
        <w:tab/>
        <w:t>Состояние ВОПОГ</w:t>
      </w:r>
    </w:p>
    <w:p w14:paraId="4221518B" w14:textId="77777777" w:rsidR="007A0320" w:rsidRPr="00363108" w:rsidRDefault="007A0320" w:rsidP="007A0320">
      <w:pPr>
        <w:pStyle w:val="SingleTxtG"/>
        <w:tabs>
          <w:tab w:val="left" w:pos="1701"/>
        </w:tabs>
      </w:pPr>
      <w:r>
        <w:t>11.</w:t>
      </w:r>
      <w:r>
        <w:tab/>
        <w:t>Комитет по вопросам безопасности отметил, что предлагаемые поправки и исправления, принятые Административным комитетом на его двух предыдущих сессиях, были сочтены принятыми следующим образом:</w:t>
      </w:r>
    </w:p>
    <w:p w14:paraId="134219D7" w14:textId="77777777" w:rsidR="007A0320" w:rsidRPr="00C57905" w:rsidRDefault="007A0320" w:rsidP="007A0320">
      <w:pPr>
        <w:pStyle w:val="SingleTxtG"/>
        <w:ind w:left="2268" w:hanging="567"/>
      </w:pPr>
      <w:r>
        <w:t>a)</w:t>
      </w:r>
      <w:r>
        <w:tab/>
        <w:t>поправки, содержащиеся в документе ECE/ADN/45, которые были направлены Договаривающимся сторонам для принятия 1 июля</w:t>
      </w:r>
      <w:r>
        <w:br/>
        <w:t>2018 года (C.N.</w:t>
      </w:r>
      <w:proofErr w:type="gramStart"/>
      <w:r>
        <w:t>297.2018.TREATIES</w:t>
      </w:r>
      <w:proofErr w:type="gramEnd"/>
      <w:r>
        <w:t>-XI-D-6), были сочтены принятыми</w:t>
      </w:r>
      <w:r>
        <w:br/>
        <w:t>1 октября 2018 года (C.N.489.2018.TREATIES-XI-D-6) для вступления в силу 1 января 2019 года;</w:t>
      </w:r>
    </w:p>
    <w:p w14:paraId="69E60680" w14:textId="77777777" w:rsidR="007A0320" w:rsidRPr="00C57905" w:rsidRDefault="007A0320" w:rsidP="007A0320">
      <w:pPr>
        <w:pStyle w:val="SingleTxtG"/>
        <w:ind w:left="2268" w:hanging="567"/>
      </w:pPr>
      <w:r>
        <w:t>b)</w:t>
      </w:r>
      <w:r>
        <w:tab/>
        <w:t>поправки, содержащиеся в документе ECE/ADN/45/Add.1, которые были направлены Договаривающимся сторонам для принятия 1 сентября</w:t>
      </w:r>
      <w:r>
        <w:br/>
        <w:t>2018 года (C.N.</w:t>
      </w:r>
      <w:proofErr w:type="gramStart"/>
      <w:r>
        <w:t>396.2018.TREATIES</w:t>
      </w:r>
      <w:proofErr w:type="gramEnd"/>
      <w:r>
        <w:t>-XI-D-6), были сочтены принятыми</w:t>
      </w:r>
      <w:r>
        <w:br/>
        <w:t>1 декабря 2018 года (C.N.583.2018.TREATIES-XI-D-6) для вступления в силу 1 января 2019 года;</w:t>
      </w:r>
    </w:p>
    <w:p w14:paraId="38943B96" w14:textId="77777777" w:rsidR="007A0320" w:rsidRPr="00363108" w:rsidRDefault="007A0320" w:rsidP="007A0320">
      <w:pPr>
        <w:pStyle w:val="SingleTxtG"/>
        <w:ind w:left="2268" w:hanging="567"/>
      </w:pPr>
      <w:r>
        <w:t>c)</w:t>
      </w:r>
      <w:r>
        <w:tab/>
        <w:t>исправления, содержащиеся в документе ECE/ADN/45/Corr.1, которые были направлены Договаривающимся сторонам для принятия 1 октября 2018 года (C.N.</w:t>
      </w:r>
      <w:proofErr w:type="gramStart"/>
      <w:r>
        <w:t>471.2018.TREATIES</w:t>
      </w:r>
      <w:proofErr w:type="gramEnd"/>
      <w:r>
        <w:t>-XI-D-6), были сочтены принятыми 30 декабря 2018 года (C.N.637.2018.TREATIES-XI</w:t>
      </w:r>
      <w:r w:rsidRPr="00F27EEE">
        <w:t>.</w:t>
      </w:r>
      <w:r>
        <w:t>D</w:t>
      </w:r>
      <w:r w:rsidRPr="00F27EEE">
        <w:t>.</w:t>
      </w:r>
      <w:r>
        <w:t>6);</w:t>
      </w:r>
    </w:p>
    <w:p w14:paraId="29BEB03A" w14:textId="77777777" w:rsidR="007A0320" w:rsidRPr="00C57905" w:rsidRDefault="007A0320" w:rsidP="007A0320">
      <w:pPr>
        <w:pStyle w:val="SingleTxtG"/>
        <w:ind w:left="2268" w:hanging="567"/>
      </w:pPr>
      <w:r>
        <w:t>d)</w:t>
      </w:r>
      <w:r>
        <w:tab/>
        <w:t>исправления, содержащиеся в документе ECE/TRANS/WP.15/ AC.2/64/Add.1 (приложение II) и ECE/TRANS/WP.15/AC.2/68 (приложение IV), которые были направлены Договаривающимся сторонам для принятия 1 октября 2018 года (C.N.472.2018.TREATIES-XI-D-6), были сочтены принятыми 30 декабря 2018 года (С.N.636.2018. TREATIES-XI</w:t>
      </w:r>
      <w:r w:rsidRPr="00F27EEE">
        <w:t>.</w:t>
      </w:r>
      <w:r>
        <w:t>D</w:t>
      </w:r>
      <w:r w:rsidRPr="00F27EEE">
        <w:t>.</w:t>
      </w:r>
      <w:r>
        <w:t>6).</w:t>
      </w:r>
    </w:p>
    <w:p w14:paraId="137B6688" w14:textId="77777777" w:rsidR="007A0320" w:rsidRPr="00363108" w:rsidRDefault="007A0320" w:rsidP="007A0320">
      <w:pPr>
        <w:pStyle w:val="H1G"/>
      </w:pPr>
      <w:r>
        <w:lastRenderedPageBreak/>
        <w:tab/>
        <w:t>B.</w:t>
      </w:r>
      <w:r>
        <w:tab/>
      </w:r>
      <w:bookmarkStart w:id="8" w:name="_Hlk6305851"/>
      <w:r>
        <w:rPr>
          <w:bCs/>
        </w:rPr>
        <w:t>Специальные разрешения, отступления и эквивалентные аналоги</w:t>
      </w:r>
      <w:bookmarkEnd w:id="8"/>
    </w:p>
    <w:p w14:paraId="0019317F" w14:textId="77777777" w:rsidR="007A0320" w:rsidRPr="00363108" w:rsidRDefault="007A0320" w:rsidP="007A0320">
      <w:pPr>
        <w:pStyle w:val="SingleTxtG"/>
      </w:pPr>
      <w:r>
        <w:t>12.</w:t>
      </w:r>
      <w:r>
        <w:tab/>
        <w:t>Поскольку никаких документов в рамках этого подпункта повестки дня представлено не было, никаких обсуждений по данному вопросу не проводилось.</w:t>
      </w:r>
    </w:p>
    <w:p w14:paraId="618C908E" w14:textId="77777777" w:rsidR="007A0320" w:rsidRPr="00363108" w:rsidRDefault="007A0320" w:rsidP="007A0320">
      <w:pPr>
        <w:pStyle w:val="H1G"/>
      </w:pPr>
      <w:r>
        <w:tab/>
        <w:t>C.</w:t>
      </w:r>
      <w:r>
        <w:tab/>
      </w:r>
      <w:r>
        <w:rPr>
          <w:bCs/>
        </w:rPr>
        <w:t>Толкование Правил, прилагаемых к ВОПОГ</w:t>
      </w:r>
    </w:p>
    <w:p w14:paraId="689272FF" w14:textId="77777777" w:rsidR="007A0320" w:rsidRPr="00363108" w:rsidRDefault="007A0320" w:rsidP="007A0320">
      <w:pPr>
        <w:pStyle w:val="H23G"/>
      </w:pPr>
      <w:r>
        <w:tab/>
        <w:t>1.</w:t>
      </w:r>
      <w:r>
        <w:tab/>
      </w:r>
      <w:bookmarkStart w:id="9" w:name="_Hlk6305876"/>
      <w:r>
        <w:rPr>
          <w:bCs/>
        </w:rPr>
        <w:t>Тяжелое печное топливо под № ООН 3082 или № ООН 1202</w:t>
      </w:r>
      <w:bookmarkEnd w:id="9"/>
    </w:p>
    <w:p w14:paraId="55529F31" w14:textId="77777777" w:rsidR="007A0320" w:rsidRPr="00363108" w:rsidRDefault="007A0320" w:rsidP="00226B70">
      <w:pPr>
        <w:pStyle w:val="SingleTxtG"/>
        <w:tabs>
          <w:tab w:val="left" w:pos="3780"/>
        </w:tabs>
        <w:ind w:left="3780" w:hanging="2646"/>
        <w:jc w:val="left"/>
      </w:pPr>
      <w:r>
        <w:rPr>
          <w:i/>
          <w:iCs/>
        </w:rPr>
        <w:t>Неофициальный документ</w:t>
      </w:r>
      <w:r w:rsidRPr="00805184">
        <w:rPr>
          <w:iCs/>
        </w:rPr>
        <w:t>:</w:t>
      </w:r>
      <w:r>
        <w:tab/>
        <w:t>INF.11 («Фьюэлз-Юроп»)</w:t>
      </w:r>
    </w:p>
    <w:p w14:paraId="5DB1EC9F" w14:textId="77777777" w:rsidR="007A0320" w:rsidRPr="00363108" w:rsidRDefault="007A0320" w:rsidP="007A0320">
      <w:pPr>
        <w:pStyle w:val="SingleTxtG"/>
      </w:pPr>
      <w:r>
        <w:t>13.</w:t>
      </w:r>
      <w:r>
        <w:tab/>
        <w:t>Комитет по вопросам безопасности отметил, что грузоотправитель несет ответственность за надлежащую классификацию представленных для перевозки опасных грузов в соответствии с их свойствами и критериями, изложенными в применимых правилах.</w:t>
      </w:r>
    </w:p>
    <w:p w14:paraId="0DCF7717" w14:textId="77777777" w:rsidR="007A0320" w:rsidRPr="00363108" w:rsidRDefault="007A0320" w:rsidP="007A0320">
      <w:pPr>
        <w:pStyle w:val="SingleTxtG"/>
      </w:pPr>
      <w:r>
        <w:t>14.</w:t>
      </w:r>
      <w:r>
        <w:tab/>
        <w:t>Несколько делегаций высказали мнение, что нынешние критерии ясны.</w:t>
      </w:r>
      <w:r>
        <w:br/>
        <w:t>По их мнению, примечание 2 в пункте 2.2.3.1.1 применимо только к перечисленным под № ООН 1202 веществам с температурой вспышки более 60 °C, но не более 100 °C. Они также указали, что классификация тяжелого печного топлива осуществляется на основе его свойств, опасных для водной среды, а не на основе воспламеняемости,</w:t>
      </w:r>
      <w:r w:rsidR="005600BF">
        <w:br/>
      </w:r>
      <w:r>
        <w:t>и поэтому они сочли, что перевозка по условиям позиции класса 9 (№ ООН 3082) является оправданной.</w:t>
      </w:r>
    </w:p>
    <w:p w14:paraId="6B187356" w14:textId="77777777" w:rsidR="007A0320" w:rsidRPr="00363108" w:rsidRDefault="007A0320" w:rsidP="007A0320">
      <w:pPr>
        <w:pStyle w:val="SingleTxtG"/>
      </w:pPr>
      <w:r>
        <w:t>15.</w:t>
      </w:r>
      <w:r>
        <w:tab/>
        <w:t>Комитет по вопросам безопасности принял к сведению мнения, высказанные в ходе обсуждения, и, отметив, что критерии, изложенные в примечании 2</w:t>
      </w:r>
      <w:r>
        <w:br/>
        <w:t>в пункте 2.2.3.1.1, применимы ко всем видам наземного транспорта, пришел к выводу, что предложения об уточнении данного текста, при необходимости, должны быть рассмотрены Совместным совещанием МПОГ/ДОПОГ/ВОПОГ.</w:t>
      </w:r>
    </w:p>
    <w:p w14:paraId="240D9D1C" w14:textId="77777777" w:rsidR="007A0320" w:rsidRPr="00363108" w:rsidRDefault="007A0320" w:rsidP="007A0320">
      <w:pPr>
        <w:pStyle w:val="H23G"/>
      </w:pPr>
      <w:r>
        <w:tab/>
        <w:t>2.</w:t>
      </w:r>
      <w:r>
        <w:tab/>
      </w:r>
      <w:bookmarkStart w:id="10" w:name="_Hlk6305887"/>
      <w:r>
        <w:rPr>
          <w:bCs/>
        </w:rPr>
        <w:t>Скорость загрузки и разгрузки</w:t>
      </w:r>
      <w:bookmarkEnd w:id="10"/>
    </w:p>
    <w:p w14:paraId="3951002E" w14:textId="77777777" w:rsidR="007A0320" w:rsidRPr="00363108" w:rsidRDefault="007A0320" w:rsidP="007A0320">
      <w:pPr>
        <w:pStyle w:val="SingleTxtG"/>
        <w:tabs>
          <w:tab w:val="left" w:pos="3119"/>
          <w:tab w:val="left" w:pos="3780"/>
        </w:tabs>
      </w:pPr>
      <w:r>
        <w:rPr>
          <w:i/>
          <w:iCs/>
        </w:rPr>
        <w:t>Неофициальный документ</w:t>
      </w:r>
      <w:r w:rsidRPr="00805184">
        <w:rPr>
          <w:iCs/>
        </w:rPr>
        <w:t>:</w:t>
      </w:r>
      <w:r>
        <w:tab/>
        <w:t>INF.12 (Нидерланды)</w:t>
      </w:r>
    </w:p>
    <w:p w14:paraId="7380C9B6" w14:textId="77777777" w:rsidR="007A0320" w:rsidRPr="00363108" w:rsidRDefault="007A0320" w:rsidP="007A0320">
      <w:pPr>
        <w:pStyle w:val="SingleTxtG"/>
      </w:pPr>
      <w:r>
        <w:t>16.</w:t>
      </w:r>
      <w:r>
        <w:tab/>
        <w:t>Некоторые делегации высказали оговорки в отношении согласования формата содержащихся в ВОПОГ инструкций, касающихся скорости загрузки и разгрузки,</w:t>
      </w:r>
      <w:r w:rsidR="005600BF">
        <w:br/>
      </w:r>
      <w:r>
        <w:t xml:space="preserve">и указали, что если будет проводиться работа в этом направлении, то необходимо будет рассмотреть вопрос о переходных положениях, касающихся применения указанных инструкций. Представитель ЕОС подчеркнул важность того, чтобы у отрасли имелись согласованные положения. </w:t>
      </w:r>
    </w:p>
    <w:p w14:paraId="2EC745A0" w14:textId="77777777" w:rsidR="007A0320" w:rsidRPr="00363108" w:rsidRDefault="007A0320" w:rsidP="007A0320">
      <w:pPr>
        <w:pStyle w:val="SingleTxtG"/>
      </w:pPr>
      <w:r>
        <w:t>17.</w:t>
      </w:r>
      <w:r>
        <w:tab/>
        <w:t>Представитель Нидерландов вызвался выступить на следующей сессии Комитета по вопросам безопасности с докладом о существующей в его стране передовой практике, включая оценку соответствующих достижений в плане безопасности. Комитет по вопросам безопасности приветствовал его предложение и пришел к выводу, что на основе результатов обсуждений он решит, необходимо ли рассматривать этот вопрос с точки зрения его регулирования в ВОПОГ или иным образом в рамках подхода, не предусматривающего обязательное применение.</w:t>
      </w:r>
    </w:p>
    <w:p w14:paraId="2DC6E45E" w14:textId="77777777" w:rsidR="007A0320" w:rsidRPr="00363108" w:rsidRDefault="007A0320" w:rsidP="007A0320">
      <w:pPr>
        <w:pStyle w:val="H23G"/>
      </w:pPr>
      <w:r>
        <w:tab/>
        <w:t>3.</w:t>
      </w:r>
      <w:r>
        <w:tab/>
      </w:r>
      <w:r>
        <w:tab/>
      </w:r>
      <w:r>
        <w:rPr>
          <w:bCs/>
        </w:rPr>
        <w:t>Различные вопросы, касающиеся толкования, и уточнения</w:t>
      </w:r>
    </w:p>
    <w:p w14:paraId="4233AA70" w14:textId="77777777" w:rsidR="007A0320" w:rsidRPr="00363108" w:rsidRDefault="007A0320" w:rsidP="007A0320">
      <w:pPr>
        <w:pStyle w:val="SingleTxtG"/>
        <w:tabs>
          <w:tab w:val="left" w:pos="3119"/>
          <w:tab w:val="left" w:pos="3780"/>
        </w:tabs>
      </w:pPr>
      <w:r>
        <w:rPr>
          <w:i/>
          <w:iCs/>
        </w:rPr>
        <w:t>Неофициальный документ</w:t>
      </w:r>
      <w:r w:rsidRPr="00805184">
        <w:rPr>
          <w:iCs/>
        </w:rPr>
        <w:t>:</w:t>
      </w:r>
      <w:r>
        <w:tab/>
        <w:t>INF.19 (Франция)</w:t>
      </w:r>
    </w:p>
    <w:p w14:paraId="531E5EAE" w14:textId="77777777" w:rsidR="007A0320" w:rsidRPr="00363108" w:rsidRDefault="007A0320" w:rsidP="007A0320">
      <w:pPr>
        <w:pStyle w:val="SingleTxtG"/>
      </w:pPr>
      <w:r>
        <w:t>18.</w:t>
      </w:r>
      <w:r>
        <w:tab/>
        <w:t>Комитет по вопросам безопасности согласился с тем, что положения ВОПОГ относительно подготовки в области безопасности, применимые к освобожденным упаковкам под № ООН 2908 и 2909, а также к освобожденным упаковкам</w:t>
      </w:r>
      <w:r w:rsidR="00226B70">
        <w:br/>
      </w:r>
      <w:r>
        <w:t>под № ООН 2910 и 2911, уровень активности которых не превышает значения А</w:t>
      </w:r>
      <w:r>
        <w:rPr>
          <w:vertAlign w:val="subscript"/>
        </w:rPr>
        <w:t>2</w:t>
      </w:r>
      <w:r>
        <w:t>, должны быть согласованы с применимыми положениями правил других видов транспорта. Представитель Германи</w:t>
      </w:r>
      <w:r w:rsidR="005600BF">
        <w:t>и</w:t>
      </w:r>
      <w:r>
        <w:t xml:space="preserve"> также указал на противоречие между положениями подраздела 1.1.3.6 и раздела 1.10.4 ВОПОГ, касающимися освобожденных количеств, перевозимых на борту судов. Представители Франции и Германии выразили готовность представить предложение по этим вопросам для следующей сессии.</w:t>
      </w:r>
    </w:p>
    <w:p w14:paraId="4F232ACD" w14:textId="77777777" w:rsidR="007A0320" w:rsidRPr="00363108" w:rsidRDefault="007A0320" w:rsidP="007A0320">
      <w:pPr>
        <w:pStyle w:val="SingleTxtG"/>
      </w:pPr>
      <w:r>
        <w:lastRenderedPageBreak/>
        <w:t>19.</w:t>
      </w:r>
      <w:r>
        <w:tab/>
        <w:t>Отмечая, что вопрос, поднятый представителем Франции в пунктах 4–6 неофициального документа, применимы также к другим видам транспорта, Комитет по вопросам безопасности предложил ему довести их до сведения Совместного совещания МПОГ/ДОПОГ/ВОПОГ.</w:t>
      </w:r>
    </w:p>
    <w:p w14:paraId="132DE267" w14:textId="77777777" w:rsidR="007A0320" w:rsidRPr="00363108" w:rsidRDefault="007A0320" w:rsidP="007A0320">
      <w:pPr>
        <w:pStyle w:val="H23G"/>
      </w:pPr>
      <w:r>
        <w:tab/>
        <w:t>4.</w:t>
      </w:r>
      <w:r>
        <w:tab/>
      </w:r>
      <w:bookmarkStart w:id="11" w:name="_Hlk6305920"/>
      <w:r>
        <w:rPr>
          <w:bCs/>
        </w:rPr>
        <w:t>Работы, производимые на борту судна (раздел 8.3.5)</w:t>
      </w:r>
      <w:bookmarkEnd w:id="11"/>
    </w:p>
    <w:p w14:paraId="62533A6B" w14:textId="77777777" w:rsidR="007A0320" w:rsidRPr="00363108" w:rsidRDefault="007A0320" w:rsidP="00226B70">
      <w:pPr>
        <w:pStyle w:val="SingleTxtG"/>
        <w:tabs>
          <w:tab w:val="left" w:pos="3119"/>
          <w:tab w:val="left" w:pos="3780"/>
        </w:tabs>
      </w:pPr>
      <w:r>
        <w:rPr>
          <w:i/>
          <w:iCs/>
        </w:rPr>
        <w:t>Неофициальный документ</w:t>
      </w:r>
      <w:r w:rsidRPr="00805184">
        <w:rPr>
          <w:iCs/>
        </w:rPr>
        <w:t>:</w:t>
      </w:r>
      <w:r>
        <w:tab/>
        <w:t>INF.15 (ЕСРС/ЕОС)</w:t>
      </w:r>
    </w:p>
    <w:p w14:paraId="2DF51322" w14:textId="77777777" w:rsidR="007A0320" w:rsidRPr="00363108" w:rsidRDefault="007A0320" w:rsidP="007A0320">
      <w:pPr>
        <w:pStyle w:val="SingleTxtG"/>
      </w:pPr>
      <w:r>
        <w:t>20.</w:t>
      </w:r>
      <w:r>
        <w:tab/>
        <w:t>Некоторые делегации не сочли необходимым вносить поправки в нынешний текст. Другие, напротив, сочли, что было бы полезным изучить возможности дальнейшего согласования положений ВОПОГ, содержащихся в разделе 8.3.5,</w:t>
      </w:r>
      <w:r w:rsidR="005600BF">
        <w:br/>
      </w:r>
      <w:r>
        <w:t>с директивами, касающимися оборудования и систем защиты, которые предназначены для использования в потенциально взрывоопасных средах (директивы ATEX). Комитет по вопросам безопасности предложил представителям ЕСРС и ЕСО представить на следующей сессии документ, разъясняющий области, которые потребуют дальнейшего рассмотрения, и проблемы, возникшие в связи с действующими положениями.</w:t>
      </w:r>
    </w:p>
    <w:p w14:paraId="2DEBC749" w14:textId="77777777" w:rsidR="007A0320" w:rsidRPr="00363108" w:rsidRDefault="007A0320" w:rsidP="007A0320">
      <w:pPr>
        <w:pStyle w:val="H1G"/>
      </w:pPr>
      <w:bookmarkStart w:id="12" w:name="_Hlk535834334"/>
      <w:r>
        <w:tab/>
        <w:t>D.</w:t>
      </w:r>
      <w:r>
        <w:tab/>
      </w:r>
      <w:r>
        <w:rPr>
          <w:bCs/>
        </w:rPr>
        <w:t>Подготовка экспертов</w:t>
      </w:r>
    </w:p>
    <w:p w14:paraId="4948FD62" w14:textId="77777777" w:rsidR="007A0320" w:rsidRPr="00363108" w:rsidRDefault="007A0320" w:rsidP="007A0320">
      <w:pPr>
        <w:pStyle w:val="H23G"/>
      </w:pPr>
      <w:r>
        <w:tab/>
        <w:t>1.</w:t>
      </w:r>
      <w:r>
        <w:tab/>
      </w:r>
      <w:bookmarkStart w:id="13" w:name="_Hlk6305947"/>
      <w:r>
        <w:rPr>
          <w:bCs/>
        </w:rPr>
        <w:t>Доклад о работе девятнадцатого совещания неофициальной рабочей группы</w:t>
      </w:r>
      <w:r w:rsidR="005600BF">
        <w:rPr>
          <w:bCs/>
        </w:rPr>
        <w:br/>
      </w:r>
      <w:r>
        <w:rPr>
          <w:bCs/>
        </w:rPr>
        <w:t>по подготовке экспертов</w:t>
      </w:r>
      <w:bookmarkStart w:id="14" w:name="_Hlk535834446"/>
      <w:bookmarkEnd w:id="12"/>
      <w:bookmarkEnd w:id="13"/>
    </w:p>
    <w:p w14:paraId="102D657B" w14:textId="77777777" w:rsidR="007A0320" w:rsidRPr="0031621B" w:rsidRDefault="007A0320" w:rsidP="00E8363D">
      <w:pPr>
        <w:pStyle w:val="SingleTxtG"/>
        <w:tabs>
          <w:tab w:val="left" w:pos="3766"/>
        </w:tabs>
        <w:rPr>
          <w:lang w:val="en-US"/>
        </w:rPr>
      </w:pPr>
      <w:r>
        <w:rPr>
          <w:i/>
          <w:iCs/>
        </w:rPr>
        <w:t>Документ</w:t>
      </w:r>
      <w:r w:rsidRPr="00805184">
        <w:rPr>
          <w:iCs/>
          <w:lang w:val="en-US"/>
        </w:rPr>
        <w:t>:</w:t>
      </w:r>
      <w:r w:rsidRPr="0031621B">
        <w:rPr>
          <w:lang w:val="en-US"/>
        </w:rPr>
        <w:tab/>
        <w:t>ECE/TRANS/WP.15/AC.2/2019/8 (</w:t>
      </w:r>
      <w:r>
        <w:t>ЦКСР</w:t>
      </w:r>
      <w:r w:rsidRPr="0031621B">
        <w:rPr>
          <w:lang w:val="en-US"/>
        </w:rPr>
        <w:t>)</w:t>
      </w:r>
    </w:p>
    <w:p w14:paraId="389AE119" w14:textId="77777777" w:rsidR="007A0320" w:rsidRPr="00363108" w:rsidRDefault="007A0320" w:rsidP="007A0320">
      <w:pPr>
        <w:pStyle w:val="SingleTxtG"/>
      </w:pPr>
      <w:r>
        <w:t>21.</w:t>
      </w:r>
      <w:r>
        <w:tab/>
        <w:t>Комитет по вопросам безопасности принял к сведению результаты работы неофициальной рабочей группы по подготовке экспертов и пришел к следующим выводам:</w:t>
      </w:r>
    </w:p>
    <w:p w14:paraId="28BA4583" w14:textId="77777777" w:rsidR="007A0320" w:rsidRPr="00C57905" w:rsidRDefault="007A0320" w:rsidP="007A0320">
      <w:pPr>
        <w:pStyle w:val="Bullet1G"/>
        <w:numPr>
          <w:ilvl w:val="0"/>
          <w:numId w:val="0"/>
        </w:numPr>
        <w:tabs>
          <w:tab w:val="left" w:pos="2268"/>
        </w:tabs>
        <w:ind w:left="2268" w:hanging="567"/>
      </w:pPr>
      <w:bookmarkStart w:id="15" w:name="_Hlk535908656"/>
      <w:r>
        <w:t>a)</w:t>
      </w:r>
      <w:r>
        <w:tab/>
        <w:t>по поводу подготовки судового персонала в области оказания первой помощи (пункт 11 документа): Комитет по вопросам безопасности решил, что по крайней мере один человек на борту судна должен обладать некоторыми медицинскими знаниями. Вместе с тем он счел, что ВОПОГ, возможно, не является наиболее подходящим инструментом для установления требований в отношении подготовки в области оказания первой помощи, и отметил, что стандарты для морских судов уже содержат положения о первой помощи, применимые ко всем видам грузовых судов (включая суда, используемые для перевозки опасных грузов). Отмечая, что в настоящее время ведется работа по включению в соответствующий стандарт КЕСНИ некоторых положений на этот счет в качестве части обязанностей перевозчиков в области подготовки, Комитет по вопросам безопасности постановил на данный момент оставить содержащиеся в каталоге вопросы без изменений. В свете новых положений КЕСНИ Комитет по вопросам безопасности, возможно, пожелает на более позднем этапе вновь рассмотреть вопрос о необходимости разработки и включения в каталог вопросов конкретных положений, касающихся перевозки опасных грузов по внутренним водным путям;</w:t>
      </w:r>
    </w:p>
    <w:bookmarkEnd w:id="15"/>
    <w:p w14:paraId="0D098CBB" w14:textId="77777777" w:rsidR="007A0320" w:rsidRPr="00C57905" w:rsidRDefault="007A0320" w:rsidP="007A0320">
      <w:pPr>
        <w:pStyle w:val="Bullet1G"/>
        <w:numPr>
          <w:ilvl w:val="0"/>
          <w:numId w:val="0"/>
        </w:numPr>
        <w:ind w:left="2268" w:hanging="567"/>
      </w:pPr>
      <w:r>
        <w:t>b)</w:t>
      </w:r>
      <w:r>
        <w:tab/>
        <w:t>по поводу использования термина «спасательная лебедка» и требований, касающихся огня и незащищенного света (пункты 12 и 13): Комитет по вопросам безопасности решил, что поднятые вопросы должны быть урегулированы, и отметил, что представитель Нидерландов внесет соответствующее предложение для следующей сессии;</w:t>
      </w:r>
    </w:p>
    <w:p w14:paraId="4268A91E" w14:textId="77777777" w:rsidR="007A0320" w:rsidRPr="00C57905" w:rsidRDefault="007A0320" w:rsidP="007A0320">
      <w:pPr>
        <w:pStyle w:val="Bullet1G"/>
        <w:numPr>
          <w:ilvl w:val="0"/>
          <w:numId w:val="0"/>
        </w:numPr>
        <w:ind w:left="2268" w:hanging="567"/>
      </w:pPr>
      <w:r>
        <w:t>c)</w:t>
      </w:r>
      <w:r>
        <w:tab/>
        <w:t xml:space="preserve">по поводу специализированных курсов по газам и химическим веществам (пункт 17): Комитет по вопросам безопасности отметил, что неофициальная рабочая группа по подготовке экспертов продолжает рассмотрение обновленного варианта экзаменационных вопросов существа в рамках последующих шагов в связи с презентацией, с которой </w:t>
      </w:r>
      <w:r>
        <w:lastRenderedPageBreak/>
        <w:t>выступил представитель Нидерландов на последнем совещании неофициальной рабочей группы.</w:t>
      </w:r>
    </w:p>
    <w:p w14:paraId="442CACCE" w14:textId="77777777" w:rsidR="007A0320" w:rsidRPr="00363108" w:rsidRDefault="007A0320" w:rsidP="007A0320">
      <w:pPr>
        <w:pStyle w:val="SingleTxtG"/>
      </w:pPr>
      <w:r>
        <w:t>22.</w:t>
      </w:r>
      <w:r>
        <w:tab/>
        <w:t>Комитет по вопросам безопасности выразил признательность неофициальной рабочей группе по подготовке экспертов за проделанную к настоящему времени работу и отметил, что ее следующее совещание состоится в Страсбурге (Франция)</w:t>
      </w:r>
      <w:r w:rsidR="005600BF">
        <w:br/>
      </w:r>
      <w:r>
        <w:t>2–4 апреля 2019 года.</w:t>
      </w:r>
    </w:p>
    <w:p w14:paraId="00EE2A90" w14:textId="77777777" w:rsidR="007A0320" w:rsidRPr="00363108" w:rsidRDefault="007A0320" w:rsidP="007A0320">
      <w:pPr>
        <w:pStyle w:val="H23G"/>
      </w:pPr>
      <w:r>
        <w:tab/>
        <w:t>2.</w:t>
      </w:r>
      <w:r>
        <w:tab/>
      </w:r>
      <w:bookmarkStart w:id="16" w:name="_Hlk6305972"/>
      <w:r>
        <w:rPr>
          <w:bCs/>
        </w:rPr>
        <w:t>Директива Административного комитета по использованию каталога вопросов для экзаменования экспертов в области ВОПОГ (глава 8.2)</w:t>
      </w:r>
      <w:bookmarkEnd w:id="16"/>
    </w:p>
    <w:p w14:paraId="4BE393FA" w14:textId="77777777" w:rsidR="007A0320" w:rsidRPr="0031621B" w:rsidRDefault="007A0320" w:rsidP="00E8363D">
      <w:pPr>
        <w:pStyle w:val="SingleTxtG"/>
        <w:tabs>
          <w:tab w:val="left" w:pos="3780"/>
        </w:tabs>
        <w:rPr>
          <w:lang w:val="en-US"/>
        </w:rPr>
      </w:pPr>
      <w:r>
        <w:rPr>
          <w:i/>
          <w:iCs/>
        </w:rPr>
        <w:t>Документ</w:t>
      </w:r>
      <w:r w:rsidRPr="00805184">
        <w:rPr>
          <w:iCs/>
          <w:lang w:val="en-US"/>
        </w:rPr>
        <w:t>:</w:t>
      </w:r>
      <w:r w:rsidRPr="0031621B">
        <w:rPr>
          <w:lang w:val="en-US"/>
        </w:rPr>
        <w:tab/>
        <w:t>ECE/TRANS/WP.15/AC.2/2019/7 (</w:t>
      </w:r>
      <w:r>
        <w:t>ЦКСР</w:t>
      </w:r>
      <w:r w:rsidRPr="0031621B">
        <w:rPr>
          <w:lang w:val="en-US"/>
        </w:rPr>
        <w:t>)</w:t>
      </w:r>
    </w:p>
    <w:p w14:paraId="74B0CA77" w14:textId="77777777" w:rsidR="007A0320" w:rsidRPr="00363108" w:rsidRDefault="007A0320" w:rsidP="007A0320">
      <w:pPr>
        <w:pStyle w:val="SingleTxtG"/>
      </w:pPr>
      <w:r>
        <w:t>23.</w:t>
      </w:r>
      <w:r>
        <w:tab/>
        <w:t>Комитет по вопросам безопасности принял предлагаемые поправки к директиве Административного комитета по использованию каталога вопросов для экзаменования экспертов в области ВОПОГ в соответствии с главой 8.2 ВОПОГ, исключив квадратные скобки вокруг текста в пункте 36 указанного документа.</w:t>
      </w:r>
    </w:p>
    <w:p w14:paraId="3D542B12" w14:textId="77777777" w:rsidR="007A0320" w:rsidRPr="00363108" w:rsidRDefault="007A0320" w:rsidP="007A0320">
      <w:pPr>
        <w:pStyle w:val="SingleTxtG"/>
      </w:pPr>
      <w:proofErr w:type="gramStart"/>
      <w:r>
        <w:t>24.</w:t>
      </w:r>
      <w:r>
        <w:tab/>
        <w:t>В</w:t>
      </w:r>
      <w:proofErr w:type="gramEnd"/>
      <w:r>
        <w:t xml:space="preserve"> ответ на замечание представителя Германии Комитет по вопросам безопасности предложил неофициальной рабочей группе по подготовке экспертов рассмотреть вопрос о применении шестимесячного предельного срока для сдачи специализированных экзаменов после специализированных курсов и подготовить предложение о поправке к соответствующим положениям ВОПОГ.</w:t>
      </w:r>
    </w:p>
    <w:p w14:paraId="6105247C" w14:textId="77777777" w:rsidR="007A0320" w:rsidRPr="00363108" w:rsidRDefault="007A0320" w:rsidP="007A0320">
      <w:pPr>
        <w:pStyle w:val="H23G"/>
      </w:pPr>
      <w:r>
        <w:tab/>
        <w:t>3.</w:t>
      </w:r>
      <w:r>
        <w:tab/>
      </w:r>
      <w:r>
        <w:rPr>
          <w:bCs/>
        </w:rPr>
        <w:t>Каталог вопросов 2019 года</w:t>
      </w:r>
    </w:p>
    <w:p w14:paraId="1D5585CF" w14:textId="77777777" w:rsidR="007A0320" w:rsidRPr="00363108" w:rsidRDefault="007A0320" w:rsidP="00E8363D">
      <w:pPr>
        <w:pStyle w:val="SingleTxtG"/>
        <w:ind w:left="3810" w:hanging="2676"/>
        <w:jc w:val="left"/>
      </w:pPr>
      <w:r>
        <w:rPr>
          <w:i/>
          <w:iCs/>
        </w:rPr>
        <w:t>Документы</w:t>
      </w:r>
      <w:r w:rsidRPr="00805184">
        <w:rPr>
          <w:iCs/>
        </w:rPr>
        <w:t>:</w:t>
      </w:r>
      <w:r>
        <w:tab/>
        <w:t>ECE/TRANS/WP.15/AC.2/2019/1</w:t>
      </w:r>
      <w:r w:rsidR="005600BF">
        <w:t xml:space="preserve"> </w:t>
      </w:r>
      <w:r>
        <w:t>(ЦКСР)</w:t>
      </w:r>
      <w:r w:rsidR="005600BF">
        <w:br/>
      </w:r>
      <w:r>
        <w:t>ECE/TRANS/WP.15/AC.2/2019/2 (ЦКСР)</w:t>
      </w:r>
      <w:r w:rsidR="00226B70">
        <w:br/>
      </w:r>
      <w:r>
        <w:t>ECE/TRANS/WP.15/AC.2/2019/3 (ЦКСР)</w:t>
      </w:r>
    </w:p>
    <w:p w14:paraId="74FB2B17" w14:textId="77777777" w:rsidR="007A0320" w:rsidRPr="00363108" w:rsidRDefault="007A0320" w:rsidP="007A0320">
      <w:pPr>
        <w:pStyle w:val="SingleTxtG"/>
      </w:pPr>
      <w:r>
        <w:t>25.</w:t>
      </w:r>
      <w:r>
        <w:tab/>
        <w:t>Представитель ЕСРС указал, что необходимо внести некоторые редакционные исправления, чтобы избежать использования разных терминов для одного и того же понятия. Он упомянул, например, что термины «</w:t>
      </w:r>
      <w:proofErr w:type="spellStart"/>
      <w:r>
        <w:t>loading</w:t>
      </w:r>
      <w:proofErr w:type="spellEnd"/>
      <w:r>
        <w:t xml:space="preserve"> </w:t>
      </w:r>
      <w:proofErr w:type="spellStart"/>
      <w:r>
        <w:t>plan</w:t>
      </w:r>
      <w:proofErr w:type="spellEnd"/>
      <w:r>
        <w:t>» и «</w:t>
      </w:r>
      <w:proofErr w:type="spellStart"/>
      <w:r>
        <w:t>stowage</w:t>
      </w:r>
      <w:proofErr w:type="spellEnd"/>
      <w:r>
        <w:t xml:space="preserve"> </w:t>
      </w:r>
      <w:proofErr w:type="spellStart"/>
      <w:r>
        <w:t>plan</w:t>
      </w:r>
      <w:proofErr w:type="spellEnd"/>
      <w:r>
        <w:t>» («грузовой план») и термины «</w:t>
      </w:r>
      <w:proofErr w:type="spellStart"/>
      <w:r>
        <w:t>sampling</w:t>
      </w:r>
      <w:proofErr w:type="spellEnd"/>
      <w:r>
        <w:t xml:space="preserve"> </w:t>
      </w:r>
      <w:proofErr w:type="spellStart"/>
      <w:r>
        <w:t>device</w:t>
      </w:r>
      <w:proofErr w:type="spellEnd"/>
      <w:r>
        <w:t>» («устройство для взятия проб»)</w:t>
      </w:r>
      <w:r w:rsidR="005600BF">
        <w:br/>
      </w:r>
      <w:r>
        <w:t>и «</w:t>
      </w:r>
      <w:proofErr w:type="spellStart"/>
      <w:r>
        <w:t>sampling</w:t>
      </w:r>
      <w:proofErr w:type="spellEnd"/>
      <w:r>
        <w:t xml:space="preserve"> </w:t>
      </w:r>
      <w:proofErr w:type="spellStart"/>
      <w:r>
        <w:t>opening</w:t>
      </w:r>
      <w:proofErr w:type="spellEnd"/>
      <w:r>
        <w:t>» («отверстие для взятия проб») используются в тексте взаимозаменяемо, и предложил оставить в каждом случае только один термин. Ему было предложено представить неофициальной рабочей группе по подготовке экспертов подробное резюме необходимых исправлений, с тем чтобы их можно было включить в следующий вариант каталога.</w:t>
      </w:r>
    </w:p>
    <w:p w14:paraId="62B109D7" w14:textId="77777777" w:rsidR="007A0320" w:rsidRPr="00363108" w:rsidRDefault="007A0320" w:rsidP="007A0320">
      <w:pPr>
        <w:pStyle w:val="SingleTxtG"/>
      </w:pPr>
      <w:r>
        <w:t>26.</w:t>
      </w:r>
      <w:r>
        <w:tab/>
        <w:t>Комитет по вопросам безопасности принял предложения по обновлению каталога вопросов с учетом положений ВОПОГ 2019 года с некоторыми дополнительными редакционными исправлениями к документам ECE/TRANS/WP.15/</w:t>
      </w:r>
      <w:r w:rsidR="00226B70">
        <w:t xml:space="preserve"> </w:t>
      </w:r>
      <w:r>
        <w:t>AC.2/2019/1 и ECE/TRANS/WP.15/AC.2/2019/2.</w:t>
      </w:r>
    </w:p>
    <w:p w14:paraId="3CD359F1" w14:textId="77777777" w:rsidR="007A0320" w:rsidRPr="00363108" w:rsidRDefault="007A0320" w:rsidP="007A0320">
      <w:pPr>
        <w:pStyle w:val="H23G"/>
      </w:pPr>
      <w:r>
        <w:tab/>
        <w:t>4.</w:t>
      </w:r>
      <w:r>
        <w:tab/>
      </w:r>
      <w:bookmarkStart w:id="17" w:name="_Hlk6306006"/>
      <w:r>
        <w:rPr>
          <w:bCs/>
        </w:rPr>
        <w:t>Последующие меры в связи с предложением об увеличении продолжительности экзаменов, предусмотренной в пунктах 8.2.2.7.1.5 (основной курс подготовки)</w:t>
      </w:r>
      <w:r w:rsidR="00226B70">
        <w:rPr>
          <w:bCs/>
        </w:rPr>
        <w:br/>
      </w:r>
      <w:r>
        <w:rPr>
          <w:bCs/>
        </w:rPr>
        <w:t>и 8.2.2.7.3.2 (курс переподготовки)</w:t>
      </w:r>
      <w:bookmarkEnd w:id="17"/>
    </w:p>
    <w:p w14:paraId="132E4E6A" w14:textId="77777777" w:rsidR="007A0320" w:rsidRPr="00363108" w:rsidRDefault="007A0320" w:rsidP="00E8363D">
      <w:pPr>
        <w:pStyle w:val="SingleTxtG"/>
        <w:ind w:left="3810" w:hanging="2676"/>
        <w:jc w:val="left"/>
      </w:pPr>
      <w:r>
        <w:rPr>
          <w:i/>
          <w:iCs/>
        </w:rPr>
        <w:t>Неофициальный документ</w:t>
      </w:r>
      <w:r w:rsidRPr="00805184">
        <w:rPr>
          <w:iCs/>
        </w:rPr>
        <w:t>:</w:t>
      </w:r>
      <w:r>
        <w:tab/>
        <w:t>INF.14 (ЕСРС и ЕОС)</w:t>
      </w:r>
    </w:p>
    <w:p w14:paraId="72830681" w14:textId="77777777" w:rsidR="007A0320" w:rsidRPr="00363108" w:rsidRDefault="007A0320" w:rsidP="007A0320">
      <w:pPr>
        <w:pStyle w:val="SingleTxtG"/>
      </w:pPr>
      <w:r>
        <w:t>27.</w:t>
      </w:r>
      <w:r>
        <w:tab/>
        <w:t xml:space="preserve">Комитет по вопросам безопасности выразил удовлетворение по поводу работы, проделанной ЕСРС и ЕОС. Некоторые предложения, содержащиеся в пункте 8 неофициального документа, встретили определенное понимание, однако Комитет по вопросам безопасности счел, что было бы преждевременным принимать решение на основе поздно представленного неофициального документа, имеющегося только на английском языке, и в отсутствие более подробного предложения. Отмечая, что в докладе об исследовании, содержащемся в приложении к данному неофициальному документу, упоминаются учебные материалы и экзамены на голландском языке, Комитет по вопросам безопасности предложил представителю ЕСРС рассмотреть вопрос о том, можно ли экстраполировать его результаты на другие языки и страны и можно ли решить поставленные вопросы путем увеличения продолжительности экзаменов или путем ограничения числа вариантов ответа по каждому вопросу, как это было предложено. Представитель Германии предложил принимать во внимание также </w:t>
      </w:r>
      <w:r>
        <w:lastRenderedPageBreak/>
        <w:t>информацию, поступающую от национальных органов, осуществляющих подготовку и проводящих экзамены, и исследовательских институтов других стран.</w:t>
      </w:r>
    </w:p>
    <w:p w14:paraId="279D8670" w14:textId="77777777" w:rsidR="007A0320" w:rsidRPr="00363108" w:rsidRDefault="007A0320" w:rsidP="007A0320">
      <w:pPr>
        <w:pStyle w:val="SingleTxtG"/>
      </w:pPr>
      <w:r>
        <w:t>28.</w:t>
      </w:r>
      <w:r>
        <w:tab/>
        <w:t>Комитет по вопросам безопасности с удовлетворением отметил, что представитель ЕСРС передаст вариант доклада</w:t>
      </w:r>
      <w:r w:rsidRPr="00400A59">
        <w:t xml:space="preserve"> </w:t>
      </w:r>
      <w:r>
        <w:t>на немецком языке для облегчения будущих обсуждений, и предложил ему сотрудничать с другими делегациями и неофициальной рабочей группой по подготовке экспертов в целях доработки этого предложения с учетом высказанных замечаний. Было отмечено, что результаты этой работы могут также представлять интерес для Дунайской комиссии, которая в настоящее время разрабатывает положения об экзаменах.</w:t>
      </w:r>
    </w:p>
    <w:p w14:paraId="613B4F07" w14:textId="77777777" w:rsidR="007A0320" w:rsidRPr="00363108" w:rsidRDefault="007A0320" w:rsidP="007A0320">
      <w:pPr>
        <w:pStyle w:val="H1G"/>
      </w:pPr>
      <w:r>
        <w:tab/>
        <w:t>E.</w:t>
      </w:r>
      <w:r>
        <w:tab/>
      </w:r>
      <w:bookmarkStart w:id="18" w:name="_Hlk6306052"/>
      <w:r>
        <w:rPr>
          <w:bCs/>
        </w:rPr>
        <w:t>Вопросы, касающиеся классификационных обществ</w:t>
      </w:r>
      <w:bookmarkEnd w:id="18"/>
    </w:p>
    <w:p w14:paraId="3B539F4D" w14:textId="77777777" w:rsidR="007A0320" w:rsidRPr="00363108" w:rsidRDefault="007A0320" w:rsidP="007A0320">
      <w:pPr>
        <w:pStyle w:val="H23G"/>
      </w:pPr>
      <w:r>
        <w:tab/>
        <w:t>1.</w:t>
      </w:r>
      <w:r>
        <w:tab/>
      </w:r>
      <w:r>
        <w:rPr>
          <w:bCs/>
        </w:rPr>
        <w:t>Доклад о работе шестнадцатого совещания неофициальной рабочей группы Рекомендованных классификационных обществ ВОПОГ</w:t>
      </w:r>
    </w:p>
    <w:p w14:paraId="12132C0F" w14:textId="77777777" w:rsidR="007A0320" w:rsidRPr="00363108" w:rsidRDefault="007A0320" w:rsidP="00226B70">
      <w:pPr>
        <w:pStyle w:val="SingleTxtG"/>
        <w:tabs>
          <w:tab w:val="left" w:pos="3119"/>
          <w:tab w:val="left" w:pos="3780"/>
        </w:tabs>
        <w:ind w:left="3119" w:hanging="1985"/>
        <w:jc w:val="left"/>
      </w:pPr>
      <w:r>
        <w:rPr>
          <w:i/>
          <w:iCs/>
        </w:rPr>
        <w:t>Неофициальный документ</w:t>
      </w:r>
      <w:r w:rsidRPr="00805184">
        <w:rPr>
          <w:iCs/>
        </w:rPr>
        <w:t>:</w:t>
      </w:r>
      <w:r>
        <w:tab/>
        <w:t>INF.4 (Председатель неофициальной рабочей группы)</w:t>
      </w:r>
    </w:p>
    <w:p w14:paraId="048E022F" w14:textId="77777777" w:rsidR="007A0320" w:rsidRPr="00363108" w:rsidRDefault="007A0320" w:rsidP="007A0320">
      <w:pPr>
        <w:pStyle w:val="SingleTxtG"/>
      </w:pPr>
      <w:r>
        <w:t>29.</w:t>
      </w:r>
      <w:r>
        <w:tab/>
        <w:t>Комитет по вопросам безопасности принял к сведению доклад неофициальной рабочей группы и конкретно рассмотрел пункты 2 е), 4 d), 4 е) и 4 f) доклада следующим образом:</w:t>
      </w:r>
    </w:p>
    <w:p w14:paraId="56F68A88" w14:textId="77777777" w:rsidR="007A0320" w:rsidRPr="00C57905" w:rsidRDefault="007A0320" w:rsidP="007A0320">
      <w:pPr>
        <w:pStyle w:val="Bullet1G"/>
        <w:numPr>
          <w:ilvl w:val="0"/>
          <w:numId w:val="29"/>
        </w:numPr>
      </w:pPr>
      <w:r>
        <w:t>вопрос об использовании испарений СПГ в качестве топлива (пункт 2 e)): Комитет по вопросам безопасности решил, что существующие положения Международного кодекса по газовозам (МКГ) Международной морской организации должны стать основой для разработки эквивалентных положений ВОПОГ;</w:t>
      </w:r>
    </w:p>
    <w:p w14:paraId="4B2D6BDB" w14:textId="7BF3B05F" w:rsidR="007A0320" w:rsidRPr="00363108" w:rsidRDefault="007A0320" w:rsidP="007A0320">
      <w:pPr>
        <w:pStyle w:val="Bullet1G"/>
        <w:numPr>
          <w:ilvl w:val="0"/>
          <w:numId w:val="29"/>
        </w:numPr>
      </w:pPr>
      <w:r>
        <w:t>вопрос о сроках действия переходных положений, применимых к подразделу</w:t>
      </w:r>
      <w:r w:rsidR="005600BF">
        <w:t> </w:t>
      </w:r>
      <w:r>
        <w:t>9.3.x.24 и пункту 9.3.x.21.1, и многостороннем соглашении М018 (пункт 4 d)): выслушав мнения и озабоченности, высказанные рядом делегаций, Комитет по вопросам безопасности признал, что переходные положения для подраздела 9.3.x.24 и пункта 9.3.x.21.1, возможно, потребуется исключить, и просил представить предложение на этот счет для следующей сессии. Отмечая, что новые поправки к ВОПОГ вступят в силу не ранее 1 января 2021 года, несколько делегаций заявили о своей готовности обновить и продлить многостороннее соглашение М018 до 31 декабря 2023 года. Было отмечено, что действующий переходный период для применения положений пункта</w:t>
      </w:r>
      <w:r w:rsidR="00E8363D">
        <w:t> </w:t>
      </w:r>
      <w:r>
        <w:t>9.3.x.53.1, касающихся типа и расположения электрических установок и оборудования, предназначенных для использования во взрывоопасных зонах, останется неизменным;</w:t>
      </w:r>
    </w:p>
    <w:p w14:paraId="288F9257" w14:textId="77777777" w:rsidR="007A0320" w:rsidRPr="00363108" w:rsidRDefault="007A0320" w:rsidP="007A0320">
      <w:pPr>
        <w:pStyle w:val="Bullet1G"/>
        <w:numPr>
          <w:ilvl w:val="0"/>
          <w:numId w:val="29"/>
        </w:numPr>
      </w:pPr>
      <w:r>
        <w:t>вопрос об использовании танков вместимостью более 1 000 м</w:t>
      </w:r>
      <w:r>
        <w:rPr>
          <w:vertAlign w:val="superscript"/>
        </w:rPr>
        <w:t>3</w:t>
      </w:r>
      <w:r>
        <w:t xml:space="preserve"> (пункты 2 е)</w:t>
      </w:r>
      <w:r w:rsidR="00226B70">
        <w:br/>
      </w:r>
      <w:r>
        <w:t>и 4 e)): отмечая нынешнюю тенденцию к расширению использования грузовых танков большой вместимости, Комитет по вопросам безопасности предложил Рекомендованным классификационным обществам ВОПОГ принять также во внимание текущую практику использования грузовых танков большой вместимости, что позволит Комитету по вопросам безопасности оценить необходимость разработки конкретных положений для решения вопросов безопасности, например применимая скорость наполнения, требования к остойчивости и т. д</w:t>
      </w:r>
      <w:r w:rsidR="005600BF">
        <w:t>.</w:t>
      </w:r>
      <w:r>
        <w:t>;</w:t>
      </w:r>
    </w:p>
    <w:p w14:paraId="26EDEF05" w14:textId="77777777" w:rsidR="007A0320" w:rsidRPr="00C57905" w:rsidRDefault="007A0320" w:rsidP="007A0320">
      <w:pPr>
        <w:pStyle w:val="Bullet1G"/>
        <w:numPr>
          <w:ilvl w:val="0"/>
          <w:numId w:val="29"/>
        </w:numPr>
      </w:pPr>
      <w:r>
        <w:t>вопрос о быстродействующих выпускных клапанах и высоких температурах (пункт 4 f)): Комитет по вопросам безопасности предложил Рекомендованным классификационным обществам ВОПОГ пересмотреть предлагаемое толкование в свете нынешних критериев эквивалентности, предусмотренных в пункте 1.3.5.3.1 ВОПОГ, и представить официальный документ с конкретным предложением для следующей сессии.</w:t>
      </w:r>
    </w:p>
    <w:p w14:paraId="10F75D60" w14:textId="77777777" w:rsidR="007A0320" w:rsidRPr="00363108" w:rsidRDefault="007A0320" w:rsidP="00226B70">
      <w:pPr>
        <w:pStyle w:val="H23G"/>
        <w:pageBreakBefore/>
      </w:pPr>
      <w:r>
        <w:lastRenderedPageBreak/>
        <w:tab/>
        <w:t>2.</w:t>
      </w:r>
      <w:r>
        <w:tab/>
      </w:r>
      <w:r>
        <w:rPr>
          <w:bCs/>
        </w:rPr>
        <w:t>Признание классификационных обществ</w:t>
      </w:r>
    </w:p>
    <w:p w14:paraId="7CC5D515" w14:textId="77777777" w:rsidR="007A0320" w:rsidRPr="00363108" w:rsidRDefault="007A0320" w:rsidP="00226B70">
      <w:pPr>
        <w:pStyle w:val="SingleTxtG"/>
        <w:tabs>
          <w:tab w:val="left" w:pos="3119"/>
          <w:tab w:val="left" w:pos="3780"/>
        </w:tabs>
        <w:ind w:left="3119" w:hanging="1985"/>
        <w:jc w:val="left"/>
      </w:pPr>
      <w:r>
        <w:rPr>
          <w:i/>
          <w:iCs/>
        </w:rPr>
        <w:t>Неофициальный документ</w:t>
      </w:r>
      <w:r w:rsidRPr="00805184">
        <w:rPr>
          <w:iCs/>
        </w:rPr>
        <w:t>:</w:t>
      </w:r>
      <w:r>
        <w:tab/>
        <w:t>INF.13 (Нидерланды)</w:t>
      </w:r>
    </w:p>
    <w:p w14:paraId="4C8C8316" w14:textId="77777777" w:rsidR="007A0320" w:rsidRPr="00363108" w:rsidRDefault="007A0320" w:rsidP="007A0320">
      <w:pPr>
        <w:pStyle w:val="SingleTxtG"/>
      </w:pPr>
      <w:r>
        <w:t>30.</w:t>
      </w:r>
      <w:r>
        <w:tab/>
        <w:t>Комитет по вопросам безопасности принял к сведению рекомендацию Комитета экспертов и отметил, что Административный комитет рассмотрит ее на своей двадцать второй сессии.</w:t>
      </w:r>
    </w:p>
    <w:p w14:paraId="458DB198" w14:textId="77777777" w:rsidR="007A0320" w:rsidRPr="00363108" w:rsidRDefault="007A0320" w:rsidP="007A0320">
      <w:pPr>
        <w:pStyle w:val="H23G"/>
      </w:pPr>
      <w:r>
        <w:tab/>
        <w:t>3.</w:t>
      </w:r>
      <w:r>
        <w:tab/>
      </w:r>
      <w:r>
        <w:rPr>
          <w:bCs/>
        </w:rPr>
        <w:t>Фактическое положение дел с утверждением приборов контроля загрузки</w:t>
      </w:r>
    </w:p>
    <w:p w14:paraId="67E2DC73" w14:textId="77777777" w:rsidR="007A0320" w:rsidRPr="00363108" w:rsidRDefault="007A0320" w:rsidP="00226B70">
      <w:pPr>
        <w:pStyle w:val="SingleTxtG"/>
        <w:tabs>
          <w:tab w:val="left" w:pos="3119"/>
          <w:tab w:val="left" w:pos="3780"/>
        </w:tabs>
        <w:ind w:left="3780" w:hanging="2646"/>
        <w:jc w:val="left"/>
      </w:pPr>
      <w:r>
        <w:rPr>
          <w:i/>
          <w:iCs/>
        </w:rPr>
        <w:t>Неофициальный документ</w:t>
      </w:r>
      <w:r w:rsidRPr="00805184">
        <w:rPr>
          <w:iCs/>
        </w:rPr>
        <w:t>:</w:t>
      </w:r>
      <w:r>
        <w:tab/>
        <w:t>INF.16 (Рекомендованные классификационные общества ВОПОГ)</w:t>
      </w:r>
    </w:p>
    <w:p w14:paraId="05300584" w14:textId="77777777" w:rsidR="007A0320" w:rsidRPr="00363108" w:rsidRDefault="007A0320" w:rsidP="007A0320">
      <w:pPr>
        <w:pStyle w:val="SingleTxtG"/>
      </w:pPr>
      <w:r>
        <w:t>31.</w:t>
      </w:r>
      <w:r>
        <w:tab/>
        <w:t>Комитет по вопросам безопасности приветствовал информацию о фактическом положении дел с утверждением приборов контроля загрузки, представленную Рекомендованными классификационными обществами ВОПОГ.</w:t>
      </w:r>
    </w:p>
    <w:p w14:paraId="1E505559" w14:textId="77777777" w:rsidR="007A0320" w:rsidRPr="00363108" w:rsidRDefault="007A0320" w:rsidP="007A0320">
      <w:pPr>
        <w:pStyle w:val="SingleTxtG"/>
      </w:pPr>
      <w:r>
        <w:t>32.</w:t>
      </w:r>
      <w:r>
        <w:tab/>
        <w:t>Вместе с тем было отмечено, что отсутствует информация от Итальянского морского регистра (RINA), а также Российского морского регистра судоходства, Российского речного регистра и Регистра судоходства Украины.</w:t>
      </w:r>
    </w:p>
    <w:p w14:paraId="0AE6FA3F" w14:textId="77777777" w:rsidR="007A0320" w:rsidRPr="00363108" w:rsidRDefault="007A0320" w:rsidP="007A0320">
      <w:pPr>
        <w:pStyle w:val="SingleTxtG"/>
      </w:pPr>
      <w:r>
        <w:t>33.</w:t>
      </w:r>
      <w:r>
        <w:tab/>
        <w:t>Представитель Рекомендованных классификационных обществ ВОПОГ пояснил, что ни RINA, ни классификационное общество Украины не занимаются танкерами, для которых требуется утверждение приборов контроля загрузки.</w:t>
      </w:r>
      <w:r w:rsidR="005600BF">
        <w:br/>
      </w:r>
      <w:r>
        <w:t>Что касается информации от двух рекомендованных классификационных обществ ВОПОГ из Российской Федерации, то он отметил, что они не принимают участия в совещаниях и не представили никаких данных.</w:t>
      </w:r>
    </w:p>
    <w:p w14:paraId="5A1AFE3B" w14:textId="77777777" w:rsidR="007A0320" w:rsidRPr="00363108" w:rsidRDefault="007A0320" w:rsidP="007A0320">
      <w:pPr>
        <w:pStyle w:val="SingleTxtG"/>
      </w:pPr>
      <w:r>
        <w:t>34.</w:t>
      </w:r>
      <w:r>
        <w:tab/>
        <w:t>Комитет по вопросам безопасности вновь указал на обязанности рекомендованных классификационных обществ ВОПОГ, изложенные в главе 1.15 ВОПОГ.</w:t>
      </w:r>
    </w:p>
    <w:p w14:paraId="5897F1E0" w14:textId="77777777" w:rsidR="007A0320" w:rsidRPr="00363108" w:rsidRDefault="007A0320" w:rsidP="007A0320">
      <w:pPr>
        <w:pStyle w:val="SingleTxtG"/>
      </w:pPr>
      <w:r>
        <w:t>35.</w:t>
      </w:r>
      <w:r>
        <w:tab/>
        <w:t>Представитель Российской Федерации заявил, что в последние годы участие российских рекомендованных классификационных обществ ВОПОГ не представлялось возможным, и объявил об их намерении участвовать в таких совещаниях в будущем. Что касается информации о положении дел с утверждением приборов контроля загрузки, то он пояснил, что российские суда не осуществляют международную перевозку опасных грузов по внутренним водным путям и поэтому не подпадают под действие требований ВОПОГ, касающихся приборов контроля загрузки. Это является причиной того, почему не было представлено никакой информации. Вместе с тем он отметил, что 320 судов внутреннего плавания и морских судов уже оснащены средствами стабилизации в соответствии с положениями Конвенции МАРПОЛ.</w:t>
      </w:r>
    </w:p>
    <w:p w14:paraId="58271369" w14:textId="77777777" w:rsidR="007A0320" w:rsidRPr="00363108" w:rsidRDefault="007A0320" w:rsidP="007A0320">
      <w:pPr>
        <w:pStyle w:val="HChG"/>
      </w:pPr>
      <w:r>
        <w:tab/>
        <w:t>VI.</w:t>
      </w:r>
      <w:r>
        <w:tab/>
      </w:r>
      <w:r>
        <w:rPr>
          <w:bCs/>
        </w:rPr>
        <w:t>Предложения о внесении поправок в Правила, прилагаемые к ВОПОГ (пункт 5 повестки дня)</w:t>
      </w:r>
    </w:p>
    <w:p w14:paraId="6E2098B4" w14:textId="77777777" w:rsidR="007A0320" w:rsidRPr="00363108" w:rsidRDefault="007A0320" w:rsidP="007A0320">
      <w:pPr>
        <w:pStyle w:val="H1G"/>
      </w:pPr>
      <w:r>
        <w:tab/>
        <w:t>A.</w:t>
      </w:r>
      <w:r>
        <w:tab/>
      </w:r>
      <w:r>
        <w:rPr>
          <w:bCs/>
        </w:rPr>
        <w:t>Работа Совместного совещания МПОГ/ДОПОГ/ВОПОГ</w:t>
      </w:r>
    </w:p>
    <w:p w14:paraId="738F315E" w14:textId="77777777" w:rsidR="00226B70" w:rsidRDefault="007A0320" w:rsidP="00226B70">
      <w:pPr>
        <w:pStyle w:val="SingleTxtG"/>
        <w:tabs>
          <w:tab w:val="left" w:pos="3119"/>
          <w:tab w:val="left" w:pos="3780"/>
        </w:tabs>
        <w:ind w:left="3119" w:hanging="1985"/>
        <w:jc w:val="left"/>
      </w:pPr>
      <w:r>
        <w:rPr>
          <w:i/>
          <w:iCs/>
        </w:rPr>
        <w:t>Документы</w:t>
      </w:r>
      <w:r w:rsidRPr="00E6649C">
        <w:rPr>
          <w:iCs/>
        </w:rPr>
        <w:t>:</w:t>
      </w:r>
      <w:r>
        <w:tab/>
        <w:t>ECE/TRANS/WP.15/AC.1/152 (доклад Совместного</w:t>
      </w:r>
      <w:r w:rsidR="00226B70">
        <w:br/>
      </w:r>
      <w:r>
        <w:t>совещания МПОГ/ДОПОГ/ВОПОГ о работе его осенней сессии</w:t>
      </w:r>
      <w:r w:rsidR="00226B70">
        <w:t xml:space="preserve"> </w:t>
      </w:r>
      <w:r>
        <w:t>2018 года)</w:t>
      </w:r>
    </w:p>
    <w:p w14:paraId="5765C647" w14:textId="77777777" w:rsidR="007A0320" w:rsidRPr="00363108" w:rsidRDefault="007A0320" w:rsidP="00226B70">
      <w:pPr>
        <w:pStyle w:val="SingleTxtG"/>
        <w:tabs>
          <w:tab w:val="left" w:pos="3119"/>
          <w:tab w:val="left" w:pos="3780"/>
        </w:tabs>
        <w:ind w:left="3119" w:hanging="11"/>
        <w:jc w:val="left"/>
      </w:pPr>
      <w:r>
        <w:t>ECE/TRANS/WP.15/244 (доклад Рабочей группы</w:t>
      </w:r>
      <w:r w:rsidR="00226B70">
        <w:br/>
      </w:r>
      <w:r>
        <w:t>по перевозкам опасных грузов о работе ее 105-й сессии)</w:t>
      </w:r>
    </w:p>
    <w:p w14:paraId="7674779E" w14:textId="77777777" w:rsidR="007A0320" w:rsidRPr="00363108" w:rsidRDefault="007A0320" w:rsidP="007A0320">
      <w:pPr>
        <w:pStyle w:val="SingleTxtG"/>
      </w:pPr>
      <w:r>
        <w:t>36.</w:t>
      </w:r>
      <w:r>
        <w:tab/>
        <w:t>Комитет по вопросам безопасности принял к сведению продолжающиеся дискуссии о назначении нового консультанта, обладающего опытом в вопросах, затрагиваемых стандартами, имеющими отношение к работе Совместного совещания МПОГ/ДОПОГ/ВОПОГ, как это отражено в докладе о работе его осенней сессии</w:t>
      </w:r>
      <w:r w:rsidR="00226B70">
        <w:br/>
      </w:r>
      <w:r>
        <w:t xml:space="preserve">2018 года (документ ECE/TRANS/WP.15/AC.1/152, пункты 7–14). Он также отметил, что на своей весенней сессии 2019 года Совместное совещание рассмотрит </w:t>
      </w:r>
      <w:r>
        <w:lastRenderedPageBreak/>
        <w:t>предложения по поправкам к МПОГ, ДОПОГ и ВОПОГ, подготовленные по итогам работы неофициальной рабочей группы по использованию терминов «</w:t>
      </w:r>
      <w:proofErr w:type="spellStart"/>
      <w:r>
        <w:t>risk</w:t>
      </w:r>
      <w:proofErr w:type="spellEnd"/>
      <w:r>
        <w:t>» («риск»)</w:t>
      </w:r>
      <w:r w:rsidR="005600BF">
        <w:br/>
      </w:r>
      <w:r>
        <w:t>и «</w:t>
      </w:r>
      <w:proofErr w:type="spellStart"/>
      <w:r>
        <w:t>hazard</w:t>
      </w:r>
      <w:proofErr w:type="spellEnd"/>
      <w:r>
        <w:t>/</w:t>
      </w:r>
      <w:proofErr w:type="spellStart"/>
      <w:r>
        <w:t>danger</w:t>
      </w:r>
      <w:proofErr w:type="spellEnd"/>
      <w:r>
        <w:t>» («опасность»), и что принятые решения будут доведены до сведения Комитета по вопросам безопасности ВОПОГ (см. документ ECE/TRANS/WP.15/</w:t>
      </w:r>
      <w:r w:rsidR="005600BF">
        <w:t xml:space="preserve"> </w:t>
      </w:r>
      <w:r>
        <w:t>AC.1/152, пункты 47–50).</w:t>
      </w:r>
    </w:p>
    <w:p w14:paraId="6D1DE2D4" w14:textId="77777777" w:rsidR="007A0320" w:rsidRPr="00363108" w:rsidRDefault="007A0320" w:rsidP="007A0320">
      <w:pPr>
        <w:pStyle w:val="SingleTxtG"/>
        <w:spacing w:after="240"/>
      </w:pPr>
      <w:r>
        <w:t>37.</w:t>
      </w:r>
      <w:r>
        <w:tab/>
        <w:t>Сотрудник секретариата указал, что на рассмотрение тридцать пятой сессии Комитета по вопросам безопасности будет представлен неофициальный документ, содержащий проекты поправок, принятые другими межправительственными органами, которые также должны быть отражены в Правилах, прилагаемых к ВОПОГ, но еще не были приняты. Это позволит Комитету по вопросам безопасности затронуть любой вопрос о согласовании на сессии Совместного совещания в сентябре 2019 года. Указанный документ будет содержать проекты поправок, принятые Специальной рабочей группой по согласованию МПОГ/ДОПОГ/ВОПОГ с Типовыми правилами, Рабочей группой по перевозкам опасных грузов (WP.15) и Совместным совещанием МПОГ/ДОПОГ/ВОПОГ.</w:t>
      </w:r>
    </w:p>
    <w:p w14:paraId="2E93D7BA" w14:textId="77777777" w:rsidR="007A0320" w:rsidRPr="00363108" w:rsidRDefault="007A0320" w:rsidP="007A0320">
      <w:pPr>
        <w:pStyle w:val="SingleTxtG"/>
        <w:spacing w:after="0"/>
      </w:pPr>
      <w:r>
        <w:t>38.</w:t>
      </w:r>
      <w:r>
        <w:tab/>
        <w:t>Заслушав разъяснения представителя Европейского союза о последствиях внедрения системы консультантов по согласованным стандартам (HAS) ЕС и их воздействии на результаты работы межправительственных органов (например, Совместного совещания МПОГ/ДОПОГ/ВОПОГ), занимающихся международными правилами и соглашениями, имеющими обязательную силу в странах, не являющихся государствами</w:t>
      </w:r>
      <w:r w:rsidR="005600BF">
        <w:t xml:space="preserve"> – </w:t>
      </w:r>
      <w:r>
        <w:t>членами Европейского союза, Комитет по вопросам безопасности призвал делегации работать с Европейским союзом в целях скорейшего нахождения надлежащего решения.</w:t>
      </w:r>
    </w:p>
    <w:p w14:paraId="78C7C605" w14:textId="77777777" w:rsidR="007A0320" w:rsidRPr="00363108" w:rsidRDefault="007A0320" w:rsidP="007A0320">
      <w:pPr>
        <w:pStyle w:val="H1G"/>
        <w:keepNext w:val="0"/>
        <w:keepLines w:val="0"/>
      </w:pPr>
      <w:r>
        <w:tab/>
        <w:t>B.</w:t>
      </w:r>
      <w:r>
        <w:tab/>
      </w:r>
      <w:r>
        <w:rPr>
          <w:bCs/>
        </w:rPr>
        <w:t>Другие предложения о поправках</w:t>
      </w:r>
    </w:p>
    <w:p w14:paraId="2304AAA6" w14:textId="77777777" w:rsidR="007A0320" w:rsidRPr="00363108" w:rsidRDefault="007A0320" w:rsidP="007A0320">
      <w:pPr>
        <w:pStyle w:val="H23G"/>
      </w:pPr>
      <w:r>
        <w:tab/>
        <w:t>1.</w:t>
      </w:r>
      <w:r>
        <w:tab/>
      </w:r>
      <w:r>
        <w:rPr>
          <w:bCs/>
        </w:rPr>
        <w:t>Специальные положения, применимые к перевозке самореактивных веществ класса 4.1, органических пероксидов класса 5.2 и веществ, стабилизируемых путем регулирования температуры (за исключением самореактивных веществ</w:t>
      </w:r>
      <w:r w:rsidR="00226B70">
        <w:rPr>
          <w:bCs/>
        </w:rPr>
        <w:br/>
      </w:r>
      <w:r>
        <w:rPr>
          <w:bCs/>
        </w:rPr>
        <w:t>и органических пероксидов): раздел 7.1.7</w:t>
      </w:r>
    </w:p>
    <w:p w14:paraId="05136D76" w14:textId="77777777" w:rsidR="007A0320" w:rsidRPr="00363108" w:rsidRDefault="007A0320" w:rsidP="00226B70">
      <w:pPr>
        <w:pStyle w:val="SingleTxtG"/>
        <w:tabs>
          <w:tab w:val="left" w:pos="3780"/>
        </w:tabs>
        <w:ind w:left="3780" w:hanging="2646"/>
        <w:jc w:val="left"/>
      </w:pPr>
      <w:r>
        <w:rPr>
          <w:i/>
          <w:iCs/>
        </w:rPr>
        <w:t>Документ</w:t>
      </w:r>
      <w:r w:rsidRPr="00805184">
        <w:rPr>
          <w:iCs/>
        </w:rPr>
        <w:t>:</w:t>
      </w:r>
      <w:r>
        <w:tab/>
        <w:t>ECE/TRANS/WP.15/AC.2/2019/6 (Германия)</w:t>
      </w:r>
    </w:p>
    <w:p w14:paraId="555B0276" w14:textId="77777777" w:rsidR="007A0320" w:rsidRPr="00363108" w:rsidRDefault="007A0320" w:rsidP="007A0320">
      <w:pPr>
        <w:pStyle w:val="SingleTxtG"/>
      </w:pPr>
      <w:r>
        <w:t>39.</w:t>
      </w:r>
      <w:r>
        <w:tab/>
        <w:t>Комитет по вопросам безопасности согласился с распределением обязанностей, предлагаемым в таблице в пункте 6 указанного документа для пунктов 7.1.7.4.1 а), 7.1.7.4.1 d) и 7.1.7.4.3. Достичь согласия в отношении обязанностей, предусмотренных в остальных пунктах, не удалось, поскольку представитель ЕСФХП разъяснил, что грузоотправители не всегда в состоянии выполнять их.</w:t>
      </w:r>
    </w:p>
    <w:p w14:paraId="1F7A445B" w14:textId="77777777" w:rsidR="007A0320" w:rsidRPr="00363108" w:rsidRDefault="007A0320" w:rsidP="007A0320">
      <w:pPr>
        <w:pStyle w:val="SingleTxtG"/>
      </w:pPr>
      <w:r>
        <w:t>40.</w:t>
      </w:r>
      <w:r>
        <w:tab/>
        <w:t>Комитет по вопросам безопасности также согласился в принципе</w:t>
      </w:r>
      <w:r w:rsidR="00226B70">
        <w:br/>
      </w:r>
      <w:r>
        <w:t>с предлагаемыми требованиями к укладке в соответствии с пунктом 8, однако счел, что текст двух последних абзацев нуждается в дальнейшем уточнении. Были поддержаны также сопутствующие поправки к колонке 11 таблицы А для перечисленных номеров ООН с некоторыми исправлениями, а именно: в перечень должен быть добавлен</w:t>
      </w:r>
      <w:r w:rsidR="00226B70">
        <w:t xml:space="preserve"> </w:t>
      </w:r>
      <w:r>
        <w:t>№ ООН 3235, а № ООН 3229 должен быть заменен</w:t>
      </w:r>
      <w:r w:rsidR="00226B70">
        <w:br/>
      </w:r>
      <w:r>
        <w:t>на № ООН 3239.</w:t>
      </w:r>
    </w:p>
    <w:p w14:paraId="309D2895" w14:textId="77777777" w:rsidR="007A0320" w:rsidRPr="00363108" w:rsidRDefault="007A0320" w:rsidP="007A0320">
      <w:pPr>
        <w:pStyle w:val="SingleTxtG"/>
      </w:pPr>
      <w:r>
        <w:t>41.</w:t>
      </w:r>
      <w:r>
        <w:tab/>
        <w:t>Комитет по вопросам безопасности предложил Германии представить на предстоящей сессии Совместного совещания МПОГ/ДОПОГ/ВОПОГ неофициальный документ, содержащий результаты обсуждений с просьбой высказать замечания в отношении толкований обязанностей, по которым Комитет по вопросам безопасности не смог достичь согласия, и представить Комитету по вопросам безопасности доклад по этому вопросу в августе текущего года.</w:t>
      </w:r>
    </w:p>
    <w:p w14:paraId="182AA796" w14:textId="77777777" w:rsidR="007A0320" w:rsidRPr="00363108" w:rsidRDefault="007A0320" w:rsidP="00226B70">
      <w:pPr>
        <w:pStyle w:val="H23G"/>
        <w:pageBreakBefore/>
      </w:pPr>
      <w:r>
        <w:lastRenderedPageBreak/>
        <w:tab/>
        <w:t>2.</w:t>
      </w:r>
      <w:r>
        <w:tab/>
      </w:r>
      <w:r>
        <w:rPr>
          <w:bCs/>
        </w:rPr>
        <w:t>Уточнение пункта 1.1.3.6.1</w:t>
      </w:r>
    </w:p>
    <w:p w14:paraId="376BD599" w14:textId="77777777" w:rsidR="007A0320" w:rsidRPr="00363108" w:rsidRDefault="007A0320" w:rsidP="00226B70">
      <w:pPr>
        <w:pStyle w:val="SingleTxtG"/>
        <w:tabs>
          <w:tab w:val="left" w:pos="3780"/>
        </w:tabs>
        <w:ind w:left="3780" w:hanging="2646"/>
        <w:jc w:val="left"/>
        <w:rPr>
          <w:bCs/>
          <w:iCs/>
        </w:rPr>
      </w:pPr>
      <w:r>
        <w:rPr>
          <w:i/>
          <w:iCs/>
        </w:rPr>
        <w:t>Документ</w:t>
      </w:r>
      <w:r w:rsidRPr="00805184">
        <w:rPr>
          <w:iCs/>
        </w:rPr>
        <w:t>:</w:t>
      </w:r>
      <w:r>
        <w:tab/>
        <w:t>ECE/TRANS/WP.15/AC.2/2019/10 (ЕСРС, ЕОС)</w:t>
      </w:r>
    </w:p>
    <w:p w14:paraId="3EEE1996" w14:textId="77777777" w:rsidR="007A0320" w:rsidRPr="00363108" w:rsidRDefault="007A0320" w:rsidP="007A0320">
      <w:pPr>
        <w:pStyle w:val="SingleTxtG"/>
      </w:pPr>
      <w:r>
        <w:t>42.</w:t>
      </w:r>
      <w:r>
        <w:tab/>
        <w:t>Предложение, содержащееся в пункте 5 указанного документа, было принято</w:t>
      </w:r>
      <w:r w:rsidR="00226B70">
        <w:br/>
      </w:r>
      <w:r>
        <w:t>с исправлением, касающимся освобожденных количеств веществ класса 7</w:t>
      </w:r>
      <w:r w:rsidR="00226B70">
        <w:br/>
      </w:r>
      <w:r>
        <w:t>(см. приложение I).</w:t>
      </w:r>
    </w:p>
    <w:p w14:paraId="4F586283" w14:textId="77777777" w:rsidR="007A0320" w:rsidRPr="00363108" w:rsidRDefault="007A0320" w:rsidP="007A0320">
      <w:pPr>
        <w:pStyle w:val="H23G"/>
      </w:pPr>
      <w:r>
        <w:tab/>
        <w:t>3.</w:t>
      </w:r>
      <w:r>
        <w:tab/>
      </w:r>
      <w:r>
        <w:rPr>
          <w:bCs/>
        </w:rPr>
        <w:t>Средства пожаротушения (пункт 9.1.0.40.1)</w:t>
      </w:r>
    </w:p>
    <w:p w14:paraId="0CC81F53" w14:textId="77777777" w:rsidR="007A0320" w:rsidRPr="00363108" w:rsidRDefault="007A0320" w:rsidP="00226B70">
      <w:pPr>
        <w:pStyle w:val="SingleTxtG"/>
        <w:tabs>
          <w:tab w:val="left" w:pos="3780"/>
        </w:tabs>
        <w:ind w:left="3780" w:hanging="2646"/>
        <w:jc w:val="left"/>
      </w:pPr>
      <w:r>
        <w:rPr>
          <w:i/>
          <w:iCs/>
        </w:rPr>
        <w:t>Документ</w:t>
      </w:r>
      <w:r w:rsidRPr="00805184">
        <w:rPr>
          <w:iCs/>
        </w:rPr>
        <w:t>:</w:t>
      </w:r>
      <w:r>
        <w:tab/>
        <w:t>ECE/TRANS/WP.15/AC.2/2019/11 (Бельгия)</w:t>
      </w:r>
    </w:p>
    <w:p w14:paraId="74665D8F" w14:textId="77777777" w:rsidR="007A0320" w:rsidRPr="00363108" w:rsidRDefault="007A0320" w:rsidP="007A0320">
      <w:pPr>
        <w:pStyle w:val="SingleTxtG"/>
      </w:pPr>
      <w:r>
        <w:t>43.</w:t>
      </w:r>
      <w:r>
        <w:tab/>
        <w:t>Это предложение не было принято. Комитет по вопросам безопасности не изъявил желания исключить положения, касающиеся размещения устройства для приведения в действие системы подачи воды, без более глубокого анализа последствий этого решения с точки зрения безопасности. Рекомендованным классификационным обществам ВОПОГ было предложено представить информацию о нынешней практике в отношении размещения средств пожаротушения на сухогрузных судах, с тем чтобы Комитет по вопросам безопасности мог принять обоснованное решение по данному вопросу.</w:t>
      </w:r>
    </w:p>
    <w:p w14:paraId="16202FD0" w14:textId="77777777" w:rsidR="007A0320" w:rsidRPr="00363108" w:rsidRDefault="007A0320" w:rsidP="007A0320">
      <w:pPr>
        <w:pStyle w:val="H23G"/>
      </w:pPr>
      <w:r>
        <w:tab/>
        <w:t>4.</w:t>
      </w:r>
      <w:r>
        <w:tab/>
      </w:r>
      <w:r>
        <w:rPr>
          <w:bCs/>
        </w:rPr>
        <w:t>Конструкционные материалы (подраздел 9.1.0.0)</w:t>
      </w:r>
    </w:p>
    <w:p w14:paraId="6BD6F196" w14:textId="77777777" w:rsidR="007A0320" w:rsidRPr="00363108" w:rsidRDefault="007A0320" w:rsidP="00226B70">
      <w:pPr>
        <w:pStyle w:val="SingleTxtG"/>
        <w:tabs>
          <w:tab w:val="left" w:pos="3780"/>
        </w:tabs>
        <w:ind w:left="3780" w:hanging="2646"/>
        <w:jc w:val="left"/>
      </w:pPr>
      <w:r>
        <w:rPr>
          <w:i/>
          <w:iCs/>
        </w:rPr>
        <w:t>Документ</w:t>
      </w:r>
      <w:r w:rsidRPr="00805184">
        <w:rPr>
          <w:iCs/>
        </w:rPr>
        <w:t>:</w:t>
      </w:r>
      <w:r>
        <w:tab/>
        <w:t>ECE/TRANS/WP.15/AC.2/2019/12 (Бельгия)</w:t>
      </w:r>
    </w:p>
    <w:p w14:paraId="2FFEFC15" w14:textId="77777777" w:rsidR="007A0320" w:rsidRPr="00363108" w:rsidRDefault="007A0320" w:rsidP="007A0320">
      <w:pPr>
        <w:tabs>
          <w:tab w:val="left" w:pos="1134"/>
          <w:tab w:val="left" w:pos="1701"/>
          <w:tab w:val="left" w:pos="3119"/>
        </w:tabs>
        <w:spacing w:after="120"/>
      </w:pPr>
      <w:r>
        <w:tab/>
        <w:t>44.</w:t>
      </w:r>
      <w:r>
        <w:tab/>
        <w:t>Представитель Бельгии снял с рассмотрения этот документ.</w:t>
      </w:r>
    </w:p>
    <w:p w14:paraId="64197D61" w14:textId="77777777" w:rsidR="007A0320" w:rsidRPr="00363108" w:rsidRDefault="007A0320" w:rsidP="007A0320">
      <w:pPr>
        <w:pStyle w:val="H23G"/>
      </w:pPr>
      <w:r>
        <w:tab/>
        <w:t>5.</w:t>
      </w:r>
      <w:r>
        <w:tab/>
      </w:r>
      <w:r>
        <w:rPr>
          <w:bCs/>
        </w:rPr>
        <w:t>Бункеровка сжиженным природным газом (СПГ)</w:t>
      </w:r>
    </w:p>
    <w:p w14:paraId="40EBE494" w14:textId="77777777" w:rsidR="007A0320" w:rsidRPr="00C57905" w:rsidRDefault="007A0320" w:rsidP="00226B70">
      <w:pPr>
        <w:pStyle w:val="SingleTxtG"/>
        <w:tabs>
          <w:tab w:val="left" w:pos="3780"/>
        </w:tabs>
        <w:ind w:left="3780" w:hanging="2646"/>
        <w:jc w:val="left"/>
      </w:pPr>
      <w:r>
        <w:rPr>
          <w:i/>
          <w:iCs/>
        </w:rPr>
        <w:t>Документ</w:t>
      </w:r>
      <w:r w:rsidRPr="00805184">
        <w:rPr>
          <w:iCs/>
        </w:rPr>
        <w:t>:</w:t>
      </w:r>
      <w:r>
        <w:tab/>
        <w:t>ECE/TRANS/WP.15/AC.2/2019/15 (Нидерланды)</w:t>
      </w:r>
    </w:p>
    <w:p w14:paraId="34ACE2A6" w14:textId="77777777" w:rsidR="007A0320" w:rsidRPr="00363108" w:rsidRDefault="007A0320" w:rsidP="00226B70">
      <w:pPr>
        <w:pStyle w:val="SingleTxtG"/>
      </w:pPr>
      <w:r>
        <w:t>45.</w:t>
      </w:r>
      <w:r>
        <w:tab/>
        <w:t>Комитет по вопросам безопасности согласился с тем, что бункеровка СПГ не может рассматриваться как погрузка или разгрузка, в силу чего нет необходимости вносить поправку в пункт 7.2.4.7.2, как это предлагается в пункте 4 указанного документа. Было отмечено, что бункеровка СПГ должна осуществляться только в соответствии с применимым местным, региональным или национальным законодательством, например портовыми правилами. В свете высказанных замечаний представитель Нидерландов снял предложение, содержащееся в пункте 4.</w:t>
      </w:r>
    </w:p>
    <w:p w14:paraId="677FCED2" w14:textId="77777777" w:rsidR="007A0320" w:rsidRPr="00363108" w:rsidRDefault="007A0320" w:rsidP="00226B70">
      <w:pPr>
        <w:pStyle w:val="SingleTxtG"/>
      </w:pPr>
      <w:r>
        <w:t>46.</w:t>
      </w:r>
      <w:r>
        <w:tab/>
        <w:t>Предложение о поправке к пункту 7.2.4.17.3 было принято с некоторыми изменениями (см. приложение I).</w:t>
      </w:r>
    </w:p>
    <w:p w14:paraId="2D2E4A4C" w14:textId="77777777" w:rsidR="007A0320" w:rsidRPr="00363108" w:rsidRDefault="007A0320" w:rsidP="00226B70">
      <w:pPr>
        <w:pStyle w:val="SingleTxtG"/>
      </w:pPr>
      <w:r>
        <w:t>47.</w:t>
      </w:r>
      <w:r>
        <w:tab/>
        <w:t>После обмена мнениями по предложениям, содержащимся в пунктах 6 и 7 указанного документа, Комитет по вопросам безопасности предложил представителю Нидерландов рассмотреть их в свете высказанных замечаний и представить пересмотренное предложение для следующей сессии.</w:t>
      </w:r>
    </w:p>
    <w:p w14:paraId="63E510B0" w14:textId="77777777" w:rsidR="007A0320" w:rsidRPr="00363108" w:rsidRDefault="007A0320" w:rsidP="007A0320">
      <w:pPr>
        <w:pStyle w:val="H23G"/>
      </w:pPr>
      <w:r>
        <w:tab/>
        <w:t>6.</w:t>
      </w:r>
      <w:r>
        <w:tab/>
      </w:r>
      <w:r>
        <w:rPr>
          <w:bCs/>
        </w:rPr>
        <w:t>Поправки и исправления к Правилам, прилагаемым к ВОПОГ</w:t>
      </w:r>
    </w:p>
    <w:p w14:paraId="65BE09ED" w14:textId="77777777" w:rsidR="007A0320" w:rsidRPr="00C57905" w:rsidRDefault="007A0320" w:rsidP="00226B70">
      <w:pPr>
        <w:pStyle w:val="SingleTxtG"/>
        <w:tabs>
          <w:tab w:val="left" w:pos="3780"/>
        </w:tabs>
        <w:ind w:left="3780" w:hanging="2646"/>
        <w:jc w:val="left"/>
      </w:pPr>
      <w:r>
        <w:rPr>
          <w:i/>
          <w:iCs/>
        </w:rPr>
        <w:t>Документ</w:t>
      </w:r>
      <w:r w:rsidRPr="00805184">
        <w:rPr>
          <w:iCs/>
        </w:rPr>
        <w:t>:</w:t>
      </w:r>
      <w:r>
        <w:tab/>
        <w:t>ECE/TRANS/WP.15/AC.2/2019/17 (секретариат)</w:t>
      </w:r>
    </w:p>
    <w:p w14:paraId="468FA8B5" w14:textId="77777777" w:rsidR="007A0320" w:rsidRPr="00363108" w:rsidRDefault="007A0320" w:rsidP="007A0320">
      <w:pPr>
        <w:pStyle w:val="SingleTxtG"/>
      </w:pPr>
      <w:r>
        <w:t>48.</w:t>
      </w:r>
      <w:r>
        <w:tab/>
        <w:t>Комитет по вопросам безопасности принял сопутствующие поправки и исправления к подразделам 3.2.3.1, 7.2.3.7, определению «Отстои»</w:t>
      </w:r>
      <w:r w:rsidR="005600BF">
        <w:br/>
      </w:r>
      <w:r>
        <w:t>и подразделу</w:t>
      </w:r>
      <w:r w:rsidR="005600BF">
        <w:t> </w:t>
      </w:r>
      <w:r>
        <w:t>1.8.3.3 (шестой и девятый подпункты), а также исправление к тексту части</w:t>
      </w:r>
      <w:r w:rsidR="005600BF">
        <w:t> </w:t>
      </w:r>
      <w:r>
        <w:t>B подраздела 3.2.4.3 на английском языке, с тем чтобы привести его в соответствие с текстами на других языках (см. приложения I и II).</w:t>
      </w:r>
    </w:p>
    <w:p w14:paraId="1047F8E8" w14:textId="77777777" w:rsidR="007A0320" w:rsidRPr="00363108" w:rsidRDefault="007A0320" w:rsidP="007A0320">
      <w:pPr>
        <w:pStyle w:val="SingleTxtG"/>
      </w:pPr>
      <w:r>
        <w:t>49.</w:t>
      </w:r>
      <w:r>
        <w:tab/>
        <w:t>Рассмотрение вопроса, затронутого в пункте 7 указанного документа, было поручено неофициальной рабочей группе по веществам.</w:t>
      </w:r>
    </w:p>
    <w:p w14:paraId="342484E5" w14:textId="77777777" w:rsidR="007A0320" w:rsidRPr="00363108" w:rsidRDefault="007A0320" w:rsidP="007A0320">
      <w:pPr>
        <w:pStyle w:val="SingleTxtG"/>
        <w:spacing w:after="0"/>
      </w:pPr>
      <w:r>
        <w:t>50.</w:t>
      </w:r>
      <w:r>
        <w:tab/>
        <w:t>Отметив, что Комитет по вопросам безопасности часто рассматривает предложения о внесении исправлений для устранения расхождений между текстами на разных языках, Председатель вызвался разработать предложение о совершенствовании методов решения таких вопросов в будущем.</w:t>
      </w:r>
    </w:p>
    <w:p w14:paraId="780B09E6" w14:textId="77777777" w:rsidR="007A0320" w:rsidRPr="00C57905" w:rsidRDefault="007A0320" w:rsidP="007A0320">
      <w:pPr>
        <w:pStyle w:val="H23G"/>
      </w:pPr>
      <w:r>
        <w:lastRenderedPageBreak/>
        <w:tab/>
        <w:t>7.</w:t>
      </w:r>
      <w:r>
        <w:tab/>
      </w:r>
      <w:r>
        <w:rPr>
          <w:bCs/>
        </w:rPr>
        <w:t>Таблица C: № ООН 3295</w:t>
      </w:r>
    </w:p>
    <w:p w14:paraId="5A87AC0C" w14:textId="77777777" w:rsidR="007A0320" w:rsidRPr="00C57905" w:rsidRDefault="007A0320" w:rsidP="00226B70">
      <w:pPr>
        <w:pStyle w:val="SingleTxtG"/>
        <w:tabs>
          <w:tab w:val="left" w:pos="3780"/>
        </w:tabs>
        <w:ind w:left="3780" w:hanging="2646"/>
        <w:jc w:val="left"/>
      </w:pPr>
      <w:r>
        <w:rPr>
          <w:i/>
          <w:iCs/>
        </w:rPr>
        <w:t>Неофициальный документ</w:t>
      </w:r>
      <w:r w:rsidRPr="00805184">
        <w:rPr>
          <w:iCs/>
        </w:rPr>
        <w:t>:</w:t>
      </w:r>
      <w:r>
        <w:tab/>
        <w:t>INF.2 (Германия)</w:t>
      </w:r>
    </w:p>
    <w:p w14:paraId="21E02CFD" w14:textId="77777777" w:rsidR="007A0320" w:rsidRPr="00363108" w:rsidRDefault="007A0320" w:rsidP="007A0320">
      <w:pPr>
        <w:pStyle w:val="SingleTxtG"/>
        <w:spacing w:after="0"/>
      </w:pPr>
      <w:r>
        <w:t>51.</w:t>
      </w:r>
      <w:r>
        <w:tab/>
        <w:t>Комитет по вопросам безопасности поручил рассмотрение данного предложения неофициальной рабочей группе по веществам.</w:t>
      </w:r>
    </w:p>
    <w:bookmarkEnd w:id="14"/>
    <w:p w14:paraId="302ABD94" w14:textId="77777777" w:rsidR="007A0320" w:rsidRPr="00363108" w:rsidRDefault="007A0320" w:rsidP="007A0320">
      <w:pPr>
        <w:pStyle w:val="H23G"/>
      </w:pPr>
      <w:r>
        <w:tab/>
        <w:t>8.</w:t>
      </w:r>
      <w:r>
        <w:tab/>
      </w:r>
      <w:r>
        <w:rPr>
          <w:bCs/>
        </w:rPr>
        <w:t>Предложения о внесении поправок в ссылки на ЕПСВВП в ВОПОГ</w:t>
      </w:r>
    </w:p>
    <w:p w14:paraId="72B79E2B" w14:textId="77777777" w:rsidR="007A0320" w:rsidRPr="00363108" w:rsidRDefault="007A0320" w:rsidP="00226B70">
      <w:pPr>
        <w:pStyle w:val="SingleTxtG"/>
        <w:tabs>
          <w:tab w:val="left" w:pos="3780"/>
        </w:tabs>
        <w:ind w:left="3780" w:hanging="2646"/>
        <w:jc w:val="left"/>
      </w:pPr>
      <w:r>
        <w:rPr>
          <w:i/>
          <w:iCs/>
        </w:rPr>
        <w:t>Неофициальный документ</w:t>
      </w:r>
      <w:r w:rsidRPr="00805184">
        <w:rPr>
          <w:iCs/>
        </w:rPr>
        <w:t>:</w:t>
      </w:r>
      <w:r>
        <w:tab/>
        <w:t>INF.5 (ЦКСР)</w:t>
      </w:r>
    </w:p>
    <w:p w14:paraId="093BDBCC" w14:textId="77777777" w:rsidR="007A0320" w:rsidRPr="00363108" w:rsidRDefault="007A0320" w:rsidP="007A0320">
      <w:pPr>
        <w:pStyle w:val="SingleTxtG"/>
      </w:pPr>
      <w:r>
        <w:t>52.</w:t>
      </w:r>
      <w:r>
        <w:tab/>
        <w:t>Комитет по вопросам безопасности счел, что для оценки последствий предлагаемых поправок необходимо больше времени, и предложил секретариату ЦКСР рассмотреть возможность представления официального документа для следующей сессии.</w:t>
      </w:r>
    </w:p>
    <w:p w14:paraId="586BE478" w14:textId="77777777" w:rsidR="007A0320" w:rsidRPr="00363108" w:rsidRDefault="007A0320" w:rsidP="007A0320">
      <w:pPr>
        <w:pStyle w:val="H23G"/>
      </w:pPr>
      <w:r>
        <w:tab/>
        <w:t>9.</w:t>
      </w:r>
      <w:r>
        <w:tab/>
      </w:r>
      <w:r>
        <w:rPr>
          <w:bCs/>
        </w:rPr>
        <w:t>Исправление, касающееся примеров типов судов в подразделе 1.2.1</w:t>
      </w:r>
    </w:p>
    <w:p w14:paraId="3E28B4BF" w14:textId="77777777" w:rsidR="007A0320" w:rsidRPr="00363108" w:rsidRDefault="007A0320" w:rsidP="00226B70">
      <w:pPr>
        <w:pStyle w:val="SingleTxtG"/>
        <w:tabs>
          <w:tab w:val="left" w:pos="3780"/>
        </w:tabs>
        <w:ind w:left="3780" w:hanging="2646"/>
        <w:jc w:val="left"/>
      </w:pPr>
      <w:r>
        <w:rPr>
          <w:i/>
          <w:iCs/>
        </w:rPr>
        <w:t>Неофициальный документ</w:t>
      </w:r>
      <w:r w:rsidRPr="00805184">
        <w:rPr>
          <w:iCs/>
        </w:rPr>
        <w:t>:</w:t>
      </w:r>
      <w:r>
        <w:tab/>
        <w:t>INF.6 (Австрия)</w:t>
      </w:r>
    </w:p>
    <w:p w14:paraId="3AAAE578" w14:textId="77777777" w:rsidR="007A0320" w:rsidRPr="00363108" w:rsidRDefault="007A0320" w:rsidP="007A0320">
      <w:pPr>
        <w:pStyle w:val="SingleTxtG"/>
      </w:pPr>
      <w:r>
        <w:t>53.</w:t>
      </w:r>
      <w:r>
        <w:tab/>
        <w:t>Было отмечено, что суда типа С представляют собой суда с двойным корпусом и что грузовые танки типа 3 не используются для судов типа С. На этом основании Комитет по вопросам безопасности счел, что предлагаемое исправление не является уместным, и не принял его.</w:t>
      </w:r>
    </w:p>
    <w:p w14:paraId="4931FD84" w14:textId="77777777" w:rsidR="007A0320" w:rsidRPr="00363108" w:rsidRDefault="007A0320" w:rsidP="007A0320">
      <w:pPr>
        <w:pStyle w:val="H23G"/>
      </w:pPr>
      <w:r>
        <w:tab/>
        <w:t>10.</w:t>
      </w:r>
      <w:r>
        <w:tab/>
      </w:r>
      <w:r>
        <w:rPr>
          <w:bCs/>
        </w:rPr>
        <w:t>Обновление судовых перечней проверок в соответствии с пунктом 1.8.1.2.1</w:t>
      </w:r>
    </w:p>
    <w:p w14:paraId="1DD79163" w14:textId="77777777" w:rsidR="007A0320" w:rsidRPr="00363108" w:rsidRDefault="007A0320" w:rsidP="00226B70">
      <w:pPr>
        <w:pStyle w:val="SingleTxtG"/>
        <w:tabs>
          <w:tab w:val="left" w:pos="3780"/>
        </w:tabs>
        <w:ind w:left="3780" w:hanging="2646"/>
        <w:jc w:val="left"/>
      </w:pPr>
      <w:r>
        <w:rPr>
          <w:i/>
          <w:iCs/>
        </w:rPr>
        <w:t>Неофициальный документ</w:t>
      </w:r>
      <w:r>
        <w:t>:</w:t>
      </w:r>
      <w:r>
        <w:tab/>
        <w:t>INF.7 (Австрия)</w:t>
      </w:r>
    </w:p>
    <w:p w14:paraId="71F15409" w14:textId="77777777" w:rsidR="007A0320" w:rsidRPr="00363108" w:rsidRDefault="007A0320" w:rsidP="007A0320">
      <w:pPr>
        <w:pStyle w:val="SingleTxtG"/>
      </w:pPr>
      <w:r>
        <w:t>54.</w:t>
      </w:r>
      <w:r>
        <w:tab/>
        <w:t>Комитет по вопросам безопасности согласился с представителем Австрии в отношении необходимости обновления судового перечня проверок с учетом положений издания ВОПОГ 2019 года. Представители Германии, Нидерландов и Франции изъявили готовность сотрудничать с представителем Австрии в разработке предложения для следующей сессии на основе неофициального документа INF.7. Комитет по вопросам безопасности призвал их добиваться привлечения к этой работе национальных инспекционных органов и других соответствующих заинтересованных сторон.</w:t>
      </w:r>
    </w:p>
    <w:p w14:paraId="5231CBA3" w14:textId="77777777" w:rsidR="007A0320" w:rsidRPr="00363108" w:rsidRDefault="007A0320" w:rsidP="007A0320">
      <w:pPr>
        <w:pStyle w:val="H23G"/>
      </w:pPr>
      <w:r>
        <w:tab/>
        <w:t>11.</w:t>
      </w:r>
      <w:r>
        <w:tab/>
      </w:r>
      <w:r>
        <w:rPr>
          <w:bCs/>
        </w:rPr>
        <w:t>Подраздел 3.2.3.3, схема А: Критерии, применяемые к оборудованию грузовых танков судов типа С</w:t>
      </w:r>
    </w:p>
    <w:p w14:paraId="5B5E1B7B" w14:textId="77777777" w:rsidR="007A0320" w:rsidRPr="00363108" w:rsidRDefault="007A0320" w:rsidP="00226B70">
      <w:pPr>
        <w:pStyle w:val="SingleTxtG"/>
        <w:tabs>
          <w:tab w:val="left" w:pos="3780"/>
        </w:tabs>
        <w:ind w:left="3780" w:hanging="2646"/>
        <w:jc w:val="left"/>
      </w:pPr>
      <w:r>
        <w:rPr>
          <w:i/>
          <w:iCs/>
        </w:rPr>
        <w:t>Неофициальный документ</w:t>
      </w:r>
      <w:r w:rsidRPr="00805184">
        <w:rPr>
          <w:iCs/>
        </w:rPr>
        <w:t>:</w:t>
      </w:r>
      <w:r>
        <w:tab/>
        <w:t>INF.10 (Нидерланды)</w:t>
      </w:r>
    </w:p>
    <w:p w14:paraId="445133C5" w14:textId="77777777" w:rsidR="007A0320" w:rsidRPr="00363108" w:rsidRDefault="007A0320" w:rsidP="007A0320">
      <w:pPr>
        <w:pStyle w:val="SingleTxtG"/>
        <w:keepNext/>
        <w:keepLines/>
      </w:pPr>
      <w:r>
        <w:t>55.</w:t>
      </w:r>
      <w:r>
        <w:tab/>
        <w:t>Комитет по вопросам безопасности согласился с исправлениями к подразделу</w:t>
      </w:r>
      <w:r w:rsidR="00226B70">
        <w:t> </w:t>
      </w:r>
      <w:r>
        <w:t>3.2.3.3 (схема А), приведенными в пункте 5 указанного неофициального документа (см. приложение III). Было отмечено, что эти исправления не применяются к варианту ВОПОГ на немецком языке.</w:t>
      </w:r>
    </w:p>
    <w:p w14:paraId="7A3BF098" w14:textId="77777777" w:rsidR="007A0320" w:rsidRPr="00363108" w:rsidRDefault="007A0320" w:rsidP="007A0320">
      <w:pPr>
        <w:pStyle w:val="SingleTxtG"/>
      </w:pPr>
      <w:r>
        <w:t>56.</w:t>
      </w:r>
      <w:r>
        <w:tab/>
        <w:t>Принимая к сведению содержащуюся в пункте 2 неофициального документа информацию о сложности схем, приведенных в подразделе 3.2.3.3, Комитет по вопросам безопасности предложил неофициальной группе по веществам изучить эти схемы и рассмотреть вопрос о разработке предложений по повышению их удобства для пользователей.</w:t>
      </w:r>
    </w:p>
    <w:p w14:paraId="6889E3DD" w14:textId="77777777" w:rsidR="007A0320" w:rsidRPr="00363108" w:rsidRDefault="007A0320" w:rsidP="007A0320">
      <w:pPr>
        <w:pStyle w:val="H23G"/>
      </w:pPr>
      <w:r>
        <w:tab/>
        <w:t>12.</w:t>
      </w:r>
      <w:r>
        <w:tab/>
      </w:r>
      <w:r>
        <w:rPr>
          <w:bCs/>
        </w:rPr>
        <w:t>Определение «Газовозвратный трубопровод (береговой)» в разделе 1.2.1</w:t>
      </w:r>
    </w:p>
    <w:p w14:paraId="0CF77DD0" w14:textId="77777777" w:rsidR="007A0320" w:rsidRPr="00363108" w:rsidRDefault="007A0320" w:rsidP="00226B70">
      <w:pPr>
        <w:pStyle w:val="SingleTxtG"/>
        <w:tabs>
          <w:tab w:val="left" w:pos="3780"/>
        </w:tabs>
        <w:ind w:left="3780" w:hanging="2646"/>
        <w:jc w:val="left"/>
      </w:pPr>
      <w:r>
        <w:rPr>
          <w:i/>
          <w:iCs/>
        </w:rPr>
        <w:t>Неофициальный документ</w:t>
      </w:r>
      <w:r w:rsidRPr="00805184">
        <w:rPr>
          <w:iCs/>
        </w:rPr>
        <w:t>:</w:t>
      </w:r>
      <w:r>
        <w:tab/>
        <w:t>INF.18 (ЕСФХП)</w:t>
      </w:r>
    </w:p>
    <w:p w14:paraId="0DA256F4" w14:textId="77777777" w:rsidR="007A0320" w:rsidRPr="00363108" w:rsidRDefault="007A0320" w:rsidP="007A0320">
      <w:pPr>
        <w:pStyle w:val="SingleTxtG"/>
      </w:pPr>
      <w:r>
        <w:t>57.</w:t>
      </w:r>
      <w:r>
        <w:tab/>
        <w:t>Комитет по вопросам безопасности согласился в принципе с поправками, предложенными представителем ЕСФХП, и предложил ему представить официальный документ для принятия на следующей сессии.</w:t>
      </w:r>
    </w:p>
    <w:p w14:paraId="27EE7F92" w14:textId="77777777" w:rsidR="007A0320" w:rsidRPr="00363108" w:rsidRDefault="007A0320" w:rsidP="00226B70">
      <w:pPr>
        <w:pStyle w:val="H23G"/>
        <w:pageBreakBefore/>
      </w:pPr>
      <w:r>
        <w:lastRenderedPageBreak/>
        <w:tab/>
        <w:t>13.</w:t>
      </w:r>
      <w:r>
        <w:tab/>
      </w:r>
      <w:r>
        <w:rPr>
          <w:bCs/>
        </w:rPr>
        <w:t>Заголовки колонок таблицы С</w:t>
      </w:r>
    </w:p>
    <w:p w14:paraId="03A0CEF9" w14:textId="77777777" w:rsidR="007A0320" w:rsidRPr="00226B70" w:rsidRDefault="007A0320" w:rsidP="00226B70">
      <w:pPr>
        <w:pStyle w:val="SingleTxtG"/>
        <w:tabs>
          <w:tab w:val="left" w:pos="3780"/>
        </w:tabs>
        <w:ind w:left="3780" w:hanging="2646"/>
        <w:jc w:val="left"/>
        <w:rPr>
          <w:i/>
          <w:iCs/>
        </w:rPr>
      </w:pPr>
      <w:r>
        <w:rPr>
          <w:i/>
          <w:iCs/>
        </w:rPr>
        <w:t>Документ</w:t>
      </w:r>
      <w:r w:rsidRPr="00805184">
        <w:rPr>
          <w:iCs/>
        </w:rPr>
        <w:t>:</w:t>
      </w:r>
      <w:r w:rsidRPr="00226B70">
        <w:rPr>
          <w:i/>
          <w:iCs/>
        </w:rPr>
        <w:tab/>
      </w:r>
      <w:r w:rsidRPr="00226B70">
        <w:rPr>
          <w:iCs/>
        </w:rPr>
        <w:t>ECE/TRANS/WP.15/AC.2/2019/13 (ЕСРС и ЕОС)</w:t>
      </w:r>
    </w:p>
    <w:p w14:paraId="4B30CC25" w14:textId="2C5D46BC" w:rsidR="007A0320" w:rsidRPr="00226B70" w:rsidRDefault="007A0320" w:rsidP="00226B70">
      <w:pPr>
        <w:pStyle w:val="SingleTxtG"/>
        <w:tabs>
          <w:tab w:val="left" w:pos="3780"/>
        </w:tabs>
        <w:ind w:left="3780" w:hanging="2646"/>
        <w:jc w:val="left"/>
        <w:rPr>
          <w:iCs/>
        </w:rPr>
      </w:pPr>
      <w:r w:rsidRPr="00226B70">
        <w:rPr>
          <w:i/>
          <w:iCs/>
        </w:rPr>
        <w:t>Неофициальный документ</w:t>
      </w:r>
      <w:r w:rsidRPr="00805184">
        <w:rPr>
          <w:iCs/>
        </w:rPr>
        <w:t>:</w:t>
      </w:r>
      <w:r w:rsidRPr="00226B70">
        <w:rPr>
          <w:i/>
          <w:iCs/>
        </w:rPr>
        <w:tab/>
      </w:r>
      <w:r w:rsidRPr="00226B70">
        <w:rPr>
          <w:iCs/>
        </w:rPr>
        <w:t>INF.20 (</w:t>
      </w:r>
      <w:r w:rsidR="00E658D9" w:rsidRPr="00226B70">
        <w:rPr>
          <w:iCs/>
        </w:rPr>
        <w:t>Люксембург,</w:t>
      </w:r>
      <w:r w:rsidR="00E658D9">
        <w:rPr>
          <w:iCs/>
        </w:rPr>
        <w:t xml:space="preserve"> </w:t>
      </w:r>
      <w:r w:rsidR="00E658D9" w:rsidRPr="00226B70">
        <w:rPr>
          <w:iCs/>
        </w:rPr>
        <w:t>Германия,</w:t>
      </w:r>
      <w:r w:rsidR="00E658D9">
        <w:rPr>
          <w:iCs/>
        </w:rPr>
        <w:t xml:space="preserve"> </w:t>
      </w:r>
      <w:r w:rsidR="004C33A1" w:rsidRPr="00226B70">
        <w:rPr>
          <w:iCs/>
        </w:rPr>
        <w:t>Австрия,</w:t>
      </w:r>
      <w:r w:rsidR="004C33A1">
        <w:rPr>
          <w:iCs/>
        </w:rPr>
        <w:t xml:space="preserve"> </w:t>
      </w:r>
      <w:r w:rsidRPr="00226B70">
        <w:rPr>
          <w:iCs/>
        </w:rPr>
        <w:t>Нидерланды, ЕСРС и ЕОС)</w:t>
      </w:r>
    </w:p>
    <w:p w14:paraId="2A148F4B" w14:textId="77777777" w:rsidR="007A0320" w:rsidRPr="00363108" w:rsidRDefault="007A0320" w:rsidP="007A0320">
      <w:pPr>
        <w:pStyle w:val="SingleTxtG"/>
      </w:pPr>
      <w:r>
        <w:t>58.</w:t>
      </w:r>
      <w:r>
        <w:tab/>
        <w:t>Комитет по вопросам безопасности принял предложение ЕСРС и ЕОС с поправками, содержащимися в неофициальном документе INF.20 (см. приложение I).</w:t>
      </w:r>
    </w:p>
    <w:p w14:paraId="71CA00A4" w14:textId="77777777" w:rsidR="007A0320" w:rsidRPr="00363108" w:rsidRDefault="007A0320" w:rsidP="007A0320">
      <w:pPr>
        <w:pStyle w:val="H23G"/>
      </w:pPr>
      <w:r>
        <w:tab/>
        <w:t>14.</w:t>
      </w:r>
      <w:r>
        <w:tab/>
      </w:r>
      <w:r>
        <w:rPr>
          <w:bCs/>
        </w:rPr>
        <w:t>Внедрение измененной концепции взрывозащиты на судах внутреннего плавания: вопросы толкования</w:t>
      </w:r>
    </w:p>
    <w:p w14:paraId="6D878FF5" w14:textId="77777777" w:rsidR="007A0320" w:rsidRPr="00363108" w:rsidRDefault="007A0320" w:rsidP="00226B70">
      <w:pPr>
        <w:pStyle w:val="SingleTxtG"/>
        <w:tabs>
          <w:tab w:val="left" w:pos="3780"/>
        </w:tabs>
        <w:ind w:left="3780" w:hanging="2646"/>
        <w:jc w:val="left"/>
      </w:pPr>
      <w:r>
        <w:rPr>
          <w:i/>
          <w:iCs/>
        </w:rPr>
        <w:t>Документ</w:t>
      </w:r>
      <w:r w:rsidRPr="00805184">
        <w:rPr>
          <w:iCs/>
        </w:rPr>
        <w:t>:</w:t>
      </w:r>
      <w:r>
        <w:tab/>
        <w:t>ECE/TRANS/WP.15/AC.2/2019/4 (Германия)</w:t>
      </w:r>
    </w:p>
    <w:p w14:paraId="04AA97ED" w14:textId="77777777" w:rsidR="007A0320" w:rsidRPr="00363108" w:rsidRDefault="007A0320" w:rsidP="007A0320">
      <w:pPr>
        <w:pStyle w:val="SingleTxtG"/>
      </w:pPr>
      <w:r>
        <w:t>59.</w:t>
      </w:r>
      <w:r>
        <w:tab/>
        <w:t>Комитет по вопросам безопасности принял предложения, содержащиеся в разделах A.2, D, E, F, G, J, L, M, N (перечень обязательных проверок, вопрос 14) и O, с некоторыми поправками к подразделу 1.6.7.5, сопутствующей поправкой к пункту</w:t>
      </w:r>
      <w:r w:rsidR="007F4A18">
        <w:t> </w:t>
      </w:r>
      <w:r>
        <w:t>9.3.3.52.2 (только на немецком языке) и исправлением к пункту 7.2.3.29.1 (второе предложение) (см. приложения I , II и III).</w:t>
      </w:r>
    </w:p>
    <w:p w14:paraId="1F93248F" w14:textId="77777777" w:rsidR="007A0320" w:rsidRPr="00363108" w:rsidRDefault="007A0320" w:rsidP="007A0320">
      <w:pPr>
        <w:pStyle w:val="SingleTxtG"/>
      </w:pPr>
      <w:r>
        <w:t>60.</w:t>
      </w:r>
      <w:r>
        <w:tab/>
        <w:t>Отмечая, что вопросы, затронутые в разделах B, H (поправка к пункту 7.1.4.4.4), P и Q, уже были урегулированы в издании ВОПОГ 2019 года, представитель Германии снял с рассмотрения связанные с ними предложения.</w:t>
      </w:r>
    </w:p>
    <w:p w14:paraId="6AEE4409" w14:textId="77777777" w:rsidR="007A0320" w:rsidRPr="00363108" w:rsidRDefault="007A0320" w:rsidP="007A0320">
      <w:pPr>
        <w:pStyle w:val="SingleTxtG"/>
      </w:pPr>
      <w:proofErr w:type="gramStart"/>
      <w:r>
        <w:t>61.</w:t>
      </w:r>
      <w:r>
        <w:tab/>
        <w:t>В</w:t>
      </w:r>
      <w:proofErr w:type="gramEnd"/>
      <w:r>
        <w:t xml:space="preserve"> отношении остальных предложений о поправках Комитет по вопросам безопасности принял следующие решения:</w:t>
      </w:r>
    </w:p>
    <w:p w14:paraId="51B4EF0D" w14:textId="77777777" w:rsidR="007A0320" w:rsidRPr="00363108" w:rsidRDefault="005600BF" w:rsidP="007A0320">
      <w:pPr>
        <w:pStyle w:val="Bullet1G"/>
        <w:numPr>
          <w:ilvl w:val="0"/>
          <w:numId w:val="29"/>
        </w:numPr>
      </w:pPr>
      <w:r>
        <w:t>п</w:t>
      </w:r>
      <w:r w:rsidR="007A0320">
        <w:t>о разделу А.1 (определение термина «Установка (электрическая или неэлектрическая)»): данное предложение не было принято, поскольку, по мнению нескольких делегаций, предлагаемое определение является неясным. Представителю Германии было предложено рассмотреть вопрос о внесении в него поправок для разъяснения того, что подвижные элементы оборудования не подпадают под это определение, и представить пересмотренное предложение для следующей сессии</w:t>
      </w:r>
      <w:r>
        <w:t>;</w:t>
      </w:r>
    </w:p>
    <w:p w14:paraId="2543A136" w14:textId="77777777" w:rsidR="007A0320" w:rsidRPr="00363108" w:rsidRDefault="005600BF" w:rsidP="007A0320">
      <w:pPr>
        <w:pStyle w:val="Bullet1G"/>
        <w:numPr>
          <w:ilvl w:val="0"/>
          <w:numId w:val="29"/>
        </w:numPr>
      </w:pPr>
      <w:r>
        <w:t>п</w:t>
      </w:r>
      <w:r w:rsidR="007A0320">
        <w:t>о разделу I (поправка к пункту 7.2.4.16.4): Комитет по вопросам безопасности предложил представителю Германии дополнительно рассмотреть это предложение с учетом озабоченности Австрии в отношении необходимости держать двери поперечной переборки закрытыми во время погрузки и разгрузки судов, еще не соответствующих новым положениям</w:t>
      </w:r>
      <w:r>
        <w:t>;</w:t>
      </w:r>
    </w:p>
    <w:p w14:paraId="2E8C6624" w14:textId="77777777" w:rsidR="007A0320" w:rsidRPr="00A66477" w:rsidRDefault="005600BF" w:rsidP="007A0320">
      <w:pPr>
        <w:pStyle w:val="Bullet1G"/>
        <w:numPr>
          <w:ilvl w:val="0"/>
          <w:numId w:val="29"/>
        </w:numPr>
      </w:pPr>
      <w:r>
        <w:t>п</w:t>
      </w:r>
      <w:r w:rsidR="007A0320">
        <w:t>о разделу N (поправка, касающаяся пояснения к вопросу 11 в перечне обязательных проверок в разделе 8.6.3): Комитет по вопросам безопасности не согласился принять данное предложение. Было указано, что в том виде, в каком оно сформулировано, оно может ввести в заблуждение и не охватывает все возможные ситуации, когда требуется телефонное оборудование и радиооборудование взрывозащищенного типа. Представитель Германии снял с рассмотрения данное предложение</w:t>
      </w:r>
      <w:r>
        <w:t>;</w:t>
      </w:r>
    </w:p>
    <w:p w14:paraId="5B373E88" w14:textId="77777777" w:rsidR="007A0320" w:rsidRPr="00363108" w:rsidRDefault="005600BF" w:rsidP="007A0320">
      <w:pPr>
        <w:pStyle w:val="Bullet1G"/>
        <w:numPr>
          <w:ilvl w:val="0"/>
          <w:numId w:val="29"/>
        </w:numPr>
      </w:pPr>
      <w:r>
        <w:t>п</w:t>
      </w:r>
      <w:r w:rsidR="007A0320">
        <w:t>о разделу R: Комитет по вопросам безопасности согласился с тем, что терминология должна использоваться в ВОПОГ последовательно, и постановил заменить «</w:t>
      </w:r>
      <w:proofErr w:type="spellStart"/>
      <w:r w:rsidR="007A0320">
        <w:t>self-contained</w:t>
      </w:r>
      <w:proofErr w:type="spellEnd"/>
      <w:r w:rsidR="007A0320">
        <w:t xml:space="preserve"> </w:t>
      </w:r>
      <w:proofErr w:type="spellStart"/>
      <w:r w:rsidR="007A0320">
        <w:t>protection</w:t>
      </w:r>
      <w:proofErr w:type="spellEnd"/>
      <w:r w:rsidR="007A0320">
        <w:t xml:space="preserve"> </w:t>
      </w:r>
      <w:proofErr w:type="spellStart"/>
      <w:r w:rsidR="007A0320">
        <w:t>systems</w:t>
      </w:r>
      <w:proofErr w:type="spellEnd"/>
      <w:r w:rsidR="007A0320">
        <w:t>» на «</w:t>
      </w:r>
      <w:proofErr w:type="spellStart"/>
      <w:r w:rsidR="007A0320">
        <w:t>autonomous</w:t>
      </w:r>
      <w:proofErr w:type="spellEnd"/>
      <w:r w:rsidR="007A0320">
        <w:t xml:space="preserve"> </w:t>
      </w:r>
      <w:proofErr w:type="spellStart"/>
      <w:r w:rsidR="007A0320">
        <w:t>protection</w:t>
      </w:r>
      <w:proofErr w:type="spellEnd"/>
      <w:r w:rsidR="007A0320">
        <w:t xml:space="preserve"> </w:t>
      </w:r>
      <w:proofErr w:type="spellStart"/>
      <w:r w:rsidR="007A0320">
        <w:t>system</w:t>
      </w:r>
      <w:proofErr w:type="spellEnd"/>
      <w:r w:rsidR="007A0320">
        <w:t>» («автономная система защиты») во всем тексте на английском языке</w:t>
      </w:r>
      <w:r>
        <w:br/>
      </w:r>
      <w:r w:rsidR="007A0320">
        <w:t>(см. приложение II).</w:t>
      </w:r>
    </w:p>
    <w:p w14:paraId="7166BDDF" w14:textId="77777777" w:rsidR="007A0320" w:rsidRPr="00C57905" w:rsidRDefault="007A0320" w:rsidP="007A0320">
      <w:pPr>
        <w:pStyle w:val="SingleTxtG"/>
      </w:pPr>
      <w:r>
        <w:t>62.</w:t>
      </w:r>
      <w:r>
        <w:tab/>
        <w:t>Что касается вопроса, поднятого в разделе С (пункты 9–10), то Комитет по вопросам безопасности подтвердил, что переходное положение пункта 1.6.7.2.2.2 применимо только к первому абзацу пункта 9.</w:t>
      </w:r>
      <w:proofErr w:type="gramStart"/>
      <w:r>
        <w:t>3.x.</w:t>
      </w:r>
      <w:proofErr w:type="gramEnd"/>
      <w:r>
        <w:t>53.1.</w:t>
      </w:r>
    </w:p>
    <w:p w14:paraId="0D8F0562" w14:textId="77777777" w:rsidR="007A0320" w:rsidRPr="00363108" w:rsidRDefault="007A0320" w:rsidP="007A0320">
      <w:pPr>
        <w:pStyle w:val="SingleTxtG"/>
      </w:pPr>
      <w:r>
        <w:t>63.</w:t>
      </w:r>
      <w:r>
        <w:tab/>
        <w:t>По вопросу, касающемуся толкования, предлагаемого в пункте 11 раздела С, Комитет по вопросам безопасности подтвердил, что судно, имеющее действительное свидетельство по состоянию на 1 января 2019 года, считается соответствующим требованиям, изложенным в подпункте b) переходного положения, приведенного</w:t>
      </w:r>
      <w:r w:rsidR="007F4A18">
        <w:br/>
      </w:r>
      <w:r>
        <w:t>в колонке 3.</w:t>
      </w:r>
    </w:p>
    <w:p w14:paraId="42CE2D55" w14:textId="77777777" w:rsidR="007A0320" w:rsidRPr="00363108" w:rsidRDefault="007A0320" w:rsidP="00805184">
      <w:pPr>
        <w:pStyle w:val="SingleTxtG"/>
        <w:spacing w:after="100"/>
      </w:pPr>
      <w:r>
        <w:lastRenderedPageBreak/>
        <w:t>64.</w:t>
      </w:r>
      <w:r>
        <w:tab/>
        <w:t>Комитет по вопросам безопасности согласился с содержащимся в пунктах 12</w:t>
      </w:r>
      <w:r w:rsidR="007F4A18">
        <w:br/>
      </w:r>
      <w:r>
        <w:t xml:space="preserve">и 13 </w:t>
      </w:r>
      <w:proofErr w:type="gramStart"/>
      <w:r>
        <w:t>раздела С</w:t>
      </w:r>
      <w:proofErr w:type="gramEnd"/>
      <w:r>
        <w:t xml:space="preserve"> толкованием термина «электрооборудование», используемого в подпункте d) переходного положения, приведенного в колонке 3, а именно:</w:t>
      </w:r>
    </w:p>
    <w:p w14:paraId="7AAE0093" w14:textId="77777777" w:rsidR="007A0320" w:rsidRPr="00363108" w:rsidRDefault="007A0320" w:rsidP="00805184">
      <w:pPr>
        <w:pStyle w:val="SingleTxtG"/>
        <w:spacing w:after="100"/>
        <w:ind w:left="1701"/>
      </w:pPr>
      <w:r>
        <w:t>«Термин "электрооборудование" используется в ВОПОГ 2019 года так же, как он использовался в варианте ВОПОГ, действовавшем до 31 декабря 2018 года. Это отражает положения, которые действовали до указанной даты.</w:t>
      </w:r>
    </w:p>
    <w:p w14:paraId="0058FA6C" w14:textId="77777777" w:rsidR="007A0320" w:rsidRPr="00363108" w:rsidRDefault="007A0320" w:rsidP="00805184">
      <w:pPr>
        <w:pStyle w:val="SingleTxtG"/>
        <w:spacing w:after="100"/>
        <w:ind w:left="1701"/>
      </w:pPr>
      <w:r>
        <w:t>То же самое относится и к термину "электрооборудование" в подпунктах а) и b) абзаца, применимого к находящимся в эксплуатации судам, киль которых был заложен до 1 января 1977 года.».</w:t>
      </w:r>
    </w:p>
    <w:p w14:paraId="708BADD0" w14:textId="77777777" w:rsidR="007A0320" w:rsidRPr="00363108" w:rsidRDefault="007A0320" w:rsidP="00805184">
      <w:pPr>
        <w:pStyle w:val="SingleTxtG"/>
        <w:spacing w:after="100"/>
      </w:pPr>
      <w:r>
        <w:t>65.</w:t>
      </w:r>
      <w:r>
        <w:tab/>
        <w:t>По вопросу о толковании, поднятом в разделе K в связи с требованием о проставлении печати компетентного органа, выдавшего свидетельство о допущении, на документах, перечисленных в пунктах 8.1.2.2 e)–h) и 8.1.2.3 r)–v), Комитет по вопросам безопасности уточнил, что нет необходимости вновь проставлять печать при возобновлении документов.</w:t>
      </w:r>
    </w:p>
    <w:p w14:paraId="399807B0" w14:textId="77777777" w:rsidR="007A0320" w:rsidRPr="00363108" w:rsidRDefault="007A0320" w:rsidP="00805184">
      <w:pPr>
        <w:pStyle w:val="SingleTxtG"/>
        <w:spacing w:after="100"/>
      </w:pPr>
      <w:r>
        <w:t>66.</w:t>
      </w:r>
      <w:r>
        <w:tab/>
        <w:t>Что касается дискуссий по вопросу о регистраторах данных и устройствах контроля за грузом, то сотрудник секретариата проинформировал Комитет по вопросам безопасности о том, что Подкомитет экспертов по перевозке опасных грузов принял положения о перевозке опасных грузов, содержащихся в оборудовании, используемом или предназначенном для использования во время перевозки. Эти новые положения будут включены в главу 5.5 Типовых правил (см. доклад Подкомитета о работе его пятьдесят четвертой сессии, документ ST/SG/AC.10/C.3/108, пункты 78–83, и принятые тексты нового раздела 5.5.4 в документе ST/SG/AC.10/</w:t>
      </w:r>
      <w:r w:rsidR="007F4A18">
        <w:t xml:space="preserve"> </w:t>
      </w:r>
      <w:r>
        <w:t>C.3/108/Add.1).</w:t>
      </w:r>
    </w:p>
    <w:p w14:paraId="186BCE38" w14:textId="77777777" w:rsidR="007A0320" w:rsidRPr="008A7526" w:rsidRDefault="007A0320" w:rsidP="007A0320">
      <w:pPr>
        <w:pStyle w:val="H23G"/>
      </w:pPr>
      <w:r>
        <w:tab/>
        <w:t>15.</w:t>
      </w:r>
      <w:r>
        <w:tab/>
      </w:r>
      <w:r>
        <w:rPr>
          <w:bCs/>
        </w:rPr>
        <w:t>Подраздел 9.3.x.8.4</w:t>
      </w:r>
    </w:p>
    <w:p w14:paraId="7AD307AB" w14:textId="77777777" w:rsidR="007A0320" w:rsidRPr="00C57905" w:rsidRDefault="007A0320" w:rsidP="00805184">
      <w:pPr>
        <w:pStyle w:val="SingleTxtG"/>
        <w:tabs>
          <w:tab w:val="left" w:pos="3780"/>
        </w:tabs>
        <w:spacing w:after="100"/>
        <w:ind w:left="3780" w:hanging="2646"/>
        <w:jc w:val="left"/>
      </w:pPr>
      <w:r>
        <w:rPr>
          <w:i/>
          <w:iCs/>
        </w:rPr>
        <w:t>Документ</w:t>
      </w:r>
      <w:r w:rsidRPr="00805184">
        <w:rPr>
          <w:iCs/>
        </w:rPr>
        <w:t>:</w:t>
      </w:r>
      <w:r>
        <w:tab/>
        <w:t>ECE/TRANS/WP.15/AC.2/2019/9 (Люксембург)</w:t>
      </w:r>
    </w:p>
    <w:p w14:paraId="0CDA1659" w14:textId="77777777" w:rsidR="007A0320" w:rsidRPr="00363108" w:rsidRDefault="007A0320" w:rsidP="00805184">
      <w:pPr>
        <w:pStyle w:val="SingleTxtG"/>
        <w:spacing w:after="100"/>
      </w:pPr>
      <w:r>
        <w:t>67.</w:t>
      </w:r>
      <w:r>
        <w:tab/>
        <w:t>Комитет по вопросам безопасности принял предлагаемые поправк</w:t>
      </w:r>
      <w:r w:rsidR="005600BF">
        <w:t>и</w:t>
      </w:r>
      <w:r w:rsidR="005600BF">
        <w:br/>
      </w:r>
      <w:r>
        <w:t>к пунктам</w:t>
      </w:r>
      <w:r w:rsidR="005600BF">
        <w:t> </w:t>
      </w:r>
      <w:r>
        <w:t>9.3.1.8.4, 9.3.2.8.4 и 9.3.3.8.4 (включая сопутствующую поправку</w:t>
      </w:r>
      <w:r w:rsidR="005600BF">
        <w:br/>
      </w:r>
      <w:r>
        <w:t>к пункту</w:t>
      </w:r>
      <w:r w:rsidR="005600BF">
        <w:t> </w:t>
      </w:r>
      <w:r>
        <w:t>1.6.7.2.2.2), а также дополнительную поправку к подразделу 8.1.7.2</w:t>
      </w:r>
      <w:r w:rsidR="005600BF">
        <w:br/>
      </w:r>
      <w:r>
        <w:t>(см. приложение</w:t>
      </w:r>
      <w:r w:rsidR="005600BF">
        <w:t> </w:t>
      </w:r>
      <w:r>
        <w:t xml:space="preserve">I). </w:t>
      </w:r>
    </w:p>
    <w:p w14:paraId="2598051D" w14:textId="77777777" w:rsidR="007A0320" w:rsidRPr="00363108" w:rsidRDefault="007A0320" w:rsidP="00805184">
      <w:pPr>
        <w:pStyle w:val="SingleTxtG"/>
        <w:spacing w:after="100"/>
      </w:pPr>
      <w:r>
        <w:t>68.</w:t>
      </w:r>
      <w:r>
        <w:tab/>
        <w:t>Представитель ЕСРС указал, что следует обеспечить согласованность между переходными периодами, применимыми к положениям подраздела 8.1.7.2,</w:t>
      </w:r>
      <w:r w:rsidR="005600BF">
        <w:br/>
      </w:r>
      <w:r>
        <w:t>и переходными периодами, относящимися к пункту 9.3.x.53.1, а также пересмотр многостороннего соглашения М018. Комитет по вопросам безопасности предложил ему представить соответствующее предложение для следующей сессии.</w:t>
      </w:r>
    </w:p>
    <w:p w14:paraId="5408E687" w14:textId="77777777" w:rsidR="007A0320" w:rsidRPr="00363108" w:rsidRDefault="007A0320" w:rsidP="007A0320">
      <w:pPr>
        <w:pStyle w:val="H23G"/>
      </w:pPr>
      <w:r>
        <w:tab/>
        <w:t>16.</w:t>
      </w:r>
      <w:r>
        <w:tab/>
      </w:r>
      <w:r>
        <w:rPr>
          <w:bCs/>
        </w:rPr>
        <w:t>Примеры укладки и разделения контейнеров</w:t>
      </w:r>
    </w:p>
    <w:p w14:paraId="74809D56" w14:textId="77777777" w:rsidR="007A0320" w:rsidRPr="00363108" w:rsidRDefault="007A0320" w:rsidP="007F4A18">
      <w:pPr>
        <w:pStyle w:val="SingleTxtG"/>
        <w:tabs>
          <w:tab w:val="left" w:pos="3780"/>
        </w:tabs>
        <w:ind w:left="3780" w:hanging="2646"/>
        <w:jc w:val="left"/>
      </w:pPr>
      <w:r>
        <w:rPr>
          <w:i/>
          <w:iCs/>
        </w:rPr>
        <w:t>Неофициальный документ</w:t>
      </w:r>
      <w:r w:rsidRPr="00805184">
        <w:rPr>
          <w:iCs/>
        </w:rPr>
        <w:t>:</w:t>
      </w:r>
      <w:r>
        <w:tab/>
        <w:t>INF.3 (Германия)</w:t>
      </w:r>
    </w:p>
    <w:p w14:paraId="0520D359" w14:textId="77777777" w:rsidR="007A0320" w:rsidRPr="00363108" w:rsidRDefault="007A0320" w:rsidP="007A0320">
      <w:pPr>
        <w:pStyle w:val="SingleTxtG"/>
      </w:pPr>
      <w:r>
        <w:t>69.</w:t>
      </w:r>
      <w:r>
        <w:tab/>
        <w:t>Поправка к пояснениям в пункте 7.1.4.4.4 в тексте на немецком языке была принята.</w:t>
      </w:r>
    </w:p>
    <w:p w14:paraId="5758AE69" w14:textId="77777777" w:rsidR="007A0320" w:rsidRPr="00363108" w:rsidRDefault="007A0320" w:rsidP="007A0320">
      <w:pPr>
        <w:pStyle w:val="SingleTxtG"/>
      </w:pPr>
      <w:r>
        <w:t>70.</w:t>
      </w:r>
      <w:r>
        <w:tab/>
        <w:t>Комитет по вопросам безопасности решил, что в вариантах ВОПОГ на английском и французском языках следует согласовать тексты пунктов, перечисленных в пунктах 7 и 8 указанного документа. Секретариату было предложено проверить соответствующую формулировку и представить на следующей сессии предложение, учитывающее также замечание представителя Германии о необходимости включения, в соответствующих случаях, слов «по меньшей мере» для обеспечения согласованности текстов на всех языках.</w:t>
      </w:r>
    </w:p>
    <w:p w14:paraId="0027CB04" w14:textId="77777777" w:rsidR="007A0320" w:rsidRPr="00363108" w:rsidRDefault="007A0320" w:rsidP="007A0320">
      <w:pPr>
        <w:pStyle w:val="H23G"/>
      </w:pPr>
      <w:r>
        <w:tab/>
        <w:t>17.</w:t>
      </w:r>
      <w:r>
        <w:tab/>
      </w:r>
      <w:r>
        <w:rPr>
          <w:bCs/>
        </w:rPr>
        <w:t>№ ООН 2057 – Трипропилен</w:t>
      </w:r>
    </w:p>
    <w:p w14:paraId="11A3F5E7" w14:textId="77777777" w:rsidR="007A0320" w:rsidRPr="00363108" w:rsidRDefault="007A0320" w:rsidP="007F4A18">
      <w:pPr>
        <w:pStyle w:val="SingleTxtG"/>
        <w:tabs>
          <w:tab w:val="left" w:pos="3780"/>
        </w:tabs>
        <w:ind w:left="3780" w:hanging="2646"/>
        <w:jc w:val="left"/>
      </w:pPr>
      <w:r>
        <w:rPr>
          <w:i/>
          <w:iCs/>
        </w:rPr>
        <w:t>Неофициальный документ</w:t>
      </w:r>
      <w:r w:rsidRPr="00805184">
        <w:rPr>
          <w:iCs/>
        </w:rPr>
        <w:t>:</w:t>
      </w:r>
      <w:r>
        <w:tab/>
        <w:t>INF.9 (Рекомендованные классификационные общества ВОПОГ)</w:t>
      </w:r>
    </w:p>
    <w:p w14:paraId="5A1D6128" w14:textId="77777777" w:rsidR="007A0320" w:rsidRPr="00363108" w:rsidRDefault="007A0320" w:rsidP="007A0320">
      <w:pPr>
        <w:pStyle w:val="SingleTxtG"/>
      </w:pPr>
      <w:r>
        <w:t>71.</w:t>
      </w:r>
      <w:r>
        <w:tab/>
        <w:t>Комитет по вопросам безопасности счел, что это предложение нуждается в дальнейшей проработке, и отметил, что представитель ЕСФХП представит пересмотренный документ для следующей сессии.</w:t>
      </w:r>
    </w:p>
    <w:p w14:paraId="34251341" w14:textId="77777777" w:rsidR="007A0320" w:rsidRPr="00363108" w:rsidRDefault="007A0320" w:rsidP="007A0320">
      <w:pPr>
        <w:pStyle w:val="HChG"/>
      </w:pPr>
      <w:r>
        <w:lastRenderedPageBreak/>
        <w:tab/>
        <w:t>VII.</w:t>
      </w:r>
      <w:r>
        <w:tab/>
      </w:r>
      <w:r>
        <w:rPr>
          <w:bCs/>
        </w:rPr>
        <w:t>Доклады неофициальных рабочих групп</w:t>
      </w:r>
      <w:r w:rsidR="007F4A18">
        <w:rPr>
          <w:bCs/>
        </w:rPr>
        <w:br/>
      </w:r>
      <w:r>
        <w:rPr>
          <w:bCs/>
        </w:rPr>
        <w:t>(пункт 6 повестки дня)</w:t>
      </w:r>
    </w:p>
    <w:p w14:paraId="0D607ADC" w14:textId="77777777" w:rsidR="007A0320" w:rsidRPr="00363108" w:rsidRDefault="007A0320" w:rsidP="007A0320">
      <w:pPr>
        <w:pStyle w:val="H1G"/>
      </w:pPr>
      <w:r>
        <w:tab/>
        <w:t>A.</w:t>
      </w:r>
      <w:r>
        <w:tab/>
      </w:r>
      <w:r>
        <w:rPr>
          <w:bCs/>
        </w:rPr>
        <w:t>Доклад неофициальной рабочей группы по мембранным танкам</w:t>
      </w:r>
    </w:p>
    <w:p w14:paraId="49560005" w14:textId="77777777" w:rsidR="007A0320" w:rsidRPr="00363108" w:rsidRDefault="007A0320" w:rsidP="007F4A18">
      <w:pPr>
        <w:pStyle w:val="SingleTxtG"/>
        <w:tabs>
          <w:tab w:val="left" w:pos="3780"/>
        </w:tabs>
        <w:ind w:left="3780" w:hanging="2646"/>
        <w:jc w:val="left"/>
      </w:pPr>
      <w:r>
        <w:rPr>
          <w:i/>
          <w:iCs/>
        </w:rPr>
        <w:t>Документ</w:t>
      </w:r>
      <w:r w:rsidRPr="00805184">
        <w:rPr>
          <w:iCs/>
        </w:rPr>
        <w:t>:</w:t>
      </w:r>
      <w:r>
        <w:tab/>
        <w:t>ECE/TRANS/WP.15/AC.2/2019/14 (Бельгия, Нидерланды, Франция)</w:t>
      </w:r>
    </w:p>
    <w:p w14:paraId="034B9F34" w14:textId="77777777" w:rsidR="007A0320" w:rsidRPr="00363108" w:rsidRDefault="007A0320" w:rsidP="007F4A18">
      <w:pPr>
        <w:pStyle w:val="SingleTxtG"/>
        <w:spacing w:after="100" w:line="230" w:lineRule="atLeast"/>
      </w:pPr>
      <w:r>
        <w:t>72.</w:t>
      </w:r>
      <w:r>
        <w:tab/>
        <w:t>Комитет по вопросам безопасности принял к сведению информацию о развитии рынков СПГ и мембранных танков, представленную в пунктах 4–8 указанного документа, и счел, что неофициальная рабочая группа выполнила задачу по данной теме, порученную ей на последней сессии.</w:t>
      </w:r>
    </w:p>
    <w:p w14:paraId="07274A23" w14:textId="77777777" w:rsidR="007A0320" w:rsidRPr="00363108" w:rsidRDefault="007A0320" w:rsidP="007F4A18">
      <w:pPr>
        <w:pStyle w:val="SingleTxtG"/>
        <w:spacing w:after="100" w:line="230" w:lineRule="atLeast"/>
      </w:pPr>
      <w:r>
        <w:t>73.</w:t>
      </w:r>
      <w:r>
        <w:tab/>
        <w:t>Что касается перечня веществ, признанных пригодными для перевозки в мембранных танках (пункты 9–12 указанного документа), то Комитет по вопросам безопасности просил неофициальную рабочую группу по веществам подтвердить пригодность перечисленных веществ для перевозки в мембранных танках. Председатель неофициальной рабочей группы по веществам указал, что эта работа дополнительно потребует разработки рационализированного подхода к назначению тех или иных положений по мембранным танкам конкретным веществам, поскольку нельзя исключать, что в будущем необходимо будет рассмотреть вопрос о дополнительных веществах. Комитет по вопросам безопасности согласился с этой точкой зрения.</w:t>
      </w:r>
    </w:p>
    <w:p w14:paraId="0953D5B2" w14:textId="77777777" w:rsidR="007A0320" w:rsidRPr="00363108" w:rsidRDefault="007A0320" w:rsidP="007F4A18">
      <w:pPr>
        <w:pStyle w:val="SingleTxtG"/>
        <w:spacing w:after="100" w:line="230" w:lineRule="atLeast"/>
      </w:pPr>
      <w:r>
        <w:t>74.</w:t>
      </w:r>
      <w:r>
        <w:tab/>
        <w:t>Комитет по вопросам безопасности поддержал подход, описанный в пункте 13 указанного документа, и предложил неофициальной рабочей группе разработать положения, касающиеся перевозки в мембранных танках. Было отмечено, что для этого может потребоваться внесение поправок в другие пункты, помимо тех, которые уже указаны в таблице в пункте 14.</w:t>
      </w:r>
    </w:p>
    <w:p w14:paraId="7039C1E1" w14:textId="77777777" w:rsidR="007A0320" w:rsidRPr="00363108" w:rsidRDefault="007A0320" w:rsidP="007A0320">
      <w:pPr>
        <w:pStyle w:val="H1G"/>
      </w:pPr>
      <w:r>
        <w:tab/>
        <w:t>B.</w:t>
      </w:r>
      <w:r>
        <w:tab/>
      </w:r>
      <w:r>
        <w:rPr>
          <w:bCs/>
        </w:rPr>
        <w:t>«Дорожная карта» по вопросу о смешивании на борту танкеров внутреннего плавания</w:t>
      </w:r>
    </w:p>
    <w:p w14:paraId="72CFB678" w14:textId="77777777" w:rsidR="007A0320" w:rsidRPr="00C57905" w:rsidRDefault="007A0320" w:rsidP="007F4A18">
      <w:pPr>
        <w:pStyle w:val="SingleTxtG"/>
        <w:tabs>
          <w:tab w:val="left" w:pos="3780"/>
        </w:tabs>
        <w:ind w:left="3780" w:hanging="2646"/>
        <w:jc w:val="left"/>
      </w:pPr>
      <w:r>
        <w:rPr>
          <w:i/>
          <w:iCs/>
        </w:rPr>
        <w:t>Документ</w:t>
      </w:r>
      <w:r w:rsidRPr="00805184">
        <w:rPr>
          <w:iCs/>
        </w:rPr>
        <w:t>:</w:t>
      </w:r>
      <w:r>
        <w:tab/>
        <w:t>ECE/TRANS/WP.15/AC.2/2019/16 (Нидерланды)</w:t>
      </w:r>
    </w:p>
    <w:p w14:paraId="25981BE5" w14:textId="77777777" w:rsidR="007A0320" w:rsidRPr="00363108" w:rsidRDefault="007A0320" w:rsidP="007F4A18">
      <w:pPr>
        <w:pStyle w:val="SingleTxtG"/>
        <w:spacing w:after="100"/>
      </w:pPr>
      <w:r>
        <w:t>75.</w:t>
      </w:r>
      <w:r>
        <w:tab/>
        <w:t>Комитет по вопросам безопасности достиг согласия в отношении того, что желательно разработать согласованные нормативные рамки, охватывающие операции по смешиванию на борту/погрузке поверх. Вместе с тем было отмечено, что ВОПОГ, возможно, не является подходящим местом для рассмотрения всех видов операций по смешиванию на борту/погрузке поверх. Некоторые делегации высказали, например, мнение, что операции по смешиванию различных веществ с целью получения конечного продукта, подлежащего перевозке, должны регулироваться не положениями ВОПОГ, а правилами, применимыми к промышленным объектам.</w:t>
      </w:r>
    </w:p>
    <w:p w14:paraId="5772F53C" w14:textId="77777777" w:rsidR="007A0320" w:rsidRPr="00363108" w:rsidRDefault="007A0320" w:rsidP="007F4A18">
      <w:pPr>
        <w:pStyle w:val="SingleTxtG"/>
        <w:spacing w:after="100"/>
      </w:pPr>
      <w:proofErr w:type="gramStart"/>
      <w:r>
        <w:t>76.</w:t>
      </w:r>
      <w:r>
        <w:tab/>
        <w:t>С другой стороны</w:t>
      </w:r>
      <w:proofErr w:type="gramEnd"/>
      <w:r>
        <w:t>, они сочли, что в ВОПОГ можно было бы регламентировать погрузку поверх одного и того же груза в разных местах. По мнению других делегаций, можно было бы также рассмотреть дополнительные случаи, такие как ситуации «полной загрузки» и «частичной загрузки» и перевозка опасных грузов вместе с неопасными грузами в изолированных отделениях одного и того же судна, а также все вопросы, касающиеся информации, подлежащей указанию в транспортном документе в каждой ситуации (например, в случае частичной загрузки или выгрузки груза в различных местах).</w:t>
      </w:r>
    </w:p>
    <w:p w14:paraId="7036DEDA" w14:textId="77777777" w:rsidR="007A0320" w:rsidRPr="00363108" w:rsidRDefault="007A0320" w:rsidP="007F4A18">
      <w:pPr>
        <w:pStyle w:val="SingleTxtG"/>
        <w:spacing w:after="100"/>
      </w:pPr>
      <w:r>
        <w:t>77.</w:t>
      </w:r>
      <w:r>
        <w:tab/>
        <w:t>После некоторого обсуждения Комитет по вопросам безопасности решил ограничить сферу охвата работы по этому вопросу теми операциями, которые уже охватываются положениями ВОПОГ. Учитывая, что погрузка является одной из операций, рассматриваемых в ВОПОГ, Комитет по вопросам безопасности решил создать неофициальную рабочую группу, которая будет конкретно заниматься вопросами погрузки поверх одного и того же груза в соответствии с нижеследующим поэтапным подходом:</w:t>
      </w:r>
    </w:p>
    <w:p w14:paraId="04104C28" w14:textId="77777777" w:rsidR="007A0320" w:rsidRPr="00363108" w:rsidRDefault="007A0320" w:rsidP="007A0320">
      <w:pPr>
        <w:pStyle w:val="Bullet1G"/>
        <w:numPr>
          <w:ilvl w:val="0"/>
          <w:numId w:val="29"/>
        </w:numPr>
      </w:pPr>
      <w:r>
        <w:t>Этап 1: Составление перечня вопросов, подлежащих рассмотрению.</w:t>
      </w:r>
    </w:p>
    <w:p w14:paraId="004650DC" w14:textId="77777777" w:rsidR="007A0320" w:rsidRPr="00363108" w:rsidRDefault="007A0320" w:rsidP="007A0320">
      <w:pPr>
        <w:pStyle w:val="Bullet1G"/>
        <w:numPr>
          <w:ilvl w:val="0"/>
          <w:numId w:val="29"/>
        </w:numPr>
      </w:pPr>
      <w:r>
        <w:lastRenderedPageBreak/>
        <w:t>Этап 2: Определение реальных тематических исследований, которые позволят получить дополнительную информацию о видах соответствующих веществ, возникающих проблемах и т. д., которая будет использоваться в качестве основы для определения необходимости и способов изменения действующих положений.</w:t>
      </w:r>
    </w:p>
    <w:p w14:paraId="2498AF7C" w14:textId="77777777" w:rsidR="007A0320" w:rsidRPr="00363108" w:rsidRDefault="007A0320" w:rsidP="007A0320">
      <w:pPr>
        <w:pStyle w:val="SingleTxtG"/>
      </w:pPr>
      <w:r>
        <w:t>78.</w:t>
      </w:r>
      <w:r>
        <w:tab/>
        <w:t>После завершения работы на этапах 1 и 2 Комитет по вопросам безопасности проведет оценку результатов и рассмотрит вопрос о дальнейших действиях.</w:t>
      </w:r>
    </w:p>
    <w:p w14:paraId="1090FE4B" w14:textId="77777777" w:rsidR="007A0320" w:rsidRPr="00363108" w:rsidRDefault="007A0320" w:rsidP="007A0320">
      <w:pPr>
        <w:pStyle w:val="SingleTxtG"/>
      </w:pPr>
      <w:r>
        <w:t>79.</w:t>
      </w:r>
      <w:r>
        <w:tab/>
        <w:t>Представитель Нидерландов вызвался возглавить работу неофициальной рабочей группы при поддержке со стороны представителей промышленности.</w:t>
      </w:r>
    </w:p>
    <w:p w14:paraId="257847BC" w14:textId="77777777" w:rsidR="007A0320" w:rsidRPr="00363108" w:rsidRDefault="007A0320" w:rsidP="007A0320">
      <w:pPr>
        <w:pStyle w:val="HChG"/>
      </w:pPr>
      <w:r>
        <w:tab/>
        <w:t>VIII.</w:t>
      </w:r>
      <w:r>
        <w:tab/>
      </w:r>
      <w:r>
        <w:rPr>
          <w:bCs/>
        </w:rPr>
        <w:t>Программа работы и график совещаний</w:t>
      </w:r>
      <w:r w:rsidR="007F4A18">
        <w:rPr>
          <w:bCs/>
        </w:rPr>
        <w:br/>
      </w:r>
      <w:r>
        <w:rPr>
          <w:bCs/>
        </w:rPr>
        <w:t>(пункт 7 повестки дня)</w:t>
      </w:r>
    </w:p>
    <w:p w14:paraId="1264AB86" w14:textId="77777777" w:rsidR="007A0320" w:rsidRPr="00363108" w:rsidRDefault="007A0320" w:rsidP="007A0320">
      <w:pPr>
        <w:pStyle w:val="H1G"/>
      </w:pPr>
      <w:r>
        <w:tab/>
        <w:t>A.</w:t>
      </w:r>
      <w:r>
        <w:tab/>
      </w:r>
      <w:r>
        <w:rPr>
          <w:bCs/>
        </w:rPr>
        <w:t>График совещаний</w:t>
      </w:r>
    </w:p>
    <w:p w14:paraId="3B14FE4F" w14:textId="77777777" w:rsidR="007A0320" w:rsidRPr="00363108" w:rsidRDefault="007A0320" w:rsidP="007A0320">
      <w:pPr>
        <w:pStyle w:val="SingleTxtG"/>
      </w:pPr>
      <w:r>
        <w:t>80.</w:t>
      </w:r>
      <w:r>
        <w:tab/>
        <w:t>Комитет по вопросам безопасности принял к сведению, что его тридцать пятую сессию планируется провести в Женеве 26–30 августа 2019 года, а двадцать третью сессию Административного комитета ВОПОГ – 30 августа 2019 года (с 12 ч 00 мин</w:t>
      </w:r>
      <w:r w:rsidR="005600BF">
        <w:br/>
      </w:r>
      <w:r>
        <w:t>до 13 ч 00 мин). Крайним сроком представления документов для обоих совещаний является 31 мая 2019 года.</w:t>
      </w:r>
      <w:bookmarkStart w:id="19" w:name="_Hlk535782012"/>
    </w:p>
    <w:bookmarkEnd w:id="19"/>
    <w:p w14:paraId="2F6CF33E" w14:textId="77777777" w:rsidR="007A0320" w:rsidRPr="00363108" w:rsidRDefault="007A0320" w:rsidP="007A0320">
      <w:pPr>
        <w:pStyle w:val="H1G"/>
      </w:pPr>
      <w:r>
        <w:tab/>
        <w:t>B.</w:t>
      </w:r>
      <w:r>
        <w:tab/>
      </w:r>
      <w:r>
        <w:rPr>
          <w:bCs/>
        </w:rPr>
        <w:t>Неофициальная рабочая группа по стандартам</w:t>
      </w:r>
    </w:p>
    <w:p w14:paraId="01BC6380" w14:textId="77777777" w:rsidR="007A0320" w:rsidRPr="00363108" w:rsidRDefault="007A0320" w:rsidP="007F4A18">
      <w:pPr>
        <w:pStyle w:val="SingleTxtG"/>
        <w:tabs>
          <w:tab w:val="left" w:pos="3780"/>
        </w:tabs>
        <w:ind w:left="3780" w:hanging="2646"/>
        <w:jc w:val="left"/>
      </w:pPr>
      <w:r>
        <w:rPr>
          <w:i/>
          <w:iCs/>
        </w:rPr>
        <w:t>Документ</w:t>
      </w:r>
      <w:r w:rsidRPr="00805184">
        <w:rPr>
          <w:iCs/>
        </w:rPr>
        <w:t>:</w:t>
      </w:r>
      <w:r>
        <w:tab/>
        <w:t>ECE/TRANS/WP.15/AC.2/2019/5 (Германия</w:t>
      </w:r>
      <w:r w:rsidR="007F4A18">
        <w:br/>
      </w:r>
      <w:r>
        <w:t>и Люксембург)</w:t>
      </w:r>
    </w:p>
    <w:p w14:paraId="3341CE0A" w14:textId="77777777" w:rsidR="007A0320" w:rsidRPr="00363108" w:rsidRDefault="007A0320" w:rsidP="007A0320">
      <w:pPr>
        <w:pStyle w:val="SingleTxtG"/>
      </w:pPr>
      <w:r>
        <w:t>81.</w:t>
      </w:r>
      <w:r>
        <w:tab/>
        <w:t>Комитет по вопросам безопасности дал согласие на учреждение неофициальной рабочей группы по стандартам, которая будет работать в соответствии с кругом ведения, изложенным в пункте 6 указанного документа.</w:t>
      </w:r>
    </w:p>
    <w:p w14:paraId="7E8A135F" w14:textId="093A65D1" w:rsidR="007A0320" w:rsidRPr="00363108" w:rsidRDefault="007A0320" w:rsidP="007A0320">
      <w:pPr>
        <w:pStyle w:val="SingleTxtG"/>
      </w:pPr>
      <w:r>
        <w:t>82.</w:t>
      </w:r>
      <w:r>
        <w:tab/>
        <w:t>Представитель Российской Федерации высказал оговорки в этом отношении. По его мнению, не следует поощрять включение ссылок на региональные стандарты (т.</w:t>
      </w:r>
      <w:r w:rsidR="00E8363D">
        <w:t> </w:t>
      </w:r>
      <w:r>
        <w:t>е. стандарты, упомянутые в законодательстве Европейского союза) в тексты международных документов, таких как ВОПОГ, поскольку соблюдение таких региональных стандартов может оказаться невозможным для Договаривающихся сторон, не являющихся государствами</w:t>
      </w:r>
      <w:r w:rsidR="005600BF">
        <w:t xml:space="preserve"> – </w:t>
      </w:r>
      <w:r>
        <w:t>членами Европейского союза.</w:t>
      </w:r>
    </w:p>
    <w:p w14:paraId="12162E22" w14:textId="77777777" w:rsidR="007A0320" w:rsidRPr="00363108" w:rsidRDefault="007A0320" w:rsidP="007A0320">
      <w:pPr>
        <w:pStyle w:val="HChG"/>
      </w:pPr>
      <w:bookmarkStart w:id="20" w:name="_Hlk535914948"/>
      <w:r>
        <w:tab/>
        <w:t>IX.</w:t>
      </w:r>
      <w:r>
        <w:tab/>
      </w:r>
      <w:r>
        <w:rPr>
          <w:bCs/>
        </w:rPr>
        <w:t>Прочие вопросы (пункт 8 повестки дня)</w:t>
      </w:r>
    </w:p>
    <w:p w14:paraId="77F48353" w14:textId="77777777" w:rsidR="007A0320" w:rsidRPr="00363108" w:rsidRDefault="007A0320" w:rsidP="007A0320">
      <w:pPr>
        <w:pStyle w:val="H1G"/>
      </w:pPr>
      <w:r>
        <w:tab/>
        <w:t>1.</w:t>
      </w:r>
      <w:r>
        <w:tab/>
      </w:r>
      <w:r>
        <w:rPr>
          <w:bCs/>
        </w:rPr>
        <w:t>Европейская платформа для внутреннего водного транспорта</w:t>
      </w:r>
    </w:p>
    <w:p w14:paraId="7A5EF119" w14:textId="77777777" w:rsidR="007A0320" w:rsidRPr="00363108" w:rsidRDefault="007A0320" w:rsidP="007A0320">
      <w:pPr>
        <w:pStyle w:val="SingleTxtG"/>
      </w:pPr>
      <w:r>
        <w:t>83.</w:t>
      </w:r>
      <w:r>
        <w:tab/>
        <w:t>Комитет по вопросам безопасности был проинформирован о том, что 1 января 2019 года ЕСРС и ЕОС создали «Европейскую платформу для внутреннего водного транспорта», и отметил, что ее комитет по окружающей среде и безопасности будет принимать во внимание связанные с ВОПОГ вопросы. Эта платформа призвана привнести новое измерение в виде экспертных знаний в интересах всего сообщества внутреннего водного транспорта и всех участвующих в нем учреждений.</w:t>
      </w:r>
    </w:p>
    <w:bookmarkEnd w:id="20"/>
    <w:p w14:paraId="2754464B" w14:textId="77777777" w:rsidR="007A0320" w:rsidRPr="00363108" w:rsidRDefault="007A0320" w:rsidP="007A0320">
      <w:pPr>
        <w:pStyle w:val="H1G"/>
      </w:pPr>
      <w:r>
        <w:tab/>
        <w:t>2.</w:t>
      </w:r>
      <w:r>
        <w:tab/>
      </w:r>
      <w:r>
        <w:rPr>
          <w:bCs/>
        </w:rPr>
        <w:t>Выражение признательности г-ну Роггеману (Бельгия)</w:t>
      </w:r>
    </w:p>
    <w:p w14:paraId="6719689C" w14:textId="77777777" w:rsidR="007A0320" w:rsidRPr="00363108" w:rsidRDefault="007A0320" w:rsidP="007A0320">
      <w:pPr>
        <w:pStyle w:val="SingleTxtG"/>
      </w:pPr>
      <w:r>
        <w:t>84.</w:t>
      </w:r>
      <w:r>
        <w:tab/>
        <w:t>Комитет по вопросам безопасности был проинформирован о том,</w:t>
      </w:r>
      <w:r w:rsidR="00690F9B">
        <w:br/>
      </w:r>
      <w:r>
        <w:t>что г-н Роггеман вскоре приступит к выполнению новых обязанностей и больше не будет присутствовать на сессиях Комитета по вопросам безопасности в качестве члена бельгийской делегации. Комитет поблагодарил его за вклад в его работу и пожелал ему всяческих успехов в его будущих начинаниях.</w:t>
      </w:r>
    </w:p>
    <w:p w14:paraId="54CF1FCF" w14:textId="77777777" w:rsidR="007A0320" w:rsidRPr="00363108" w:rsidRDefault="007A0320" w:rsidP="007A0320">
      <w:pPr>
        <w:pStyle w:val="H1G"/>
      </w:pPr>
      <w:r>
        <w:lastRenderedPageBreak/>
        <w:tab/>
        <w:t>3.</w:t>
      </w:r>
      <w:r>
        <w:tab/>
      </w:r>
      <w:r>
        <w:rPr>
          <w:bCs/>
        </w:rPr>
        <w:t>Многостороннее соглашение M024</w:t>
      </w:r>
    </w:p>
    <w:p w14:paraId="29041AB2" w14:textId="77777777" w:rsidR="007A0320" w:rsidRPr="00363108" w:rsidRDefault="007A0320" w:rsidP="007A0320">
      <w:pPr>
        <w:pStyle w:val="SingleTxtG"/>
      </w:pPr>
      <w:r>
        <w:t>85.</w:t>
      </w:r>
      <w:r>
        <w:tab/>
        <w:t>Представитель ЕСФХП предложил Договаривающимся сторонам рассмотреть вопрос о подписании многостороннего соглашения М024, составленного Германией. Это позволило бы перевозить вещества с № ООН 1179, 1216 и 3256, указанные в перечне веществ, допущенных к перевозке судном, предусмотренном</w:t>
      </w:r>
      <w:r w:rsidR="007F4A18">
        <w:br/>
      </w:r>
      <w:r>
        <w:t>в пункте 1.16.1.2.5, до вступления в силу 1 января 2021 года соответствующих поправок к концепции взрывозащиты, принятых Комитетом по вопросам безопасности на его тридцать третьей сессии (см. ECE/TRANS/WP.15/AC.2/68, пункт</w:t>
      </w:r>
      <w:r w:rsidR="005600BF">
        <w:t> </w:t>
      </w:r>
      <w:r>
        <w:t>65).</w:t>
      </w:r>
    </w:p>
    <w:p w14:paraId="1D80F7FB" w14:textId="77777777" w:rsidR="007A0320" w:rsidRPr="00363108" w:rsidRDefault="007A0320" w:rsidP="007A0320">
      <w:pPr>
        <w:pStyle w:val="HChG"/>
      </w:pPr>
      <w:r>
        <w:tab/>
        <w:t>X.</w:t>
      </w:r>
      <w:r>
        <w:tab/>
      </w:r>
      <w:r>
        <w:rPr>
          <w:bCs/>
        </w:rPr>
        <w:t>Утверждение доклада (пункт 9 повестки дня)</w:t>
      </w:r>
    </w:p>
    <w:p w14:paraId="77B61F70" w14:textId="77777777" w:rsidR="007A0320" w:rsidRPr="00363108" w:rsidRDefault="007A0320" w:rsidP="007A0320">
      <w:pPr>
        <w:pStyle w:val="SingleTxtG"/>
      </w:pPr>
      <w:r>
        <w:t>86.</w:t>
      </w:r>
      <w:r>
        <w:tab/>
        <w:t>Комитет по вопросам безопасности утвердил доклад о работе своей тридцать четвертой сессии на основе проекта, подготовленного секретариатом.</w:t>
      </w:r>
    </w:p>
    <w:p w14:paraId="20E101ED" w14:textId="77777777" w:rsidR="007A0320" w:rsidRPr="00863C9E" w:rsidRDefault="007A0320" w:rsidP="007F4A18">
      <w:pPr>
        <w:pStyle w:val="HChG"/>
        <w:pageBreakBefore/>
      </w:pPr>
      <w:r w:rsidRPr="00863C9E">
        <w:lastRenderedPageBreak/>
        <w:t>Приложение I</w:t>
      </w:r>
    </w:p>
    <w:p w14:paraId="7313ACD9" w14:textId="77777777" w:rsidR="007A0320" w:rsidRPr="00363108" w:rsidRDefault="007A0320" w:rsidP="007A0320">
      <w:pPr>
        <w:pStyle w:val="Heading2"/>
        <w:jc w:val="right"/>
        <w:rPr>
          <w:b/>
          <w:sz w:val="28"/>
        </w:rPr>
      </w:pPr>
      <w:r>
        <w:t>[Подлинный текст на английском и французском языках]</w:t>
      </w:r>
    </w:p>
    <w:p w14:paraId="54DAF32C" w14:textId="77777777" w:rsidR="007A0320" w:rsidRPr="001667D4" w:rsidRDefault="007A0320" w:rsidP="007F4A18">
      <w:pPr>
        <w:pStyle w:val="HChG"/>
      </w:pPr>
      <w:r>
        <w:tab/>
      </w:r>
      <w:r>
        <w:tab/>
      </w:r>
      <w:r w:rsidRPr="001667D4">
        <w:t>Предлагаемые поправки к Правилам, прилагаемым</w:t>
      </w:r>
      <w:r w:rsidR="007F4A18">
        <w:br/>
      </w:r>
      <w:r w:rsidRPr="001667D4">
        <w:t>к ВОПОГ, для вступления в силу 1 января 2021 года</w:t>
      </w:r>
    </w:p>
    <w:p w14:paraId="6EAFC004" w14:textId="77777777" w:rsidR="007A0320" w:rsidRPr="008A7526" w:rsidRDefault="007A0320" w:rsidP="007A0320">
      <w:pPr>
        <w:pStyle w:val="H1G"/>
      </w:pPr>
      <w:r>
        <w:tab/>
      </w:r>
      <w:r>
        <w:tab/>
      </w:r>
      <w:r>
        <w:rPr>
          <w:bCs/>
        </w:rPr>
        <w:t>Глава</w:t>
      </w:r>
      <w:r w:rsidRPr="008A7526">
        <w:rPr>
          <w:bCs/>
        </w:rPr>
        <w:t xml:space="preserve"> 1.1</w:t>
      </w:r>
    </w:p>
    <w:p w14:paraId="67663BE8" w14:textId="77777777" w:rsidR="007A0320" w:rsidRPr="00C10060" w:rsidRDefault="007A0320" w:rsidP="007A0320">
      <w:pPr>
        <w:pStyle w:val="SingleTxtG"/>
      </w:pPr>
      <w:r>
        <w:t>1.1.3.6</w:t>
      </w:r>
      <w:r>
        <w:tab/>
      </w:r>
      <w:r>
        <w:tab/>
        <w:t>Изменить следующим образом:</w:t>
      </w:r>
    </w:p>
    <w:p w14:paraId="58152732" w14:textId="77777777" w:rsidR="007A0320" w:rsidRPr="00C10060" w:rsidRDefault="007A0320" w:rsidP="007A0320">
      <w:pPr>
        <w:pStyle w:val="SingleTxtG"/>
        <w:rPr>
          <w:b/>
          <w:bCs/>
          <w:i/>
          <w:iCs/>
        </w:rPr>
      </w:pPr>
      <w:r w:rsidRPr="00E8363D">
        <w:rPr>
          <w:bCs/>
        </w:rPr>
        <w:t>«</w:t>
      </w:r>
      <w:r>
        <w:rPr>
          <w:b/>
          <w:bCs/>
        </w:rPr>
        <w:t>1.1.3.6</w:t>
      </w:r>
      <w:r>
        <w:tab/>
      </w:r>
      <w:r>
        <w:rPr>
          <w:b/>
          <w:bCs/>
          <w:i/>
          <w:iCs/>
        </w:rPr>
        <w:t>Изъятия, связанные с количествами, перевозимыми судами</w:t>
      </w:r>
    </w:p>
    <w:p w14:paraId="3E8D82EE" w14:textId="77777777" w:rsidR="007A0320" w:rsidRPr="00C10060" w:rsidRDefault="007A0320" w:rsidP="007A0320">
      <w:pPr>
        <w:pStyle w:val="SingleTxtG"/>
        <w:rPr>
          <w:iCs/>
        </w:rPr>
      </w:pPr>
      <w:r>
        <w:t>1.1.3.6.1</w:t>
      </w:r>
      <w:r>
        <w:tab/>
        <w:t>В случае перевозки опасных грузов в упаковках положения ВОПОГ,</w:t>
      </w:r>
      <w:r w:rsidR="005600BF">
        <w:br/>
      </w:r>
      <w:r>
        <w:t>за исключением положений пункта 1.1.3.6.2, не применяются, если масса брутто всех перевозимых опасных грузов не превышает 3 000 кг, а для отдельных классов не превышает количеств, указанных в нижеприведенной таблице:</w:t>
      </w:r>
    </w:p>
    <w:tbl>
      <w:tblPr>
        <w:tblW w:w="7419" w:type="dxa"/>
        <w:tblInd w:w="1148"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88"/>
        <w:gridCol w:w="4521"/>
        <w:gridCol w:w="926"/>
        <w:gridCol w:w="805"/>
        <w:gridCol w:w="579"/>
      </w:tblGrid>
      <w:tr w:rsidR="007F4A18" w:rsidRPr="00A66477" w14:paraId="1390D226" w14:textId="77777777" w:rsidTr="007F4A18">
        <w:trPr>
          <w:trHeight w:hRule="exact" w:val="477"/>
          <w:tblHeader/>
        </w:trPr>
        <w:tc>
          <w:tcPr>
            <w:tcW w:w="588" w:type="dxa"/>
            <w:tcBorders>
              <w:top w:val="single" w:sz="4" w:space="0" w:color="auto"/>
              <w:bottom w:val="single" w:sz="12" w:space="0" w:color="auto"/>
            </w:tcBorders>
            <w:shd w:val="clear" w:color="auto" w:fill="auto"/>
            <w:vAlign w:val="bottom"/>
          </w:tcPr>
          <w:p w14:paraId="55E4AF2A" w14:textId="77777777" w:rsidR="007F4A18" w:rsidRPr="007F4A18" w:rsidRDefault="007F4A18" w:rsidP="007A0320">
            <w:pPr>
              <w:keepNext/>
              <w:keepLines/>
              <w:suppressAutoHyphens w:val="0"/>
              <w:kinsoku w:val="0"/>
              <w:overflowPunct w:val="0"/>
              <w:autoSpaceDE w:val="0"/>
              <w:autoSpaceDN w:val="0"/>
              <w:adjustRightInd w:val="0"/>
              <w:spacing w:before="80" w:after="80" w:line="200" w:lineRule="exact"/>
              <w:ind w:right="113"/>
              <w:rPr>
                <w:rFonts w:eastAsia="Calibri"/>
                <w:i/>
                <w:sz w:val="16"/>
                <w:szCs w:val="16"/>
              </w:rPr>
            </w:pPr>
            <w:r w:rsidRPr="007F4A18">
              <w:rPr>
                <w:i/>
                <w:iCs/>
                <w:sz w:val="16"/>
                <w:szCs w:val="16"/>
              </w:rPr>
              <w:t>Класс</w:t>
            </w:r>
          </w:p>
        </w:tc>
        <w:tc>
          <w:tcPr>
            <w:tcW w:w="4521" w:type="dxa"/>
            <w:tcBorders>
              <w:top w:val="single" w:sz="4" w:space="0" w:color="auto"/>
              <w:bottom w:val="single" w:sz="12" w:space="0" w:color="auto"/>
            </w:tcBorders>
            <w:shd w:val="clear" w:color="auto" w:fill="auto"/>
            <w:vAlign w:val="bottom"/>
          </w:tcPr>
          <w:p w14:paraId="4120BBC5" w14:textId="77777777" w:rsidR="007F4A18" w:rsidRPr="007F4A18" w:rsidRDefault="007F4A18" w:rsidP="007A0320">
            <w:pPr>
              <w:keepNext/>
              <w:keepLines/>
              <w:suppressAutoHyphens w:val="0"/>
              <w:kinsoku w:val="0"/>
              <w:overflowPunct w:val="0"/>
              <w:autoSpaceDE w:val="0"/>
              <w:autoSpaceDN w:val="0"/>
              <w:adjustRightInd w:val="0"/>
              <w:spacing w:before="80" w:after="80" w:line="200" w:lineRule="exact"/>
              <w:ind w:right="113"/>
              <w:rPr>
                <w:rFonts w:eastAsia="Calibri"/>
                <w:i/>
                <w:sz w:val="16"/>
                <w:szCs w:val="16"/>
              </w:rPr>
            </w:pPr>
            <w:r w:rsidRPr="007F4A18">
              <w:rPr>
                <w:i/>
                <w:iCs/>
                <w:sz w:val="16"/>
                <w:szCs w:val="16"/>
              </w:rPr>
              <w:t>Вещества или изделия в упаковках</w:t>
            </w:r>
          </w:p>
        </w:tc>
        <w:tc>
          <w:tcPr>
            <w:tcW w:w="2310" w:type="dxa"/>
            <w:gridSpan w:val="3"/>
            <w:tcBorders>
              <w:top w:val="single" w:sz="4" w:space="0" w:color="auto"/>
              <w:bottom w:val="single" w:sz="12" w:space="0" w:color="auto"/>
            </w:tcBorders>
            <w:shd w:val="clear" w:color="auto" w:fill="auto"/>
            <w:vAlign w:val="bottom"/>
          </w:tcPr>
          <w:p w14:paraId="1FD0426B" w14:textId="77777777" w:rsidR="007F4A18" w:rsidRPr="007F4A18" w:rsidRDefault="007F4A18" w:rsidP="007A0320">
            <w:pPr>
              <w:keepNext/>
              <w:keepLines/>
              <w:suppressAutoHyphens w:val="0"/>
              <w:kinsoku w:val="0"/>
              <w:overflowPunct w:val="0"/>
              <w:autoSpaceDE w:val="0"/>
              <w:autoSpaceDN w:val="0"/>
              <w:adjustRightInd w:val="0"/>
              <w:spacing w:before="80" w:after="80" w:line="200" w:lineRule="exact"/>
              <w:ind w:right="113"/>
              <w:rPr>
                <w:rFonts w:eastAsia="Calibri"/>
                <w:i/>
                <w:sz w:val="16"/>
                <w:szCs w:val="16"/>
              </w:rPr>
            </w:pPr>
            <w:r w:rsidRPr="007F4A18">
              <w:rPr>
                <w:i/>
                <w:iCs/>
                <w:sz w:val="16"/>
                <w:szCs w:val="16"/>
              </w:rPr>
              <w:t>Освобожденные количества, кг</w:t>
            </w:r>
          </w:p>
        </w:tc>
      </w:tr>
      <w:tr w:rsidR="007A0320" w:rsidRPr="00A66477" w14:paraId="306CA03E" w14:textId="77777777" w:rsidTr="008E6A2B">
        <w:trPr>
          <w:trHeight w:hRule="exact" w:val="531"/>
        </w:trPr>
        <w:tc>
          <w:tcPr>
            <w:tcW w:w="588" w:type="dxa"/>
            <w:tcBorders>
              <w:top w:val="single" w:sz="12" w:space="0" w:color="auto"/>
              <w:bottom w:val="single" w:sz="4" w:space="0" w:color="auto"/>
            </w:tcBorders>
            <w:shd w:val="clear" w:color="auto" w:fill="auto"/>
          </w:tcPr>
          <w:p w14:paraId="35DAB606" w14:textId="77777777" w:rsidR="007A0320" w:rsidRPr="007F4A18" w:rsidRDefault="005600BF" w:rsidP="007F4A18">
            <w:pPr>
              <w:suppressAutoHyphens w:val="0"/>
              <w:kinsoku w:val="0"/>
              <w:overflowPunct w:val="0"/>
              <w:autoSpaceDE w:val="0"/>
              <w:autoSpaceDN w:val="0"/>
              <w:adjustRightInd w:val="0"/>
              <w:spacing w:before="40" w:after="40" w:line="220" w:lineRule="exact"/>
              <w:ind w:right="113"/>
              <w:rPr>
                <w:rFonts w:eastAsia="Calibri"/>
                <w:b/>
                <w:i/>
                <w:sz w:val="18"/>
                <w:szCs w:val="18"/>
              </w:rPr>
            </w:pPr>
            <w:r>
              <w:rPr>
                <w:b/>
                <w:bCs/>
                <w:i/>
                <w:iCs/>
                <w:sz w:val="18"/>
                <w:szCs w:val="18"/>
              </w:rPr>
              <w:t>В</w:t>
            </w:r>
            <w:r w:rsidR="007A0320" w:rsidRPr="007F4A18">
              <w:rPr>
                <w:b/>
                <w:bCs/>
                <w:i/>
                <w:iCs/>
                <w:sz w:val="18"/>
                <w:szCs w:val="18"/>
              </w:rPr>
              <w:t>се</w:t>
            </w:r>
          </w:p>
        </w:tc>
        <w:tc>
          <w:tcPr>
            <w:tcW w:w="4521" w:type="dxa"/>
            <w:tcBorders>
              <w:top w:val="single" w:sz="12" w:space="0" w:color="auto"/>
              <w:bottom w:val="single" w:sz="4" w:space="0" w:color="auto"/>
            </w:tcBorders>
            <w:shd w:val="clear" w:color="auto" w:fill="auto"/>
          </w:tcPr>
          <w:p w14:paraId="2285E331"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i/>
                <w:sz w:val="18"/>
                <w:szCs w:val="18"/>
              </w:rPr>
            </w:pPr>
            <w:r w:rsidRPr="007F4A18">
              <w:rPr>
                <w:b/>
                <w:bCs/>
                <w:i/>
                <w:iCs/>
                <w:sz w:val="18"/>
                <w:szCs w:val="18"/>
              </w:rPr>
              <w:t>Перевозка в цистернах веществ и изделий любого класса</w:t>
            </w:r>
          </w:p>
        </w:tc>
        <w:tc>
          <w:tcPr>
            <w:tcW w:w="926" w:type="dxa"/>
            <w:tcBorders>
              <w:top w:val="single" w:sz="12" w:space="0" w:color="auto"/>
              <w:bottom w:val="single" w:sz="4" w:space="0" w:color="auto"/>
            </w:tcBorders>
            <w:shd w:val="clear" w:color="auto" w:fill="auto"/>
          </w:tcPr>
          <w:p w14:paraId="05698E92"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12" w:space="0" w:color="auto"/>
              <w:bottom w:val="single" w:sz="4" w:space="0" w:color="auto"/>
            </w:tcBorders>
            <w:shd w:val="clear" w:color="auto" w:fill="auto"/>
          </w:tcPr>
          <w:p w14:paraId="3D8F1A41"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12" w:space="0" w:color="auto"/>
              <w:bottom w:val="single" w:sz="4" w:space="0" w:color="auto"/>
            </w:tcBorders>
            <w:shd w:val="clear" w:color="auto" w:fill="auto"/>
          </w:tcPr>
          <w:p w14:paraId="35EF17B1"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b/>
                <w:bCs/>
                <w:sz w:val="18"/>
                <w:szCs w:val="18"/>
              </w:rPr>
            </w:pPr>
            <w:r w:rsidRPr="007F4A18">
              <w:rPr>
                <w:b/>
                <w:bCs/>
                <w:sz w:val="18"/>
                <w:szCs w:val="18"/>
              </w:rPr>
              <w:t>0</w:t>
            </w:r>
          </w:p>
        </w:tc>
      </w:tr>
      <w:tr w:rsidR="007A0320" w:rsidRPr="00A66477" w14:paraId="0E191764" w14:textId="77777777" w:rsidTr="008E6A2B">
        <w:trPr>
          <w:trHeight w:val="57"/>
        </w:trPr>
        <w:tc>
          <w:tcPr>
            <w:tcW w:w="588" w:type="dxa"/>
            <w:tcBorders>
              <w:top w:val="single" w:sz="4" w:space="0" w:color="auto"/>
              <w:bottom w:val="single" w:sz="4" w:space="0" w:color="auto"/>
            </w:tcBorders>
            <w:shd w:val="clear" w:color="auto" w:fill="auto"/>
          </w:tcPr>
          <w:p w14:paraId="524C342D"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bCs/>
                <w:sz w:val="18"/>
                <w:szCs w:val="18"/>
              </w:rPr>
            </w:pPr>
            <w:r w:rsidRPr="007F4A18">
              <w:rPr>
                <w:b/>
                <w:bCs/>
                <w:sz w:val="18"/>
                <w:szCs w:val="18"/>
              </w:rPr>
              <w:t>1</w:t>
            </w:r>
          </w:p>
        </w:tc>
        <w:tc>
          <w:tcPr>
            <w:tcW w:w="4521" w:type="dxa"/>
            <w:tcBorders>
              <w:top w:val="single" w:sz="4" w:space="0" w:color="auto"/>
              <w:bottom w:val="single" w:sz="4" w:space="0" w:color="auto"/>
            </w:tcBorders>
            <w:shd w:val="clear" w:color="auto" w:fill="auto"/>
          </w:tcPr>
          <w:p w14:paraId="507A9164"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В</w:t>
            </w:r>
            <w:r w:rsidR="007A0320" w:rsidRPr="007F4A18">
              <w:rPr>
                <w:sz w:val="18"/>
                <w:szCs w:val="18"/>
              </w:rPr>
              <w:t>ещества и изделия класса 1</w:t>
            </w:r>
          </w:p>
        </w:tc>
        <w:tc>
          <w:tcPr>
            <w:tcW w:w="926" w:type="dxa"/>
            <w:tcBorders>
              <w:top w:val="single" w:sz="4" w:space="0" w:color="auto"/>
              <w:bottom w:val="single" w:sz="4" w:space="0" w:color="auto"/>
            </w:tcBorders>
            <w:shd w:val="clear" w:color="auto" w:fill="auto"/>
          </w:tcPr>
          <w:p w14:paraId="09288A84"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73568D9E"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5A83D1EB"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0</w:t>
            </w:r>
          </w:p>
        </w:tc>
      </w:tr>
      <w:tr w:rsidR="008E6A2B" w:rsidRPr="00A66477" w14:paraId="03663FA0" w14:textId="77777777" w:rsidTr="005600BF">
        <w:trPr>
          <w:trHeight w:val="313"/>
        </w:trPr>
        <w:tc>
          <w:tcPr>
            <w:tcW w:w="588" w:type="dxa"/>
            <w:vMerge w:val="restart"/>
            <w:tcBorders>
              <w:top w:val="single" w:sz="4" w:space="0" w:color="auto"/>
            </w:tcBorders>
            <w:shd w:val="clear" w:color="auto" w:fill="auto"/>
          </w:tcPr>
          <w:p w14:paraId="73A303D5" w14:textId="77777777" w:rsidR="008E6A2B" w:rsidRPr="007F4A18" w:rsidRDefault="008E6A2B" w:rsidP="007F4A18">
            <w:pPr>
              <w:suppressAutoHyphens w:val="0"/>
              <w:kinsoku w:val="0"/>
              <w:overflowPunct w:val="0"/>
              <w:autoSpaceDE w:val="0"/>
              <w:autoSpaceDN w:val="0"/>
              <w:adjustRightInd w:val="0"/>
              <w:spacing w:before="40" w:after="40" w:line="220" w:lineRule="exact"/>
              <w:ind w:right="113"/>
              <w:rPr>
                <w:rFonts w:eastAsia="Calibri"/>
                <w:b/>
                <w:bCs/>
                <w:sz w:val="18"/>
                <w:szCs w:val="18"/>
              </w:rPr>
            </w:pPr>
            <w:r w:rsidRPr="007F4A18">
              <w:rPr>
                <w:b/>
                <w:bCs/>
                <w:sz w:val="18"/>
                <w:szCs w:val="18"/>
              </w:rPr>
              <w:t>2</w:t>
            </w:r>
          </w:p>
        </w:tc>
        <w:tc>
          <w:tcPr>
            <w:tcW w:w="4521" w:type="dxa"/>
            <w:tcBorders>
              <w:top w:val="single" w:sz="4" w:space="0" w:color="auto"/>
              <w:bottom w:val="nil"/>
            </w:tcBorders>
            <w:shd w:val="clear" w:color="auto" w:fill="auto"/>
          </w:tcPr>
          <w:p w14:paraId="4FD6FE89" w14:textId="77777777" w:rsidR="008E6A2B" w:rsidRPr="007F4A18" w:rsidRDefault="008E6A2B" w:rsidP="008E6A2B">
            <w:pPr>
              <w:spacing w:before="40" w:after="40" w:line="220" w:lineRule="exact"/>
              <w:ind w:left="137" w:hanging="137"/>
              <w:rPr>
                <w:rFonts w:eastAsia="Arial Unicode MS"/>
                <w:sz w:val="18"/>
                <w:szCs w:val="18"/>
                <w:bdr w:val="nil"/>
              </w:rPr>
            </w:pPr>
            <w:r>
              <w:rPr>
                <w:sz w:val="18"/>
                <w:szCs w:val="18"/>
              </w:rPr>
              <w:t xml:space="preserve">– </w:t>
            </w:r>
            <w:r w:rsidRPr="007F4A18">
              <w:rPr>
                <w:sz w:val="18"/>
                <w:szCs w:val="18"/>
              </w:rPr>
              <w:t>вещества и изделия класса 2, отнесенные к группам T, F, TF, TC, TO, TFC или ТОС согласно пункту 2.2.2.1.3, и</w:t>
            </w:r>
          </w:p>
        </w:tc>
        <w:tc>
          <w:tcPr>
            <w:tcW w:w="926" w:type="dxa"/>
            <w:vMerge w:val="restart"/>
            <w:tcBorders>
              <w:top w:val="single" w:sz="4" w:space="0" w:color="auto"/>
            </w:tcBorders>
            <w:shd w:val="clear" w:color="auto" w:fill="auto"/>
          </w:tcPr>
          <w:p w14:paraId="05EFA6DD"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vMerge w:val="restart"/>
            <w:tcBorders>
              <w:top w:val="single" w:sz="4" w:space="0" w:color="auto"/>
            </w:tcBorders>
            <w:shd w:val="clear" w:color="auto" w:fill="auto"/>
          </w:tcPr>
          <w:p w14:paraId="55E11EA3"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tcBorders>
            <w:shd w:val="clear" w:color="auto" w:fill="auto"/>
          </w:tcPr>
          <w:p w14:paraId="38612F74"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8E6A2B" w:rsidRPr="00A66477" w14:paraId="1DC5CF19" w14:textId="77777777" w:rsidTr="005600BF">
        <w:trPr>
          <w:trHeight w:val="313"/>
        </w:trPr>
        <w:tc>
          <w:tcPr>
            <w:tcW w:w="588" w:type="dxa"/>
            <w:vMerge/>
            <w:shd w:val="clear" w:color="auto" w:fill="auto"/>
          </w:tcPr>
          <w:p w14:paraId="04A37F5F" w14:textId="77777777" w:rsidR="008E6A2B" w:rsidRPr="007F4A18" w:rsidRDefault="008E6A2B" w:rsidP="007F4A18">
            <w:pPr>
              <w:suppressAutoHyphens w:val="0"/>
              <w:kinsoku w:val="0"/>
              <w:overflowPunct w:val="0"/>
              <w:autoSpaceDE w:val="0"/>
              <w:autoSpaceDN w:val="0"/>
              <w:adjustRightInd w:val="0"/>
              <w:spacing w:before="40" w:after="40" w:line="220" w:lineRule="exact"/>
              <w:ind w:right="113"/>
              <w:rPr>
                <w:b/>
                <w:bCs/>
                <w:sz w:val="18"/>
                <w:szCs w:val="18"/>
              </w:rPr>
            </w:pPr>
          </w:p>
        </w:tc>
        <w:tc>
          <w:tcPr>
            <w:tcW w:w="4521" w:type="dxa"/>
            <w:tcBorders>
              <w:top w:val="nil"/>
              <w:bottom w:val="single" w:sz="4" w:space="0" w:color="auto"/>
            </w:tcBorders>
            <w:shd w:val="clear" w:color="auto" w:fill="auto"/>
          </w:tcPr>
          <w:p w14:paraId="0F5A135E" w14:textId="77777777" w:rsidR="008E6A2B" w:rsidRDefault="008E6A2B" w:rsidP="007F4A18">
            <w:pPr>
              <w:spacing w:before="40" w:after="40" w:line="220" w:lineRule="exact"/>
              <w:ind w:left="137" w:hanging="137"/>
              <w:rPr>
                <w:sz w:val="18"/>
                <w:szCs w:val="18"/>
              </w:rPr>
            </w:pPr>
            <w:r>
              <w:rPr>
                <w:sz w:val="18"/>
                <w:szCs w:val="18"/>
              </w:rPr>
              <w:t xml:space="preserve">– </w:t>
            </w:r>
            <w:r w:rsidRPr="007F4A18">
              <w:rPr>
                <w:sz w:val="18"/>
                <w:szCs w:val="18"/>
              </w:rPr>
              <w:t>аэрозоли, отнесенные к группам С, СO, F, FC, T, TF, TC, TO, TFC и TOC согласно пункту 2.2.2.1.6;</w:t>
            </w:r>
          </w:p>
        </w:tc>
        <w:tc>
          <w:tcPr>
            <w:tcW w:w="926" w:type="dxa"/>
            <w:vMerge/>
            <w:tcBorders>
              <w:bottom w:val="single" w:sz="4" w:space="0" w:color="auto"/>
            </w:tcBorders>
            <w:shd w:val="clear" w:color="auto" w:fill="auto"/>
          </w:tcPr>
          <w:p w14:paraId="0DA5A4F0"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vMerge/>
            <w:tcBorders>
              <w:bottom w:val="single" w:sz="4" w:space="0" w:color="auto"/>
            </w:tcBorders>
            <w:shd w:val="clear" w:color="auto" w:fill="auto"/>
          </w:tcPr>
          <w:p w14:paraId="26B54FF9"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bottom w:val="single" w:sz="4" w:space="0" w:color="auto"/>
            </w:tcBorders>
            <w:shd w:val="clear" w:color="auto" w:fill="auto"/>
          </w:tcPr>
          <w:p w14:paraId="14C9D38F"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0</w:t>
            </w:r>
          </w:p>
        </w:tc>
      </w:tr>
      <w:tr w:rsidR="008E6A2B" w:rsidRPr="00A66477" w14:paraId="0DD3F8A4" w14:textId="77777777" w:rsidTr="008E6A2B">
        <w:trPr>
          <w:trHeight w:val="313"/>
        </w:trPr>
        <w:tc>
          <w:tcPr>
            <w:tcW w:w="588" w:type="dxa"/>
            <w:vMerge/>
            <w:shd w:val="clear" w:color="auto" w:fill="auto"/>
          </w:tcPr>
          <w:p w14:paraId="48A6A3C2" w14:textId="77777777" w:rsidR="008E6A2B" w:rsidRPr="007F4A18" w:rsidRDefault="008E6A2B"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nil"/>
            </w:tcBorders>
            <w:shd w:val="clear" w:color="auto" w:fill="auto"/>
          </w:tcPr>
          <w:p w14:paraId="3BE533BA" w14:textId="77777777" w:rsidR="008E6A2B" w:rsidRPr="007F4A18" w:rsidRDefault="008E6A2B" w:rsidP="008E6A2B">
            <w:pPr>
              <w:spacing w:before="40" w:after="40" w:line="220" w:lineRule="exact"/>
              <w:ind w:left="137" w:hanging="137"/>
              <w:rPr>
                <w:rFonts w:eastAsia="Arial Unicode MS"/>
                <w:sz w:val="18"/>
                <w:szCs w:val="18"/>
                <w:bdr w:val="nil"/>
              </w:rPr>
            </w:pPr>
            <w:r>
              <w:rPr>
                <w:sz w:val="18"/>
                <w:szCs w:val="18"/>
              </w:rPr>
              <w:t xml:space="preserve">– </w:t>
            </w:r>
            <w:r w:rsidRPr="007F4A18">
              <w:rPr>
                <w:sz w:val="18"/>
                <w:szCs w:val="18"/>
              </w:rPr>
              <w:t>вещества и изделия класса 2, отнесенные к группе F согласно пункту 2.2.2.1.3, или</w:t>
            </w:r>
          </w:p>
        </w:tc>
        <w:tc>
          <w:tcPr>
            <w:tcW w:w="926" w:type="dxa"/>
            <w:vMerge w:val="restart"/>
            <w:tcBorders>
              <w:top w:val="single" w:sz="4" w:space="0" w:color="auto"/>
            </w:tcBorders>
            <w:shd w:val="clear" w:color="auto" w:fill="auto"/>
          </w:tcPr>
          <w:p w14:paraId="62FE2FC6"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vMerge w:val="restart"/>
            <w:tcBorders>
              <w:top w:val="single" w:sz="4" w:space="0" w:color="auto"/>
            </w:tcBorders>
            <w:shd w:val="clear" w:color="auto" w:fill="auto"/>
          </w:tcPr>
          <w:p w14:paraId="4C7BAA87"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300</w:t>
            </w:r>
          </w:p>
        </w:tc>
        <w:tc>
          <w:tcPr>
            <w:tcW w:w="579" w:type="dxa"/>
            <w:vMerge w:val="restart"/>
            <w:tcBorders>
              <w:top w:val="single" w:sz="4" w:space="0" w:color="auto"/>
            </w:tcBorders>
            <w:shd w:val="clear" w:color="auto" w:fill="auto"/>
          </w:tcPr>
          <w:p w14:paraId="3F49D097"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8E6A2B" w:rsidRPr="00A66477" w14:paraId="5629CE67" w14:textId="77777777" w:rsidTr="008E6A2B">
        <w:trPr>
          <w:trHeight w:val="313"/>
        </w:trPr>
        <w:tc>
          <w:tcPr>
            <w:tcW w:w="588" w:type="dxa"/>
            <w:vMerge/>
            <w:shd w:val="clear" w:color="auto" w:fill="auto"/>
          </w:tcPr>
          <w:p w14:paraId="17F65F82" w14:textId="77777777" w:rsidR="008E6A2B" w:rsidRPr="007F4A18" w:rsidRDefault="008E6A2B"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nil"/>
              <w:bottom w:val="single" w:sz="4" w:space="0" w:color="auto"/>
            </w:tcBorders>
            <w:shd w:val="clear" w:color="auto" w:fill="auto"/>
          </w:tcPr>
          <w:p w14:paraId="61BAACFB" w14:textId="77777777" w:rsidR="008E6A2B" w:rsidRDefault="008E6A2B" w:rsidP="005600BF">
            <w:pPr>
              <w:spacing w:before="40" w:after="40" w:line="220" w:lineRule="exact"/>
              <w:rPr>
                <w:sz w:val="18"/>
                <w:szCs w:val="18"/>
              </w:rPr>
            </w:pPr>
            <w:r w:rsidRPr="007F4A18">
              <w:rPr>
                <w:sz w:val="18"/>
                <w:szCs w:val="18"/>
              </w:rPr>
              <w:t>аэрозоли, отнесенные к группе F согласно</w:t>
            </w:r>
            <w:r>
              <w:rPr>
                <w:sz w:val="18"/>
                <w:szCs w:val="18"/>
              </w:rPr>
              <w:br/>
            </w:r>
            <w:r w:rsidRPr="007F4A18">
              <w:rPr>
                <w:sz w:val="18"/>
                <w:szCs w:val="18"/>
              </w:rPr>
              <w:t>пункту 2.2.2.1.6;</w:t>
            </w:r>
          </w:p>
        </w:tc>
        <w:tc>
          <w:tcPr>
            <w:tcW w:w="926" w:type="dxa"/>
            <w:vMerge/>
            <w:tcBorders>
              <w:bottom w:val="single" w:sz="4" w:space="0" w:color="auto"/>
            </w:tcBorders>
            <w:shd w:val="clear" w:color="auto" w:fill="auto"/>
          </w:tcPr>
          <w:p w14:paraId="518B0036"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vMerge/>
            <w:tcBorders>
              <w:bottom w:val="single" w:sz="4" w:space="0" w:color="auto"/>
            </w:tcBorders>
            <w:shd w:val="clear" w:color="auto" w:fill="auto"/>
          </w:tcPr>
          <w:p w14:paraId="5C93E817"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sz w:val="18"/>
                <w:szCs w:val="18"/>
              </w:rPr>
            </w:pPr>
          </w:p>
        </w:tc>
        <w:tc>
          <w:tcPr>
            <w:tcW w:w="579" w:type="dxa"/>
            <w:vMerge/>
            <w:tcBorders>
              <w:bottom w:val="single" w:sz="4" w:space="0" w:color="auto"/>
            </w:tcBorders>
            <w:shd w:val="clear" w:color="auto" w:fill="auto"/>
          </w:tcPr>
          <w:p w14:paraId="313B9758"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8E6A2B" w:rsidRPr="00A66477" w14:paraId="3221225B" w14:textId="77777777" w:rsidTr="008E6A2B">
        <w:trPr>
          <w:trHeight w:val="57"/>
        </w:trPr>
        <w:tc>
          <w:tcPr>
            <w:tcW w:w="588" w:type="dxa"/>
            <w:vMerge/>
            <w:tcBorders>
              <w:bottom w:val="single" w:sz="4" w:space="0" w:color="auto"/>
            </w:tcBorders>
            <w:shd w:val="clear" w:color="auto" w:fill="auto"/>
          </w:tcPr>
          <w:p w14:paraId="1CE0318B" w14:textId="77777777" w:rsidR="008E6A2B" w:rsidRPr="007F4A18" w:rsidRDefault="008E6A2B"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5FD95917" w14:textId="77777777" w:rsidR="008E6A2B" w:rsidRPr="007F4A18" w:rsidRDefault="008E6A2B" w:rsidP="007F4A18">
            <w:pPr>
              <w:suppressAutoHyphens w:val="0"/>
              <w:kinsoku w:val="0"/>
              <w:overflowPunct w:val="0"/>
              <w:autoSpaceDE w:val="0"/>
              <w:autoSpaceDN w:val="0"/>
              <w:adjustRightInd w:val="0"/>
              <w:spacing w:before="40" w:after="40" w:line="220" w:lineRule="exact"/>
              <w:rPr>
                <w:rFonts w:eastAsia="Calibri"/>
                <w:bCs/>
                <w:sz w:val="18"/>
                <w:szCs w:val="18"/>
                <w:u w:color="000000"/>
              </w:rPr>
            </w:pPr>
            <w:r w:rsidRPr="007F4A18">
              <w:rPr>
                <w:sz w:val="18"/>
                <w:szCs w:val="18"/>
              </w:rPr>
              <w:t>любые другие вещества класса 2</w:t>
            </w:r>
          </w:p>
        </w:tc>
        <w:tc>
          <w:tcPr>
            <w:tcW w:w="926" w:type="dxa"/>
            <w:tcBorders>
              <w:top w:val="single" w:sz="4" w:space="0" w:color="auto"/>
              <w:bottom w:val="single" w:sz="4" w:space="0" w:color="auto"/>
            </w:tcBorders>
            <w:shd w:val="clear" w:color="auto" w:fill="auto"/>
          </w:tcPr>
          <w:p w14:paraId="303BBF04"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7F1BD95C"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6A6EA79D" w14:textId="77777777" w:rsidR="008E6A2B" w:rsidRPr="007F4A18" w:rsidRDefault="008E6A2B"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52645F75" w14:textId="77777777" w:rsidTr="008E6A2B">
        <w:trPr>
          <w:trHeight w:val="57"/>
        </w:trPr>
        <w:tc>
          <w:tcPr>
            <w:tcW w:w="588" w:type="dxa"/>
            <w:vMerge w:val="restart"/>
            <w:tcBorders>
              <w:top w:val="single" w:sz="4" w:space="0" w:color="auto"/>
              <w:bottom w:val="single" w:sz="4" w:space="0" w:color="auto"/>
            </w:tcBorders>
            <w:shd w:val="clear" w:color="auto" w:fill="auto"/>
          </w:tcPr>
          <w:p w14:paraId="3C2FBB40"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bCs/>
                <w:sz w:val="18"/>
                <w:szCs w:val="18"/>
              </w:rPr>
            </w:pPr>
            <w:r w:rsidRPr="007F4A18">
              <w:rPr>
                <w:b/>
                <w:bCs/>
                <w:sz w:val="18"/>
                <w:szCs w:val="18"/>
              </w:rPr>
              <w:t>3</w:t>
            </w:r>
          </w:p>
        </w:tc>
        <w:tc>
          <w:tcPr>
            <w:tcW w:w="4521" w:type="dxa"/>
            <w:tcBorders>
              <w:top w:val="single" w:sz="4" w:space="0" w:color="auto"/>
              <w:bottom w:val="single" w:sz="4" w:space="0" w:color="auto"/>
            </w:tcBorders>
            <w:shd w:val="clear" w:color="auto" w:fill="auto"/>
          </w:tcPr>
          <w:p w14:paraId="0E2F56F3"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В</w:t>
            </w:r>
            <w:r w:rsidR="007A0320" w:rsidRPr="007F4A18">
              <w:rPr>
                <w:sz w:val="18"/>
                <w:szCs w:val="18"/>
              </w:rPr>
              <w:t>ещества и изделия класса 3, группа упаковки I</w:t>
            </w:r>
          </w:p>
        </w:tc>
        <w:tc>
          <w:tcPr>
            <w:tcW w:w="926" w:type="dxa"/>
            <w:tcBorders>
              <w:top w:val="single" w:sz="4" w:space="0" w:color="auto"/>
              <w:bottom w:val="single" w:sz="4" w:space="0" w:color="auto"/>
            </w:tcBorders>
            <w:shd w:val="clear" w:color="auto" w:fill="auto"/>
          </w:tcPr>
          <w:p w14:paraId="492773CE"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09928346"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300</w:t>
            </w:r>
          </w:p>
        </w:tc>
        <w:tc>
          <w:tcPr>
            <w:tcW w:w="579" w:type="dxa"/>
            <w:tcBorders>
              <w:top w:val="single" w:sz="4" w:space="0" w:color="auto"/>
              <w:bottom w:val="single" w:sz="4" w:space="0" w:color="auto"/>
            </w:tcBorders>
            <w:shd w:val="clear" w:color="auto" w:fill="auto"/>
          </w:tcPr>
          <w:p w14:paraId="54C2DB50"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79C36EB8" w14:textId="77777777" w:rsidTr="008E6A2B">
        <w:trPr>
          <w:trHeight w:val="57"/>
        </w:trPr>
        <w:tc>
          <w:tcPr>
            <w:tcW w:w="588" w:type="dxa"/>
            <w:vMerge/>
            <w:tcBorders>
              <w:top w:val="single" w:sz="4" w:space="0" w:color="auto"/>
              <w:bottom w:val="single" w:sz="4" w:space="0" w:color="auto"/>
            </w:tcBorders>
            <w:shd w:val="clear" w:color="auto" w:fill="auto"/>
          </w:tcPr>
          <w:p w14:paraId="6FAEEBB6"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249587A6"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Л</w:t>
            </w:r>
            <w:r w:rsidR="007A0320" w:rsidRPr="007F4A18">
              <w:rPr>
                <w:sz w:val="18"/>
                <w:szCs w:val="18"/>
              </w:rPr>
              <w:t>юбые другие вещества класса 3</w:t>
            </w:r>
          </w:p>
        </w:tc>
        <w:tc>
          <w:tcPr>
            <w:tcW w:w="926" w:type="dxa"/>
            <w:tcBorders>
              <w:top w:val="single" w:sz="4" w:space="0" w:color="auto"/>
              <w:bottom w:val="single" w:sz="4" w:space="0" w:color="auto"/>
            </w:tcBorders>
            <w:shd w:val="clear" w:color="auto" w:fill="auto"/>
          </w:tcPr>
          <w:p w14:paraId="1781BFC0"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67A5F76C"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6511DFCC"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143CB8AA" w14:textId="77777777" w:rsidTr="008E6A2B">
        <w:trPr>
          <w:trHeight w:val="57"/>
        </w:trPr>
        <w:tc>
          <w:tcPr>
            <w:tcW w:w="588" w:type="dxa"/>
            <w:vMerge w:val="restart"/>
            <w:tcBorders>
              <w:top w:val="single" w:sz="4" w:space="0" w:color="auto"/>
              <w:bottom w:val="single" w:sz="4" w:space="0" w:color="auto"/>
            </w:tcBorders>
            <w:shd w:val="clear" w:color="auto" w:fill="auto"/>
          </w:tcPr>
          <w:p w14:paraId="597B9256"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r w:rsidRPr="007F4A18">
              <w:rPr>
                <w:b/>
                <w:bCs/>
                <w:sz w:val="18"/>
                <w:szCs w:val="18"/>
              </w:rPr>
              <w:t>4.1</w:t>
            </w:r>
          </w:p>
        </w:tc>
        <w:tc>
          <w:tcPr>
            <w:tcW w:w="4521" w:type="dxa"/>
            <w:tcBorders>
              <w:top w:val="single" w:sz="4" w:space="0" w:color="auto"/>
              <w:bottom w:val="single" w:sz="4" w:space="0" w:color="auto"/>
            </w:tcBorders>
            <w:shd w:val="clear" w:color="auto" w:fill="auto"/>
          </w:tcPr>
          <w:p w14:paraId="74A9D311"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u w:color="000000"/>
              </w:rPr>
            </w:pPr>
            <w:r>
              <w:rPr>
                <w:sz w:val="18"/>
                <w:szCs w:val="18"/>
              </w:rPr>
              <w:t>В</w:t>
            </w:r>
            <w:r w:rsidR="007A0320" w:rsidRPr="007F4A18">
              <w:rPr>
                <w:sz w:val="18"/>
                <w:szCs w:val="18"/>
              </w:rPr>
              <w:t>ещества и изделия класса 4.1, для которых в колонке 5 таблицы А главы 3.2 предписан знак опасности</w:t>
            </w:r>
            <w:r w:rsidR="008E6A2B">
              <w:rPr>
                <w:sz w:val="18"/>
                <w:szCs w:val="18"/>
              </w:rPr>
              <w:br/>
            </w:r>
            <w:r w:rsidR="007A0320" w:rsidRPr="007F4A18">
              <w:rPr>
                <w:sz w:val="18"/>
                <w:szCs w:val="18"/>
              </w:rPr>
              <w:t>образца № 1</w:t>
            </w:r>
          </w:p>
        </w:tc>
        <w:tc>
          <w:tcPr>
            <w:tcW w:w="926" w:type="dxa"/>
            <w:tcBorders>
              <w:top w:val="single" w:sz="4" w:space="0" w:color="auto"/>
              <w:bottom w:val="single" w:sz="4" w:space="0" w:color="auto"/>
            </w:tcBorders>
            <w:shd w:val="clear" w:color="auto" w:fill="auto"/>
          </w:tcPr>
          <w:p w14:paraId="32132D9C"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24C98C05"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630D6731"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0</w:t>
            </w:r>
          </w:p>
        </w:tc>
      </w:tr>
      <w:tr w:rsidR="007A0320" w:rsidRPr="00A66477" w14:paraId="49D49E4E" w14:textId="77777777" w:rsidTr="008E6A2B">
        <w:trPr>
          <w:trHeight w:val="57"/>
        </w:trPr>
        <w:tc>
          <w:tcPr>
            <w:tcW w:w="588" w:type="dxa"/>
            <w:vMerge/>
            <w:tcBorders>
              <w:top w:val="single" w:sz="4" w:space="0" w:color="auto"/>
              <w:bottom w:val="single" w:sz="4" w:space="0" w:color="auto"/>
            </w:tcBorders>
            <w:shd w:val="clear" w:color="auto" w:fill="auto"/>
          </w:tcPr>
          <w:p w14:paraId="788520E1"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264B50C0"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u w:color="000000"/>
              </w:rPr>
            </w:pPr>
            <w:r>
              <w:rPr>
                <w:sz w:val="18"/>
                <w:szCs w:val="18"/>
              </w:rPr>
              <w:t>Л</w:t>
            </w:r>
            <w:r w:rsidR="007A0320" w:rsidRPr="007F4A18">
              <w:rPr>
                <w:sz w:val="18"/>
                <w:szCs w:val="18"/>
              </w:rPr>
              <w:t>юбые другие вещества и изделия класса 4.1, группа</w:t>
            </w:r>
            <w:r w:rsidR="008E6A2B">
              <w:rPr>
                <w:sz w:val="18"/>
                <w:szCs w:val="18"/>
              </w:rPr>
              <w:br/>
            </w:r>
            <w:r w:rsidR="007A0320" w:rsidRPr="007F4A18">
              <w:rPr>
                <w:sz w:val="18"/>
                <w:szCs w:val="18"/>
              </w:rPr>
              <w:t>упаковки I</w:t>
            </w:r>
          </w:p>
        </w:tc>
        <w:tc>
          <w:tcPr>
            <w:tcW w:w="926" w:type="dxa"/>
            <w:tcBorders>
              <w:top w:val="single" w:sz="4" w:space="0" w:color="auto"/>
              <w:bottom w:val="single" w:sz="4" w:space="0" w:color="auto"/>
            </w:tcBorders>
            <w:shd w:val="clear" w:color="auto" w:fill="auto"/>
          </w:tcPr>
          <w:p w14:paraId="326596B7"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7E53B076"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300</w:t>
            </w:r>
          </w:p>
        </w:tc>
        <w:tc>
          <w:tcPr>
            <w:tcW w:w="579" w:type="dxa"/>
            <w:tcBorders>
              <w:top w:val="single" w:sz="4" w:space="0" w:color="auto"/>
              <w:bottom w:val="single" w:sz="4" w:space="0" w:color="auto"/>
            </w:tcBorders>
            <w:shd w:val="clear" w:color="auto" w:fill="auto"/>
          </w:tcPr>
          <w:p w14:paraId="6BA591BB"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3677F886" w14:textId="77777777" w:rsidTr="008E6A2B">
        <w:trPr>
          <w:trHeight w:val="57"/>
        </w:trPr>
        <w:tc>
          <w:tcPr>
            <w:tcW w:w="588" w:type="dxa"/>
            <w:vMerge/>
            <w:tcBorders>
              <w:top w:val="single" w:sz="4" w:space="0" w:color="auto"/>
              <w:bottom w:val="single" w:sz="4" w:space="0" w:color="auto"/>
            </w:tcBorders>
            <w:shd w:val="clear" w:color="auto" w:fill="auto"/>
          </w:tcPr>
          <w:p w14:paraId="7CC9FB69"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6BBEEC9E"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Л</w:t>
            </w:r>
            <w:r w:rsidR="007A0320" w:rsidRPr="007F4A18">
              <w:rPr>
                <w:sz w:val="18"/>
                <w:szCs w:val="18"/>
              </w:rPr>
              <w:t>юбые другие вещества и изделия класса 4.1</w:t>
            </w:r>
          </w:p>
        </w:tc>
        <w:tc>
          <w:tcPr>
            <w:tcW w:w="926" w:type="dxa"/>
            <w:tcBorders>
              <w:top w:val="single" w:sz="4" w:space="0" w:color="auto"/>
              <w:bottom w:val="single" w:sz="4" w:space="0" w:color="auto"/>
            </w:tcBorders>
            <w:shd w:val="clear" w:color="auto" w:fill="auto"/>
          </w:tcPr>
          <w:p w14:paraId="168864CF"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099012F9"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77348FA7"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1E5B5F3A" w14:textId="77777777" w:rsidTr="008E6A2B">
        <w:trPr>
          <w:trHeight w:val="57"/>
        </w:trPr>
        <w:tc>
          <w:tcPr>
            <w:tcW w:w="588" w:type="dxa"/>
            <w:vMerge w:val="restart"/>
            <w:tcBorders>
              <w:top w:val="single" w:sz="4" w:space="0" w:color="auto"/>
              <w:bottom w:val="single" w:sz="4" w:space="0" w:color="auto"/>
            </w:tcBorders>
            <w:shd w:val="clear" w:color="auto" w:fill="auto"/>
          </w:tcPr>
          <w:p w14:paraId="3385F416"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r w:rsidRPr="007F4A18">
              <w:rPr>
                <w:b/>
                <w:bCs/>
                <w:sz w:val="18"/>
                <w:szCs w:val="18"/>
              </w:rPr>
              <w:t>4.2</w:t>
            </w:r>
          </w:p>
        </w:tc>
        <w:tc>
          <w:tcPr>
            <w:tcW w:w="4521" w:type="dxa"/>
            <w:tcBorders>
              <w:top w:val="single" w:sz="4" w:space="0" w:color="auto"/>
              <w:bottom w:val="single" w:sz="4" w:space="0" w:color="auto"/>
            </w:tcBorders>
            <w:shd w:val="clear" w:color="auto" w:fill="auto"/>
          </w:tcPr>
          <w:p w14:paraId="34F1CDCE"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В</w:t>
            </w:r>
            <w:r w:rsidR="007A0320" w:rsidRPr="007F4A18">
              <w:rPr>
                <w:sz w:val="18"/>
                <w:szCs w:val="18"/>
              </w:rPr>
              <w:t>ещества и изделия класса 4.2, группа упаковки I</w:t>
            </w:r>
          </w:p>
        </w:tc>
        <w:tc>
          <w:tcPr>
            <w:tcW w:w="926" w:type="dxa"/>
            <w:tcBorders>
              <w:top w:val="single" w:sz="4" w:space="0" w:color="auto"/>
              <w:bottom w:val="single" w:sz="4" w:space="0" w:color="auto"/>
            </w:tcBorders>
            <w:shd w:val="clear" w:color="auto" w:fill="auto"/>
          </w:tcPr>
          <w:p w14:paraId="3B711B32"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7D2D3250"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300</w:t>
            </w:r>
          </w:p>
        </w:tc>
        <w:tc>
          <w:tcPr>
            <w:tcW w:w="579" w:type="dxa"/>
            <w:tcBorders>
              <w:top w:val="single" w:sz="4" w:space="0" w:color="auto"/>
              <w:bottom w:val="single" w:sz="4" w:space="0" w:color="auto"/>
            </w:tcBorders>
            <w:shd w:val="clear" w:color="auto" w:fill="auto"/>
          </w:tcPr>
          <w:p w14:paraId="49F02F82"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48926FAE" w14:textId="77777777" w:rsidTr="008E6A2B">
        <w:trPr>
          <w:trHeight w:val="57"/>
        </w:trPr>
        <w:tc>
          <w:tcPr>
            <w:tcW w:w="588" w:type="dxa"/>
            <w:vMerge/>
            <w:tcBorders>
              <w:top w:val="single" w:sz="4" w:space="0" w:color="auto"/>
              <w:bottom w:val="single" w:sz="4" w:space="0" w:color="auto"/>
            </w:tcBorders>
            <w:shd w:val="clear" w:color="auto" w:fill="auto"/>
          </w:tcPr>
          <w:p w14:paraId="3260F51C"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4CA8001F"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Л</w:t>
            </w:r>
            <w:r w:rsidR="007A0320" w:rsidRPr="007F4A18">
              <w:rPr>
                <w:sz w:val="18"/>
                <w:szCs w:val="18"/>
              </w:rPr>
              <w:t>юбые другие вещества и изделия класса 4.2</w:t>
            </w:r>
          </w:p>
        </w:tc>
        <w:tc>
          <w:tcPr>
            <w:tcW w:w="926" w:type="dxa"/>
            <w:tcBorders>
              <w:top w:val="single" w:sz="4" w:space="0" w:color="auto"/>
              <w:bottom w:val="single" w:sz="4" w:space="0" w:color="auto"/>
            </w:tcBorders>
            <w:shd w:val="clear" w:color="auto" w:fill="auto"/>
          </w:tcPr>
          <w:p w14:paraId="64199401"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444FD609"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45D2F1C8"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5A32AD29" w14:textId="77777777" w:rsidTr="008E6A2B">
        <w:trPr>
          <w:trHeight w:val="57"/>
        </w:trPr>
        <w:tc>
          <w:tcPr>
            <w:tcW w:w="588" w:type="dxa"/>
            <w:vMerge w:val="restart"/>
            <w:tcBorders>
              <w:top w:val="single" w:sz="4" w:space="0" w:color="auto"/>
              <w:bottom w:val="single" w:sz="4" w:space="0" w:color="auto"/>
            </w:tcBorders>
            <w:shd w:val="clear" w:color="auto" w:fill="auto"/>
          </w:tcPr>
          <w:p w14:paraId="34D340E0"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r w:rsidRPr="007F4A18">
              <w:rPr>
                <w:b/>
                <w:bCs/>
                <w:sz w:val="18"/>
                <w:szCs w:val="18"/>
              </w:rPr>
              <w:t>4.3</w:t>
            </w:r>
          </w:p>
        </w:tc>
        <w:tc>
          <w:tcPr>
            <w:tcW w:w="4521" w:type="dxa"/>
            <w:tcBorders>
              <w:top w:val="single" w:sz="4" w:space="0" w:color="auto"/>
              <w:bottom w:val="single" w:sz="4" w:space="0" w:color="auto"/>
            </w:tcBorders>
            <w:shd w:val="clear" w:color="auto" w:fill="auto"/>
          </w:tcPr>
          <w:p w14:paraId="276CA2F9"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В</w:t>
            </w:r>
            <w:r w:rsidR="007A0320" w:rsidRPr="007F4A18">
              <w:rPr>
                <w:sz w:val="18"/>
                <w:szCs w:val="18"/>
              </w:rPr>
              <w:t>ещества и изделия класса 4.3, группа упаковки I</w:t>
            </w:r>
          </w:p>
        </w:tc>
        <w:tc>
          <w:tcPr>
            <w:tcW w:w="926" w:type="dxa"/>
            <w:tcBorders>
              <w:top w:val="single" w:sz="4" w:space="0" w:color="auto"/>
              <w:bottom w:val="single" w:sz="4" w:space="0" w:color="auto"/>
            </w:tcBorders>
            <w:shd w:val="clear" w:color="auto" w:fill="auto"/>
          </w:tcPr>
          <w:p w14:paraId="0DB4FCE2"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73561615"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300</w:t>
            </w:r>
          </w:p>
        </w:tc>
        <w:tc>
          <w:tcPr>
            <w:tcW w:w="579" w:type="dxa"/>
            <w:tcBorders>
              <w:top w:val="single" w:sz="4" w:space="0" w:color="auto"/>
              <w:bottom w:val="single" w:sz="4" w:space="0" w:color="auto"/>
            </w:tcBorders>
            <w:shd w:val="clear" w:color="auto" w:fill="auto"/>
          </w:tcPr>
          <w:p w14:paraId="489A155F"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467BFB07" w14:textId="77777777" w:rsidTr="008E6A2B">
        <w:trPr>
          <w:trHeight w:val="57"/>
        </w:trPr>
        <w:tc>
          <w:tcPr>
            <w:tcW w:w="588" w:type="dxa"/>
            <w:vMerge/>
            <w:tcBorders>
              <w:top w:val="single" w:sz="4" w:space="0" w:color="auto"/>
              <w:bottom w:val="single" w:sz="4" w:space="0" w:color="auto"/>
            </w:tcBorders>
            <w:shd w:val="clear" w:color="auto" w:fill="auto"/>
          </w:tcPr>
          <w:p w14:paraId="6529DAF4"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11C1B369"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Л</w:t>
            </w:r>
            <w:r w:rsidR="007A0320" w:rsidRPr="007F4A18">
              <w:rPr>
                <w:sz w:val="18"/>
                <w:szCs w:val="18"/>
              </w:rPr>
              <w:t>юбые другие вещества и изделия класса 4.3</w:t>
            </w:r>
          </w:p>
        </w:tc>
        <w:tc>
          <w:tcPr>
            <w:tcW w:w="926" w:type="dxa"/>
            <w:tcBorders>
              <w:top w:val="single" w:sz="4" w:space="0" w:color="auto"/>
              <w:bottom w:val="single" w:sz="4" w:space="0" w:color="auto"/>
            </w:tcBorders>
            <w:shd w:val="clear" w:color="auto" w:fill="auto"/>
          </w:tcPr>
          <w:p w14:paraId="4F0C84C8"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2E4ECAFE"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1FCE400D"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1DFD9E2B" w14:textId="77777777" w:rsidTr="008E6A2B">
        <w:trPr>
          <w:trHeight w:val="57"/>
        </w:trPr>
        <w:tc>
          <w:tcPr>
            <w:tcW w:w="588" w:type="dxa"/>
            <w:vMerge w:val="restart"/>
            <w:tcBorders>
              <w:top w:val="single" w:sz="4" w:space="0" w:color="auto"/>
              <w:bottom w:val="single" w:sz="4" w:space="0" w:color="auto"/>
            </w:tcBorders>
            <w:shd w:val="clear" w:color="auto" w:fill="auto"/>
          </w:tcPr>
          <w:p w14:paraId="1D5A2040"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r w:rsidRPr="007F4A18">
              <w:rPr>
                <w:b/>
                <w:bCs/>
                <w:sz w:val="18"/>
                <w:szCs w:val="18"/>
              </w:rPr>
              <w:t>5.1</w:t>
            </w:r>
          </w:p>
        </w:tc>
        <w:tc>
          <w:tcPr>
            <w:tcW w:w="4521" w:type="dxa"/>
            <w:tcBorders>
              <w:top w:val="single" w:sz="4" w:space="0" w:color="auto"/>
              <w:bottom w:val="single" w:sz="4" w:space="0" w:color="auto"/>
            </w:tcBorders>
            <w:shd w:val="clear" w:color="auto" w:fill="auto"/>
          </w:tcPr>
          <w:p w14:paraId="2593EF86"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В</w:t>
            </w:r>
            <w:r w:rsidR="007A0320" w:rsidRPr="007F4A18">
              <w:rPr>
                <w:sz w:val="18"/>
                <w:szCs w:val="18"/>
              </w:rPr>
              <w:t>ещества и изделия класса 5.1, группа упаковки I</w:t>
            </w:r>
          </w:p>
        </w:tc>
        <w:tc>
          <w:tcPr>
            <w:tcW w:w="926" w:type="dxa"/>
            <w:tcBorders>
              <w:top w:val="single" w:sz="4" w:space="0" w:color="auto"/>
              <w:bottom w:val="single" w:sz="4" w:space="0" w:color="auto"/>
            </w:tcBorders>
            <w:shd w:val="clear" w:color="auto" w:fill="auto"/>
          </w:tcPr>
          <w:p w14:paraId="3758AAF7"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5FA3A3EA"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300</w:t>
            </w:r>
          </w:p>
        </w:tc>
        <w:tc>
          <w:tcPr>
            <w:tcW w:w="579" w:type="dxa"/>
            <w:tcBorders>
              <w:top w:val="single" w:sz="4" w:space="0" w:color="auto"/>
              <w:bottom w:val="single" w:sz="4" w:space="0" w:color="auto"/>
            </w:tcBorders>
            <w:shd w:val="clear" w:color="auto" w:fill="auto"/>
          </w:tcPr>
          <w:p w14:paraId="23D42E36"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4F663F64" w14:textId="77777777" w:rsidTr="008E6A2B">
        <w:trPr>
          <w:trHeight w:val="57"/>
        </w:trPr>
        <w:tc>
          <w:tcPr>
            <w:tcW w:w="588" w:type="dxa"/>
            <w:vMerge/>
            <w:tcBorders>
              <w:top w:val="single" w:sz="4" w:space="0" w:color="auto"/>
              <w:bottom w:val="single" w:sz="4" w:space="0" w:color="auto"/>
            </w:tcBorders>
            <w:shd w:val="clear" w:color="auto" w:fill="auto"/>
          </w:tcPr>
          <w:p w14:paraId="25A99537"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75CE1E4B"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Л</w:t>
            </w:r>
            <w:r w:rsidR="007A0320" w:rsidRPr="007F4A18">
              <w:rPr>
                <w:sz w:val="18"/>
                <w:szCs w:val="18"/>
              </w:rPr>
              <w:t xml:space="preserve">юбые другие вещества и изделия класса 5.1 </w:t>
            </w:r>
          </w:p>
        </w:tc>
        <w:tc>
          <w:tcPr>
            <w:tcW w:w="926" w:type="dxa"/>
            <w:tcBorders>
              <w:top w:val="single" w:sz="4" w:space="0" w:color="auto"/>
              <w:bottom w:val="single" w:sz="4" w:space="0" w:color="auto"/>
            </w:tcBorders>
            <w:shd w:val="clear" w:color="auto" w:fill="auto"/>
          </w:tcPr>
          <w:p w14:paraId="7F6D0FBD"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1601C677"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5D277FFF"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5EEC4775" w14:textId="77777777" w:rsidTr="005600BF">
        <w:trPr>
          <w:trHeight w:val="57"/>
        </w:trPr>
        <w:tc>
          <w:tcPr>
            <w:tcW w:w="588" w:type="dxa"/>
            <w:vMerge w:val="restart"/>
            <w:tcBorders>
              <w:top w:val="single" w:sz="4" w:space="0" w:color="auto"/>
              <w:bottom w:val="single" w:sz="4" w:space="0" w:color="auto"/>
            </w:tcBorders>
            <w:shd w:val="clear" w:color="auto" w:fill="auto"/>
          </w:tcPr>
          <w:p w14:paraId="209AAC6E"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r w:rsidRPr="007F4A18">
              <w:rPr>
                <w:b/>
                <w:bCs/>
                <w:sz w:val="18"/>
                <w:szCs w:val="18"/>
              </w:rPr>
              <w:t>5.2</w:t>
            </w:r>
          </w:p>
        </w:tc>
        <w:tc>
          <w:tcPr>
            <w:tcW w:w="4521" w:type="dxa"/>
            <w:tcBorders>
              <w:top w:val="single" w:sz="4" w:space="0" w:color="auto"/>
              <w:bottom w:val="single" w:sz="4" w:space="0" w:color="auto"/>
            </w:tcBorders>
            <w:shd w:val="clear" w:color="auto" w:fill="auto"/>
          </w:tcPr>
          <w:p w14:paraId="68D5CE47"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В</w:t>
            </w:r>
            <w:r w:rsidR="007A0320" w:rsidRPr="007F4A18">
              <w:rPr>
                <w:sz w:val="18"/>
                <w:szCs w:val="18"/>
              </w:rPr>
              <w:t>ещества и изделия класса 5.2, для которых в колонке 5 таблицы А главы 3.2 предписан знак опасности</w:t>
            </w:r>
            <w:r w:rsidR="008E6A2B">
              <w:rPr>
                <w:sz w:val="18"/>
                <w:szCs w:val="18"/>
              </w:rPr>
              <w:br/>
            </w:r>
            <w:r w:rsidR="007A0320" w:rsidRPr="007F4A18">
              <w:rPr>
                <w:sz w:val="18"/>
                <w:szCs w:val="18"/>
              </w:rPr>
              <w:t>образца № 1</w:t>
            </w:r>
          </w:p>
        </w:tc>
        <w:tc>
          <w:tcPr>
            <w:tcW w:w="926" w:type="dxa"/>
            <w:tcBorders>
              <w:top w:val="single" w:sz="4" w:space="0" w:color="auto"/>
              <w:bottom w:val="single" w:sz="4" w:space="0" w:color="auto"/>
            </w:tcBorders>
            <w:shd w:val="clear" w:color="auto" w:fill="auto"/>
          </w:tcPr>
          <w:p w14:paraId="6D575D38"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4BA02EF8"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vAlign w:val="bottom"/>
          </w:tcPr>
          <w:p w14:paraId="5B36C339" w14:textId="77777777" w:rsidR="007A0320" w:rsidRPr="007F4A18" w:rsidRDefault="007A0320" w:rsidP="005600BF">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0</w:t>
            </w:r>
          </w:p>
        </w:tc>
      </w:tr>
      <w:tr w:rsidR="007A0320" w:rsidRPr="00A66477" w14:paraId="412F3B3D" w14:textId="77777777" w:rsidTr="008E6A2B">
        <w:trPr>
          <w:trHeight w:val="57"/>
        </w:trPr>
        <w:tc>
          <w:tcPr>
            <w:tcW w:w="588" w:type="dxa"/>
            <w:vMerge/>
            <w:tcBorders>
              <w:top w:val="single" w:sz="4" w:space="0" w:color="auto"/>
              <w:bottom w:val="single" w:sz="4" w:space="0" w:color="auto"/>
            </w:tcBorders>
            <w:shd w:val="clear" w:color="auto" w:fill="auto"/>
          </w:tcPr>
          <w:p w14:paraId="297E46F8"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6C756E69"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Л</w:t>
            </w:r>
            <w:r w:rsidR="007A0320" w:rsidRPr="007F4A18">
              <w:rPr>
                <w:sz w:val="18"/>
                <w:szCs w:val="18"/>
              </w:rPr>
              <w:t>юбые другие вещества и изделия класса 5.2</w:t>
            </w:r>
          </w:p>
        </w:tc>
        <w:tc>
          <w:tcPr>
            <w:tcW w:w="926" w:type="dxa"/>
            <w:tcBorders>
              <w:top w:val="single" w:sz="4" w:space="0" w:color="auto"/>
              <w:bottom w:val="single" w:sz="4" w:space="0" w:color="auto"/>
            </w:tcBorders>
            <w:shd w:val="clear" w:color="auto" w:fill="auto"/>
          </w:tcPr>
          <w:p w14:paraId="70199592"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208C03BE"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367853AF"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03DC1E4D" w14:textId="77777777" w:rsidTr="008E6A2B">
        <w:trPr>
          <w:trHeight w:val="57"/>
        </w:trPr>
        <w:tc>
          <w:tcPr>
            <w:tcW w:w="588" w:type="dxa"/>
            <w:vMerge w:val="restart"/>
            <w:tcBorders>
              <w:top w:val="single" w:sz="4" w:space="0" w:color="auto"/>
              <w:bottom w:val="single" w:sz="4" w:space="0" w:color="auto"/>
            </w:tcBorders>
            <w:shd w:val="clear" w:color="auto" w:fill="auto"/>
          </w:tcPr>
          <w:p w14:paraId="4C0064C2"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r w:rsidRPr="007F4A18">
              <w:rPr>
                <w:b/>
                <w:bCs/>
                <w:sz w:val="18"/>
                <w:szCs w:val="18"/>
              </w:rPr>
              <w:t>6.1</w:t>
            </w:r>
          </w:p>
        </w:tc>
        <w:tc>
          <w:tcPr>
            <w:tcW w:w="4521" w:type="dxa"/>
            <w:tcBorders>
              <w:top w:val="single" w:sz="4" w:space="0" w:color="auto"/>
              <w:bottom w:val="single" w:sz="4" w:space="0" w:color="auto"/>
            </w:tcBorders>
            <w:shd w:val="clear" w:color="auto" w:fill="auto"/>
          </w:tcPr>
          <w:p w14:paraId="462638E6"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В</w:t>
            </w:r>
            <w:r w:rsidR="007A0320" w:rsidRPr="007F4A18">
              <w:rPr>
                <w:sz w:val="18"/>
                <w:szCs w:val="18"/>
              </w:rPr>
              <w:t>ещества и изделия класса 6.1, группа упаковки I</w:t>
            </w:r>
          </w:p>
        </w:tc>
        <w:tc>
          <w:tcPr>
            <w:tcW w:w="926" w:type="dxa"/>
            <w:tcBorders>
              <w:top w:val="single" w:sz="4" w:space="0" w:color="auto"/>
              <w:bottom w:val="single" w:sz="4" w:space="0" w:color="auto"/>
            </w:tcBorders>
            <w:shd w:val="clear" w:color="auto" w:fill="auto"/>
          </w:tcPr>
          <w:p w14:paraId="4361A1E7"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138CE64D"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1F6BC11C"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0</w:t>
            </w:r>
          </w:p>
        </w:tc>
      </w:tr>
      <w:tr w:rsidR="007A0320" w:rsidRPr="00A66477" w14:paraId="4DE38D57" w14:textId="77777777" w:rsidTr="008E6A2B">
        <w:trPr>
          <w:trHeight w:val="57"/>
        </w:trPr>
        <w:tc>
          <w:tcPr>
            <w:tcW w:w="588" w:type="dxa"/>
            <w:vMerge/>
            <w:tcBorders>
              <w:top w:val="single" w:sz="4" w:space="0" w:color="auto"/>
              <w:bottom w:val="single" w:sz="4" w:space="0" w:color="auto"/>
            </w:tcBorders>
            <w:shd w:val="clear" w:color="auto" w:fill="auto"/>
          </w:tcPr>
          <w:p w14:paraId="2E831C42"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76DFD0DD"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Л</w:t>
            </w:r>
            <w:r w:rsidR="007A0320" w:rsidRPr="007F4A18">
              <w:rPr>
                <w:sz w:val="18"/>
                <w:szCs w:val="18"/>
              </w:rPr>
              <w:t>юбые другие вещества и изделия класса 6.1</w:t>
            </w:r>
          </w:p>
        </w:tc>
        <w:tc>
          <w:tcPr>
            <w:tcW w:w="926" w:type="dxa"/>
            <w:tcBorders>
              <w:top w:val="single" w:sz="4" w:space="0" w:color="auto"/>
              <w:bottom w:val="single" w:sz="4" w:space="0" w:color="auto"/>
            </w:tcBorders>
            <w:shd w:val="clear" w:color="auto" w:fill="auto"/>
          </w:tcPr>
          <w:p w14:paraId="035C93AB"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1199B175"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5039A108"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7F15B34F" w14:textId="77777777" w:rsidTr="008E6A2B">
        <w:trPr>
          <w:trHeight w:val="57"/>
        </w:trPr>
        <w:tc>
          <w:tcPr>
            <w:tcW w:w="588" w:type="dxa"/>
            <w:tcBorders>
              <w:top w:val="single" w:sz="4" w:space="0" w:color="auto"/>
              <w:bottom w:val="single" w:sz="4" w:space="0" w:color="auto"/>
            </w:tcBorders>
            <w:shd w:val="clear" w:color="auto" w:fill="auto"/>
          </w:tcPr>
          <w:p w14:paraId="2DB22FDA" w14:textId="77777777" w:rsidR="007A0320" w:rsidRPr="007F4A18" w:rsidRDefault="007A0320" w:rsidP="008E6A2B">
            <w:pPr>
              <w:pageBreakBefore/>
              <w:suppressAutoHyphens w:val="0"/>
              <w:kinsoku w:val="0"/>
              <w:overflowPunct w:val="0"/>
              <w:autoSpaceDE w:val="0"/>
              <w:autoSpaceDN w:val="0"/>
              <w:adjustRightInd w:val="0"/>
              <w:spacing w:before="40" w:after="40" w:line="220" w:lineRule="exact"/>
              <w:ind w:left="567" w:right="113" w:hanging="567"/>
              <w:rPr>
                <w:rFonts w:eastAsia="Calibri"/>
                <w:b/>
                <w:sz w:val="18"/>
                <w:szCs w:val="18"/>
              </w:rPr>
            </w:pPr>
            <w:r w:rsidRPr="007F4A18">
              <w:rPr>
                <w:b/>
                <w:bCs/>
                <w:sz w:val="18"/>
                <w:szCs w:val="18"/>
              </w:rPr>
              <w:lastRenderedPageBreak/>
              <w:t>6.2</w:t>
            </w:r>
          </w:p>
        </w:tc>
        <w:tc>
          <w:tcPr>
            <w:tcW w:w="4521" w:type="dxa"/>
            <w:tcBorders>
              <w:top w:val="single" w:sz="4" w:space="0" w:color="auto"/>
              <w:bottom w:val="single" w:sz="4" w:space="0" w:color="auto"/>
            </w:tcBorders>
            <w:shd w:val="clear" w:color="auto" w:fill="auto"/>
          </w:tcPr>
          <w:p w14:paraId="27E29198"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В</w:t>
            </w:r>
            <w:r w:rsidR="007A0320" w:rsidRPr="007F4A18">
              <w:rPr>
                <w:sz w:val="18"/>
                <w:szCs w:val="18"/>
              </w:rPr>
              <w:t>ещества и изделия класса 6.2, категория А</w:t>
            </w:r>
          </w:p>
        </w:tc>
        <w:tc>
          <w:tcPr>
            <w:tcW w:w="926" w:type="dxa"/>
            <w:tcBorders>
              <w:top w:val="single" w:sz="4" w:space="0" w:color="auto"/>
              <w:bottom w:val="single" w:sz="4" w:space="0" w:color="auto"/>
            </w:tcBorders>
            <w:shd w:val="clear" w:color="auto" w:fill="auto"/>
          </w:tcPr>
          <w:p w14:paraId="39F82E10"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010BFE59"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44294A57"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0</w:t>
            </w:r>
          </w:p>
        </w:tc>
      </w:tr>
      <w:tr w:rsidR="007A0320" w:rsidRPr="00A66477" w14:paraId="154DD927" w14:textId="77777777" w:rsidTr="008E6A2B">
        <w:trPr>
          <w:trHeight w:val="57"/>
        </w:trPr>
        <w:tc>
          <w:tcPr>
            <w:tcW w:w="588" w:type="dxa"/>
            <w:tcBorders>
              <w:top w:val="single" w:sz="4" w:space="0" w:color="auto"/>
              <w:bottom w:val="single" w:sz="4" w:space="0" w:color="auto"/>
            </w:tcBorders>
            <w:shd w:val="clear" w:color="auto" w:fill="auto"/>
          </w:tcPr>
          <w:p w14:paraId="7E8CE2D8"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7DE77020"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Л</w:t>
            </w:r>
            <w:r w:rsidR="007A0320" w:rsidRPr="007F4A18">
              <w:rPr>
                <w:sz w:val="18"/>
                <w:szCs w:val="18"/>
              </w:rPr>
              <w:t>юбые другие вещества и изделия класса 6.2</w:t>
            </w:r>
          </w:p>
        </w:tc>
        <w:tc>
          <w:tcPr>
            <w:tcW w:w="926" w:type="dxa"/>
            <w:tcBorders>
              <w:top w:val="single" w:sz="4" w:space="0" w:color="auto"/>
              <w:bottom w:val="single" w:sz="4" w:space="0" w:color="auto"/>
            </w:tcBorders>
            <w:shd w:val="clear" w:color="auto" w:fill="auto"/>
          </w:tcPr>
          <w:p w14:paraId="32C57EFA"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5DA50054"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1E0A899C"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199A1CF6" w14:textId="77777777" w:rsidTr="008E6A2B">
        <w:trPr>
          <w:trHeight w:val="57"/>
        </w:trPr>
        <w:tc>
          <w:tcPr>
            <w:tcW w:w="588" w:type="dxa"/>
            <w:vMerge w:val="restart"/>
            <w:tcBorders>
              <w:top w:val="single" w:sz="4" w:space="0" w:color="auto"/>
              <w:bottom w:val="single" w:sz="4" w:space="0" w:color="auto"/>
            </w:tcBorders>
            <w:shd w:val="clear" w:color="auto" w:fill="auto"/>
          </w:tcPr>
          <w:p w14:paraId="66905879" w14:textId="77777777" w:rsidR="007A0320" w:rsidRPr="007F4A18" w:rsidRDefault="007A0320" w:rsidP="007F4A18">
            <w:pPr>
              <w:keepNext/>
              <w:keepLines/>
              <w:suppressAutoHyphens w:val="0"/>
              <w:kinsoku w:val="0"/>
              <w:overflowPunct w:val="0"/>
              <w:autoSpaceDE w:val="0"/>
              <w:autoSpaceDN w:val="0"/>
              <w:adjustRightInd w:val="0"/>
              <w:spacing w:before="40" w:after="40" w:line="220" w:lineRule="exact"/>
              <w:ind w:right="113"/>
              <w:rPr>
                <w:rFonts w:eastAsia="Calibri"/>
                <w:b/>
                <w:sz w:val="18"/>
                <w:szCs w:val="18"/>
              </w:rPr>
            </w:pPr>
            <w:r w:rsidRPr="007F4A18">
              <w:rPr>
                <w:b/>
                <w:bCs/>
                <w:sz w:val="18"/>
                <w:szCs w:val="18"/>
              </w:rPr>
              <w:t>7</w:t>
            </w:r>
          </w:p>
        </w:tc>
        <w:tc>
          <w:tcPr>
            <w:tcW w:w="4521" w:type="dxa"/>
            <w:tcBorders>
              <w:top w:val="single" w:sz="4" w:space="0" w:color="auto"/>
              <w:bottom w:val="single" w:sz="4" w:space="0" w:color="auto"/>
            </w:tcBorders>
            <w:shd w:val="clear" w:color="auto" w:fill="auto"/>
          </w:tcPr>
          <w:p w14:paraId="4A9F19B6" w14:textId="77777777" w:rsidR="007A0320" w:rsidRPr="007F4A18" w:rsidRDefault="005600BF" w:rsidP="007F4A18">
            <w:pPr>
              <w:keepNext/>
              <w:keepLines/>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М</w:t>
            </w:r>
            <w:r w:rsidR="007A0320" w:rsidRPr="007F4A18">
              <w:rPr>
                <w:sz w:val="18"/>
                <w:szCs w:val="18"/>
              </w:rPr>
              <w:t>атериалы и изделия класса 7, отнесенные</w:t>
            </w:r>
            <w:r>
              <w:rPr>
                <w:sz w:val="18"/>
                <w:szCs w:val="18"/>
              </w:rPr>
              <w:br/>
            </w:r>
            <w:r w:rsidR="007A0320" w:rsidRPr="007F4A18">
              <w:rPr>
                <w:sz w:val="18"/>
                <w:szCs w:val="18"/>
              </w:rPr>
              <w:t>к № ООН 2908, 2909, 2910 и 2911</w:t>
            </w:r>
          </w:p>
        </w:tc>
        <w:tc>
          <w:tcPr>
            <w:tcW w:w="926" w:type="dxa"/>
            <w:tcBorders>
              <w:top w:val="single" w:sz="4" w:space="0" w:color="auto"/>
              <w:bottom w:val="single" w:sz="4" w:space="0" w:color="auto"/>
            </w:tcBorders>
            <w:shd w:val="clear" w:color="auto" w:fill="auto"/>
          </w:tcPr>
          <w:p w14:paraId="54AA2957" w14:textId="77777777" w:rsidR="007A0320" w:rsidRPr="007F4A18" w:rsidRDefault="007A0320" w:rsidP="008E6A2B">
            <w:pPr>
              <w:keepNext/>
              <w:keepLines/>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1F00E0B9" w14:textId="77777777" w:rsidR="007A0320" w:rsidRPr="007F4A18" w:rsidRDefault="007A0320" w:rsidP="008E6A2B">
            <w:pPr>
              <w:keepNext/>
              <w:keepLines/>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7FB9E52E" w14:textId="77777777" w:rsidR="007A0320" w:rsidRPr="007F4A18" w:rsidRDefault="007A0320" w:rsidP="008E6A2B">
            <w:pPr>
              <w:keepNext/>
              <w:keepLines/>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32441D86" w14:textId="77777777" w:rsidTr="008E6A2B">
        <w:trPr>
          <w:trHeight w:val="57"/>
        </w:trPr>
        <w:tc>
          <w:tcPr>
            <w:tcW w:w="588" w:type="dxa"/>
            <w:vMerge/>
            <w:tcBorders>
              <w:top w:val="single" w:sz="4" w:space="0" w:color="auto"/>
              <w:bottom w:val="single" w:sz="4" w:space="0" w:color="auto"/>
            </w:tcBorders>
            <w:shd w:val="clear" w:color="auto" w:fill="auto"/>
          </w:tcPr>
          <w:p w14:paraId="4855B799" w14:textId="77777777" w:rsidR="007A0320" w:rsidRPr="007F4A18" w:rsidRDefault="007A0320" w:rsidP="007F4A18">
            <w:pPr>
              <w:keepNext/>
              <w:keepLines/>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1B714532" w14:textId="77777777" w:rsidR="007A0320" w:rsidRPr="007F4A18" w:rsidRDefault="005600BF" w:rsidP="007F4A18">
            <w:pPr>
              <w:keepNext/>
              <w:keepLines/>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Л</w:t>
            </w:r>
            <w:r w:rsidR="007A0320" w:rsidRPr="007F4A18">
              <w:rPr>
                <w:sz w:val="18"/>
                <w:szCs w:val="18"/>
              </w:rPr>
              <w:t>юбые другие материалы и изделия класса 7</w:t>
            </w:r>
          </w:p>
        </w:tc>
        <w:tc>
          <w:tcPr>
            <w:tcW w:w="926" w:type="dxa"/>
            <w:tcBorders>
              <w:top w:val="single" w:sz="4" w:space="0" w:color="auto"/>
              <w:bottom w:val="single" w:sz="4" w:space="0" w:color="auto"/>
            </w:tcBorders>
            <w:shd w:val="clear" w:color="auto" w:fill="auto"/>
          </w:tcPr>
          <w:p w14:paraId="6378561F" w14:textId="77777777" w:rsidR="007A0320" w:rsidRPr="007F4A18" w:rsidRDefault="007A0320" w:rsidP="008E6A2B">
            <w:pPr>
              <w:keepNext/>
              <w:keepLines/>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1A8CBDA1" w14:textId="77777777" w:rsidR="007A0320" w:rsidRPr="007F4A18" w:rsidRDefault="007A0320" w:rsidP="008E6A2B">
            <w:pPr>
              <w:keepNext/>
              <w:keepLines/>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24537F37" w14:textId="77777777" w:rsidR="007A0320" w:rsidRPr="007F4A18" w:rsidRDefault="007A0320" w:rsidP="008E6A2B">
            <w:pPr>
              <w:keepNext/>
              <w:keepLines/>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0</w:t>
            </w:r>
          </w:p>
        </w:tc>
      </w:tr>
      <w:tr w:rsidR="007A0320" w:rsidRPr="00A66477" w14:paraId="75488AD7" w14:textId="77777777" w:rsidTr="008E6A2B">
        <w:trPr>
          <w:trHeight w:val="57"/>
        </w:trPr>
        <w:tc>
          <w:tcPr>
            <w:tcW w:w="588" w:type="dxa"/>
            <w:vMerge w:val="restart"/>
            <w:tcBorders>
              <w:top w:val="single" w:sz="4" w:space="0" w:color="auto"/>
              <w:bottom w:val="single" w:sz="4" w:space="0" w:color="auto"/>
            </w:tcBorders>
            <w:shd w:val="clear" w:color="auto" w:fill="auto"/>
          </w:tcPr>
          <w:p w14:paraId="7A2D6E86"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bCs/>
                <w:sz w:val="18"/>
                <w:szCs w:val="18"/>
              </w:rPr>
            </w:pPr>
            <w:r w:rsidRPr="007F4A18">
              <w:rPr>
                <w:b/>
                <w:bCs/>
                <w:sz w:val="18"/>
                <w:szCs w:val="18"/>
              </w:rPr>
              <w:t>8</w:t>
            </w:r>
          </w:p>
        </w:tc>
        <w:tc>
          <w:tcPr>
            <w:tcW w:w="4521" w:type="dxa"/>
            <w:tcBorders>
              <w:top w:val="single" w:sz="4" w:space="0" w:color="auto"/>
              <w:bottom w:val="single" w:sz="4" w:space="0" w:color="auto"/>
            </w:tcBorders>
            <w:shd w:val="clear" w:color="auto" w:fill="auto"/>
          </w:tcPr>
          <w:p w14:paraId="3BF60A82"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В</w:t>
            </w:r>
            <w:r w:rsidR="007A0320" w:rsidRPr="007F4A18">
              <w:rPr>
                <w:sz w:val="18"/>
                <w:szCs w:val="18"/>
              </w:rPr>
              <w:t xml:space="preserve">ещества и изделия класса 8, группа упаковки I </w:t>
            </w:r>
          </w:p>
        </w:tc>
        <w:tc>
          <w:tcPr>
            <w:tcW w:w="926" w:type="dxa"/>
            <w:tcBorders>
              <w:top w:val="single" w:sz="4" w:space="0" w:color="auto"/>
              <w:bottom w:val="single" w:sz="4" w:space="0" w:color="auto"/>
            </w:tcBorders>
            <w:shd w:val="clear" w:color="auto" w:fill="auto"/>
          </w:tcPr>
          <w:p w14:paraId="68FDF291"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805" w:type="dxa"/>
            <w:tcBorders>
              <w:top w:val="single" w:sz="4" w:space="0" w:color="auto"/>
              <w:bottom w:val="single" w:sz="4" w:space="0" w:color="auto"/>
            </w:tcBorders>
            <w:shd w:val="clear" w:color="auto" w:fill="auto"/>
          </w:tcPr>
          <w:p w14:paraId="714FA09B"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300</w:t>
            </w:r>
          </w:p>
        </w:tc>
        <w:tc>
          <w:tcPr>
            <w:tcW w:w="579" w:type="dxa"/>
            <w:tcBorders>
              <w:top w:val="single" w:sz="4" w:space="0" w:color="auto"/>
              <w:bottom w:val="single" w:sz="4" w:space="0" w:color="auto"/>
            </w:tcBorders>
            <w:shd w:val="clear" w:color="auto" w:fill="auto"/>
          </w:tcPr>
          <w:p w14:paraId="16D144C9"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072A33D0" w14:textId="77777777" w:rsidTr="008E6A2B">
        <w:trPr>
          <w:trHeight w:val="57"/>
        </w:trPr>
        <w:tc>
          <w:tcPr>
            <w:tcW w:w="588" w:type="dxa"/>
            <w:vMerge/>
            <w:tcBorders>
              <w:top w:val="single" w:sz="4" w:space="0" w:color="auto"/>
              <w:bottom w:val="single" w:sz="4" w:space="0" w:color="auto"/>
            </w:tcBorders>
            <w:shd w:val="clear" w:color="auto" w:fill="auto"/>
          </w:tcPr>
          <w:p w14:paraId="7B03404E" w14:textId="77777777" w:rsidR="007A0320" w:rsidRPr="007F4A18" w:rsidRDefault="007A0320" w:rsidP="007F4A18">
            <w:pPr>
              <w:suppressAutoHyphens w:val="0"/>
              <w:kinsoku w:val="0"/>
              <w:overflowPunct w:val="0"/>
              <w:autoSpaceDE w:val="0"/>
              <w:autoSpaceDN w:val="0"/>
              <w:adjustRightInd w:val="0"/>
              <w:spacing w:before="40" w:after="40" w:line="220" w:lineRule="exact"/>
              <w:ind w:right="113"/>
              <w:rPr>
                <w:rFonts w:eastAsia="Calibri"/>
                <w:b/>
                <w:sz w:val="18"/>
                <w:szCs w:val="18"/>
              </w:rPr>
            </w:pPr>
          </w:p>
        </w:tc>
        <w:tc>
          <w:tcPr>
            <w:tcW w:w="4521" w:type="dxa"/>
            <w:tcBorders>
              <w:top w:val="single" w:sz="4" w:space="0" w:color="auto"/>
              <w:bottom w:val="single" w:sz="4" w:space="0" w:color="auto"/>
            </w:tcBorders>
            <w:shd w:val="clear" w:color="auto" w:fill="auto"/>
          </w:tcPr>
          <w:p w14:paraId="46C6E73F" w14:textId="77777777" w:rsidR="007A0320" w:rsidRPr="007F4A18" w:rsidRDefault="005600BF" w:rsidP="007F4A18">
            <w:pPr>
              <w:suppressAutoHyphens w:val="0"/>
              <w:kinsoku w:val="0"/>
              <w:overflowPunct w:val="0"/>
              <w:autoSpaceDE w:val="0"/>
              <w:autoSpaceDN w:val="0"/>
              <w:adjustRightInd w:val="0"/>
              <w:spacing w:before="40" w:after="40" w:line="220" w:lineRule="exact"/>
              <w:rPr>
                <w:rFonts w:eastAsia="Calibri"/>
                <w:sz w:val="18"/>
                <w:szCs w:val="18"/>
              </w:rPr>
            </w:pPr>
            <w:r>
              <w:rPr>
                <w:sz w:val="18"/>
                <w:szCs w:val="18"/>
              </w:rPr>
              <w:t>Л</w:t>
            </w:r>
            <w:r w:rsidR="007A0320" w:rsidRPr="007F4A18">
              <w:rPr>
                <w:sz w:val="18"/>
                <w:szCs w:val="18"/>
              </w:rPr>
              <w:t>юбые другие вещества и изделия класса 8</w:t>
            </w:r>
          </w:p>
        </w:tc>
        <w:tc>
          <w:tcPr>
            <w:tcW w:w="926" w:type="dxa"/>
            <w:tcBorders>
              <w:top w:val="single" w:sz="4" w:space="0" w:color="auto"/>
              <w:bottom w:val="single" w:sz="4" w:space="0" w:color="auto"/>
            </w:tcBorders>
            <w:shd w:val="clear" w:color="auto" w:fill="auto"/>
          </w:tcPr>
          <w:p w14:paraId="57A23FEA"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r w:rsidRPr="007F4A18">
              <w:rPr>
                <w:sz w:val="18"/>
                <w:szCs w:val="18"/>
              </w:rPr>
              <w:t>3 000</w:t>
            </w:r>
          </w:p>
        </w:tc>
        <w:tc>
          <w:tcPr>
            <w:tcW w:w="805" w:type="dxa"/>
            <w:tcBorders>
              <w:top w:val="single" w:sz="4" w:space="0" w:color="auto"/>
              <w:bottom w:val="single" w:sz="4" w:space="0" w:color="auto"/>
            </w:tcBorders>
            <w:shd w:val="clear" w:color="auto" w:fill="auto"/>
          </w:tcPr>
          <w:p w14:paraId="067AE0A8"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c>
          <w:tcPr>
            <w:tcW w:w="579" w:type="dxa"/>
            <w:tcBorders>
              <w:top w:val="single" w:sz="4" w:space="0" w:color="auto"/>
              <w:bottom w:val="single" w:sz="4" w:space="0" w:color="auto"/>
            </w:tcBorders>
            <w:shd w:val="clear" w:color="auto" w:fill="auto"/>
          </w:tcPr>
          <w:p w14:paraId="33094F0B" w14:textId="77777777" w:rsidR="007A0320" w:rsidRPr="007F4A18" w:rsidRDefault="007A0320" w:rsidP="008E6A2B">
            <w:pPr>
              <w:suppressAutoHyphens w:val="0"/>
              <w:kinsoku w:val="0"/>
              <w:overflowPunct w:val="0"/>
              <w:autoSpaceDE w:val="0"/>
              <w:autoSpaceDN w:val="0"/>
              <w:adjustRightInd w:val="0"/>
              <w:spacing w:before="40" w:after="40" w:line="220" w:lineRule="exact"/>
              <w:ind w:right="113"/>
              <w:jc w:val="right"/>
              <w:rPr>
                <w:rFonts w:eastAsia="Calibri"/>
                <w:sz w:val="18"/>
                <w:szCs w:val="18"/>
              </w:rPr>
            </w:pPr>
          </w:p>
        </w:tc>
      </w:tr>
      <w:tr w:rsidR="007A0320" w:rsidRPr="00A66477" w14:paraId="6014418E" w14:textId="77777777" w:rsidTr="008E6A2B">
        <w:trPr>
          <w:trHeight w:val="57"/>
        </w:trPr>
        <w:tc>
          <w:tcPr>
            <w:tcW w:w="588" w:type="dxa"/>
            <w:tcBorders>
              <w:top w:val="single" w:sz="4" w:space="0" w:color="auto"/>
            </w:tcBorders>
            <w:shd w:val="clear" w:color="auto" w:fill="auto"/>
          </w:tcPr>
          <w:p w14:paraId="79126BBB" w14:textId="77777777" w:rsidR="007A0320" w:rsidRPr="007F4A18" w:rsidRDefault="007A0320" w:rsidP="001F4443">
            <w:pPr>
              <w:suppressAutoHyphens w:val="0"/>
              <w:kinsoku w:val="0"/>
              <w:overflowPunct w:val="0"/>
              <w:autoSpaceDE w:val="0"/>
              <w:autoSpaceDN w:val="0"/>
              <w:adjustRightInd w:val="0"/>
              <w:spacing w:before="40" w:after="80" w:line="220" w:lineRule="exact"/>
              <w:ind w:right="113"/>
              <w:rPr>
                <w:rFonts w:eastAsia="Calibri"/>
                <w:b/>
                <w:bCs/>
                <w:sz w:val="18"/>
                <w:szCs w:val="18"/>
              </w:rPr>
            </w:pPr>
            <w:r w:rsidRPr="007F4A18">
              <w:rPr>
                <w:b/>
                <w:bCs/>
                <w:sz w:val="18"/>
                <w:szCs w:val="18"/>
              </w:rPr>
              <w:t>9</w:t>
            </w:r>
          </w:p>
        </w:tc>
        <w:tc>
          <w:tcPr>
            <w:tcW w:w="4521" w:type="dxa"/>
            <w:tcBorders>
              <w:top w:val="single" w:sz="4" w:space="0" w:color="auto"/>
            </w:tcBorders>
            <w:shd w:val="clear" w:color="auto" w:fill="auto"/>
          </w:tcPr>
          <w:p w14:paraId="52BBD57A" w14:textId="77777777" w:rsidR="007A0320" w:rsidRPr="007F4A18" w:rsidRDefault="005600BF" w:rsidP="001F4443">
            <w:pPr>
              <w:suppressAutoHyphens w:val="0"/>
              <w:kinsoku w:val="0"/>
              <w:overflowPunct w:val="0"/>
              <w:autoSpaceDE w:val="0"/>
              <w:autoSpaceDN w:val="0"/>
              <w:adjustRightInd w:val="0"/>
              <w:spacing w:before="40" w:after="80" w:line="220" w:lineRule="exact"/>
              <w:rPr>
                <w:rFonts w:eastAsia="Calibri"/>
                <w:sz w:val="18"/>
                <w:szCs w:val="18"/>
              </w:rPr>
            </w:pPr>
            <w:r>
              <w:rPr>
                <w:sz w:val="18"/>
                <w:szCs w:val="18"/>
              </w:rPr>
              <w:t>В</w:t>
            </w:r>
            <w:r w:rsidR="007A0320" w:rsidRPr="007F4A18">
              <w:rPr>
                <w:sz w:val="18"/>
                <w:szCs w:val="18"/>
              </w:rPr>
              <w:t>се вещества и изделия класса 9</w:t>
            </w:r>
          </w:p>
        </w:tc>
        <w:tc>
          <w:tcPr>
            <w:tcW w:w="926" w:type="dxa"/>
            <w:tcBorders>
              <w:top w:val="single" w:sz="4" w:space="0" w:color="auto"/>
            </w:tcBorders>
            <w:shd w:val="clear" w:color="auto" w:fill="auto"/>
          </w:tcPr>
          <w:p w14:paraId="0AF97C92" w14:textId="77777777" w:rsidR="007A0320" w:rsidRPr="007F4A18" w:rsidRDefault="007A0320" w:rsidP="001F4443">
            <w:pPr>
              <w:suppressAutoHyphens w:val="0"/>
              <w:kinsoku w:val="0"/>
              <w:overflowPunct w:val="0"/>
              <w:autoSpaceDE w:val="0"/>
              <w:autoSpaceDN w:val="0"/>
              <w:adjustRightInd w:val="0"/>
              <w:spacing w:before="40" w:after="80" w:line="220" w:lineRule="exact"/>
              <w:ind w:right="113"/>
              <w:jc w:val="right"/>
              <w:rPr>
                <w:rFonts w:eastAsia="Calibri"/>
                <w:sz w:val="18"/>
                <w:szCs w:val="18"/>
              </w:rPr>
            </w:pPr>
            <w:r w:rsidRPr="007F4A18">
              <w:rPr>
                <w:sz w:val="18"/>
                <w:szCs w:val="18"/>
              </w:rPr>
              <w:t>3 000</w:t>
            </w:r>
          </w:p>
        </w:tc>
        <w:tc>
          <w:tcPr>
            <w:tcW w:w="805" w:type="dxa"/>
            <w:tcBorders>
              <w:top w:val="single" w:sz="4" w:space="0" w:color="auto"/>
            </w:tcBorders>
            <w:shd w:val="clear" w:color="auto" w:fill="auto"/>
          </w:tcPr>
          <w:p w14:paraId="202C98F3" w14:textId="77777777" w:rsidR="007A0320" w:rsidRPr="007F4A18" w:rsidRDefault="007A0320" w:rsidP="001F4443">
            <w:pPr>
              <w:suppressAutoHyphens w:val="0"/>
              <w:kinsoku w:val="0"/>
              <w:overflowPunct w:val="0"/>
              <w:autoSpaceDE w:val="0"/>
              <w:autoSpaceDN w:val="0"/>
              <w:adjustRightInd w:val="0"/>
              <w:spacing w:before="40" w:after="80" w:line="220" w:lineRule="exact"/>
              <w:ind w:right="113"/>
              <w:jc w:val="right"/>
              <w:rPr>
                <w:rFonts w:eastAsia="Calibri"/>
                <w:sz w:val="18"/>
                <w:szCs w:val="18"/>
              </w:rPr>
            </w:pPr>
          </w:p>
        </w:tc>
        <w:tc>
          <w:tcPr>
            <w:tcW w:w="579" w:type="dxa"/>
            <w:tcBorders>
              <w:top w:val="single" w:sz="4" w:space="0" w:color="auto"/>
            </w:tcBorders>
            <w:shd w:val="clear" w:color="auto" w:fill="auto"/>
          </w:tcPr>
          <w:p w14:paraId="69F466AF" w14:textId="77777777" w:rsidR="007A0320" w:rsidRPr="007F4A18" w:rsidRDefault="007A0320" w:rsidP="001F4443">
            <w:pPr>
              <w:suppressAutoHyphens w:val="0"/>
              <w:kinsoku w:val="0"/>
              <w:overflowPunct w:val="0"/>
              <w:autoSpaceDE w:val="0"/>
              <w:autoSpaceDN w:val="0"/>
              <w:adjustRightInd w:val="0"/>
              <w:spacing w:before="40" w:after="80" w:line="220" w:lineRule="exact"/>
              <w:ind w:right="113"/>
              <w:jc w:val="right"/>
              <w:rPr>
                <w:rFonts w:eastAsia="Calibri"/>
                <w:sz w:val="18"/>
                <w:szCs w:val="18"/>
              </w:rPr>
            </w:pPr>
          </w:p>
        </w:tc>
      </w:tr>
    </w:tbl>
    <w:p w14:paraId="38C104E9" w14:textId="0B882DBC" w:rsidR="00E8363D" w:rsidRPr="00E8363D" w:rsidRDefault="00E8363D" w:rsidP="00E8363D">
      <w:pPr>
        <w:pStyle w:val="SingleTxtG"/>
        <w:spacing w:before="120"/>
        <w:jc w:val="right"/>
        <w:rPr>
          <w:iCs/>
        </w:rPr>
      </w:pPr>
      <w:r>
        <w:rPr>
          <w:iCs/>
        </w:rPr>
        <w:t>».</w:t>
      </w:r>
    </w:p>
    <w:p w14:paraId="0423D9B4" w14:textId="2060B308" w:rsidR="007A0320" w:rsidRPr="00C10060" w:rsidRDefault="007A0320" w:rsidP="007A0320">
      <w:pPr>
        <w:pStyle w:val="SingleTxtG"/>
        <w:spacing w:before="120"/>
      </w:pPr>
      <w:r>
        <w:rPr>
          <w:i/>
          <w:iCs/>
        </w:rPr>
        <w:t>(Справочный документ: ECE/TRANS/WP.15/AC.2/2019/10 с поправками)</w:t>
      </w:r>
    </w:p>
    <w:p w14:paraId="6E637E31" w14:textId="77777777" w:rsidR="007A0320" w:rsidRPr="00C10060" w:rsidRDefault="007A0320" w:rsidP="007A0320">
      <w:pPr>
        <w:pStyle w:val="H1G"/>
      </w:pPr>
      <w:r>
        <w:tab/>
      </w:r>
      <w:r>
        <w:tab/>
      </w:r>
      <w:r>
        <w:rPr>
          <w:bCs/>
        </w:rPr>
        <w:t>Глава 1.2</w:t>
      </w:r>
    </w:p>
    <w:p w14:paraId="79ED19A7" w14:textId="77777777" w:rsidR="007A0320" w:rsidRPr="00C10060" w:rsidRDefault="007A0320" w:rsidP="007A0320">
      <w:pPr>
        <w:pStyle w:val="SingleTxtG"/>
      </w:pPr>
      <w:r>
        <w:t>1.2.1</w:t>
      </w:r>
      <w:r>
        <w:tab/>
        <w:t>Изменить определение термина «Отстои» следующим образом:</w:t>
      </w:r>
    </w:p>
    <w:p w14:paraId="17FE259D" w14:textId="77777777" w:rsidR="007A0320" w:rsidRPr="00A20F3D" w:rsidRDefault="007A0320" w:rsidP="007A0320">
      <w:pPr>
        <w:pStyle w:val="SingleTxtG"/>
        <w:rPr>
          <w:i/>
          <w:iCs/>
        </w:rPr>
      </w:pPr>
      <w:r w:rsidRPr="001667D4">
        <w:rPr>
          <w:lang w:val="en-US"/>
        </w:rPr>
        <w:t>«</w:t>
      </w:r>
      <w:r w:rsidRPr="00C10060">
        <w:rPr>
          <w:lang w:val="en-US"/>
        </w:rPr>
        <w:t xml:space="preserve">Slops means a mixture of cargo residues with washing water, rust or sludge which may or may not be suitable for </w:t>
      </w:r>
      <w:proofErr w:type="gramStart"/>
      <w:r w:rsidRPr="00C10060">
        <w:rPr>
          <w:lang w:val="en-US"/>
        </w:rPr>
        <w:t>pumping;</w:t>
      </w:r>
      <w:r w:rsidRPr="001667D4">
        <w:rPr>
          <w:lang w:val="en-US"/>
        </w:rPr>
        <w:t>»</w:t>
      </w:r>
      <w:proofErr w:type="gramEnd"/>
      <w:r w:rsidRPr="00C10060">
        <w:rPr>
          <w:lang w:val="en-US"/>
        </w:rPr>
        <w:t xml:space="preserve">. </w:t>
      </w:r>
      <w:r>
        <w:t xml:space="preserve">(«"Отстои" означает смесь остатков груза с мытьевой водой, ржавчиной или грязью, которая поддается или не поддается откачке.») </w:t>
      </w:r>
      <w:r w:rsidRPr="00A20F3D">
        <w:rPr>
          <w:i/>
          <w:iCs/>
        </w:rPr>
        <w:t>(Данная поправка не касается текста на русском языке.)</w:t>
      </w:r>
    </w:p>
    <w:p w14:paraId="0BF5BAF3" w14:textId="77777777" w:rsidR="007A0320" w:rsidRPr="00C10060" w:rsidRDefault="007A0320" w:rsidP="007A0320">
      <w:pPr>
        <w:pStyle w:val="SingleTxtG"/>
      </w:pPr>
      <w:r>
        <w:rPr>
          <w:i/>
          <w:iCs/>
        </w:rPr>
        <w:t>(Справочный документ: ECE/TRANS/WP.15/AC.2/2019/17)</w:t>
      </w:r>
    </w:p>
    <w:p w14:paraId="6D11B79E" w14:textId="77777777" w:rsidR="007A0320" w:rsidRPr="00C10060" w:rsidRDefault="007A0320" w:rsidP="007A0320">
      <w:pPr>
        <w:pStyle w:val="H1G"/>
      </w:pPr>
      <w:r>
        <w:tab/>
      </w:r>
      <w:r>
        <w:tab/>
      </w:r>
      <w:r>
        <w:rPr>
          <w:bCs/>
        </w:rPr>
        <w:t>Глава 1.6</w:t>
      </w:r>
    </w:p>
    <w:p w14:paraId="5BBE2334" w14:textId="77777777" w:rsidR="007A0320" w:rsidRPr="00C10060" w:rsidRDefault="007A0320" w:rsidP="007A0320">
      <w:pPr>
        <w:pStyle w:val="SingleTxtG"/>
      </w:pPr>
      <w:r>
        <w:t>1.6.7.2.2.2</w:t>
      </w:r>
      <w:r>
        <w:tab/>
        <w:t>Исключить переходное положение для пунктов 9.3.1.8.4, 9.3.2.8.4, 9.3.3.8.4.</w:t>
      </w:r>
    </w:p>
    <w:p w14:paraId="28597701" w14:textId="77777777" w:rsidR="007A0320" w:rsidRPr="00C10060" w:rsidRDefault="007A0320" w:rsidP="007A0320">
      <w:pPr>
        <w:pStyle w:val="SingleTxtG"/>
        <w:rPr>
          <w:i/>
          <w:iCs/>
        </w:rPr>
      </w:pPr>
      <w:r>
        <w:rPr>
          <w:i/>
          <w:iCs/>
        </w:rPr>
        <w:t>(Справочный документ: ECE/TRANS/WP.15/AC.2/2019/9)</w:t>
      </w:r>
    </w:p>
    <w:p w14:paraId="0B373789" w14:textId="77777777" w:rsidR="007A0320" w:rsidRPr="00C10060" w:rsidRDefault="007A0320" w:rsidP="007A0320">
      <w:pPr>
        <w:pStyle w:val="SingleTxtG"/>
      </w:pPr>
      <w:r>
        <w:t>1.6.7.5</w:t>
      </w:r>
      <w:r>
        <w:tab/>
      </w:r>
      <w:r>
        <w:tab/>
        <w:t>Изменить следующим образом:</w:t>
      </w:r>
    </w:p>
    <w:p w14:paraId="605A31E6" w14:textId="77777777" w:rsidR="007A0320" w:rsidRPr="00C10060" w:rsidRDefault="007A0320" w:rsidP="007A0320">
      <w:pPr>
        <w:pStyle w:val="SingleTxtG"/>
        <w:rPr>
          <w:bCs/>
        </w:rPr>
      </w:pPr>
      <w:r>
        <w:t>«1.6.7.5</w:t>
      </w:r>
      <w:r>
        <w:tab/>
        <w:t>Переходные положения, касающиеся модификации танкеров</w:t>
      </w:r>
    </w:p>
    <w:p w14:paraId="7F39280E" w14:textId="77777777" w:rsidR="007A0320" w:rsidRPr="00C10060" w:rsidRDefault="007A0320" w:rsidP="007A0320">
      <w:pPr>
        <w:pStyle w:val="SingleTxtG"/>
        <w:rPr>
          <w:bCs/>
        </w:rPr>
      </w:pPr>
      <w:proofErr w:type="gramStart"/>
      <w:r>
        <w:t>1.6.7.5.1</w:t>
      </w:r>
      <w:r>
        <w:tab/>
        <w:t>К</w:t>
      </w:r>
      <w:proofErr w:type="gramEnd"/>
      <w:r>
        <w:t xml:space="preserve"> судам, для которых модификация грузового пространства судна</w:t>
      </w:r>
      <w:r w:rsidR="005600BF">
        <w:br/>
      </w:r>
      <w:r>
        <w:t>с целью его переоборудования в двухкорпусное судно типа N была осуществлена</w:t>
      </w:r>
      <w:r w:rsidR="005600BF">
        <w:br/>
      </w:r>
      <w:r>
        <w:t>до 31 декабря 2018 года, применяются следующие условия:</w:t>
      </w:r>
    </w:p>
    <w:p w14:paraId="4EC2A9AE" w14:textId="77777777" w:rsidR="007A0320" w:rsidRPr="00AF0C2A" w:rsidRDefault="007A0320" w:rsidP="008E6A2B">
      <w:pPr>
        <w:pStyle w:val="SingleTxtG"/>
        <w:tabs>
          <w:tab w:val="left" w:pos="2268"/>
        </w:tabs>
        <w:ind w:left="2835" w:hanging="553"/>
        <w:rPr>
          <w:bCs/>
        </w:rPr>
      </w:pPr>
      <w:r w:rsidRPr="00AF0C2A">
        <w:t>а)</w:t>
      </w:r>
      <w:r w:rsidRPr="00AF0C2A">
        <w:tab/>
        <w:t>модифицированное или новое грузовое пространство должно отвечать положениям настоящих Правил. В отношении грузового пространства не разрешается применять переходные положения, приведенные в пункте 1.6.7.2.2;</w:t>
      </w:r>
    </w:p>
    <w:p w14:paraId="1CF45726" w14:textId="77777777" w:rsidR="007A0320" w:rsidRPr="007A5120" w:rsidRDefault="007A0320" w:rsidP="008E6A2B">
      <w:pPr>
        <w:pStyle w:val="SingleTxtG"/>
        <w:tabs>
          <w:tab w:val="left" w:pos="2268"/>
        </w:tabs>
        <w:ind w:left="2835" w:hanging="553"/>
        <w:rPr>
          <w:bCs/>
        </w:rPr>
      </w:pPr>
      <w:bookmarkStart w:id="21" w:name="_Hlk528743038"/>
      <w:r w:rsidRPr="000676C1">
        <w:t>b</w:t>
      </w:r>
      <w:r w:rsidRPr="007A5120">
        <w:t>)</w:t>
      </w:r>
      <w:r w:rsidRPr="007A5120">
        <w:tab/>
        <w:t xml:space="preserve">части судна, расположенные за пределами грузового пространства, должны отвечать положениям настоящих Правил. Однако могут применяться приведенные в пункте 1.6.7.2.2 переходные положения для раздела 1.2.1, пунктов 9.3.3.0.3 </w:t>
      </w:r>
      <w:r w:rsidRPr="000676C1">
        <w:t>d</w:t>
      </w:r>
      <w:r w:rsidRPr="007A5120">
        <w:t>), 9.3.3.51.3 и 9.3.3.52.4, последнее предложение, действующих до 31</w:t>
      </w:r>
      <w:r>
        <w:rPr>
          <w:lang w:val="en-US"/>
        </w:rPr>
        <w:t> </w:t>
      </w:r>
      <w:r w:rsidRPr="007A5120">
        <w:t>декабря 2018 года;</w:t>
      </w:r>
    </w:p>
    <w:p w14:paraId="64C00599" w14:textId="77777777" w:rsidR="007A0320" w:rsidRPr="007A5120" w:rsidRDefault="007A0320" w:rsidP="008E6A2B">
      <w:pPr>
        <w:pStyle w:val="SingleTxtG"/>
        <w:tabs>
          <w:tab w:val="left" w:pos="2268"/>
        </w:tabs>
        <w:ind w:left="2835" w:hanging="553"/>
        <w:rPr>
          <w:bCs/>
        </w:rPr>
      </w:pPr>
      <w:r w:rsidRPr="000676C1">
        <w:t>c</w:t>
      </w:r>
      <w:r w:rsidRPr="007A5120">
        <w:t>)</w:t>
      </w:r>
      <w:r w:rsidRPr="007A5120">
        <w:tab/>
        <w:t>если грузы, требующие взрывозащиты, включены в перечень, предусмотренный в пункте 1.16.1.2.5, жилые помещения и рулевые рубки должны быть оборудованы системой пожарной сигнализации в соответствии с пунктом 9.3.3.40.2.3;</w:t>
      </w:r>
    </w:p>
    <w:p w14:paraId="35A3B2A6" w14:textId="77777777" w:rsidR="007A0320" w:rsidRPr="007A5120" w:rsidRDefault="007A0320" w:rsidP="008E6A2B">
      <w:pPr>
        <w:pStyle w:val="SingleTxtG"/>
        <w:tabs>
          <w:tab w:val="left" w:pos="2268"/>
        </w:tabs>
        <w:ind w:left="2835" w:hanging="553"/>
        <w:rPr>
          <w:bCs/>
        </w:rPr>
      </w:pPr>
      <w:r w:rsidRPr="000676C1">
        <w:t>d</w:t>
      </w:r>
      <w:r w:rsidRPr="007A5120">
        <w:t>)</w:t>
      </w:r>
      <w:r w:rsidRPr="007A5120">
        <w:tab/>
        <w:t>запись о применении настоящего подраздела должна быть внесена в свидетельство о допущении в графу 13 (Дополнительные замечания).</w:t>
      </w:r>
    </w:p>
    <w:bookmarkEnd w:id="21"/>
    <w:p w14:paraId="64094BA4" w14:textId="77777777" w:rsidR="007A0320" w:rsidRPr="008E6A2B" w:rsidRDefault="007A0320" w:rsidP="008E6A2B">
      <w:pPr>
        <w:pStyle w:val="SingleTxtG"/>
        <w:rPr>
          <w:bCs/>
        </w:rPr>
      </w:pPr>
      <w:r w:rsidRPr="008E6A2B">
        <w:lastRenderedPageBreak/>
        <w:tab/>
      </w:r>
      <w:r w:rsidRPr="008E6A2B">
        <w:rPr>
          <w:bCs/>
        </w:rPr>
        <w:t>1.6.7.5.2</w:t>
      </w:r>
      <w:r w:rsidRPr="008E6A2B">
        <w:rPr>
          <w:bCs/>
        </w:rPr>
        <w:tab/>
        <w:t>Модифицированные суда могут по-прежнему эксплуатироваться после 31 декабря 2018 года. Должны соблюдаться сроки, указанные в приведенных</w:t>
      </w:r>
      <w:r w:rsidR="008E6A2B">
        <w:rPr>
          <w:bCs/>
        </w:rPr>
        <w:br/>
      </w:r>
      <w:r w:rsidRPr="008E6A2B">
        <w:rPr>
          <w:bCs/>
        </w:rPr>
        <w:t>в пункте 1.6.7.2.2 переходных положениях для раздела</w:t>
      </w:r>
      <w:r w:rsidRPr="008E6A2B">
        <w:rPr>
          <w:bCs/>
          <w:lang w:val="en-US"/>
        </w:rPr>
        <w:t> </w:t>
      </w:r>
      <w:r w:rsidRPr="008E6A2B">
        <w:rPr>
          <w:bCs/>
        </w:rPr>
        <w:t>1.2.1, пунктов 9.3.3.0.3 d), 9.3.3.51.3 и 9.3.3.52.4, последнее предложение, действующих до 31 декабря</w:t>
      </w:r>
      <w:r w:rsidR="00A058DA">
        <w:rPr>
          <w:bCs/>
        </w:rPr>
        <w:br/>
      </w:r>
      <w:r w:rsidRPr="008E6A2B">
        <w:rPr>
          <w:bCs/>
        </w:rPr>
        <w:t>2018 года.».</w:t>
      </w:r>
    </w:p>
    <w:p w14:paraId="53A7BB67" w14:textId="77777777" w:rsidR="007A0320" w:rsidRPr="0091796B" w:rsidRDefault="007A0320" w:rsidP="00A058DA">
      <w:pPr>
        <w:pStyle w:val="H23G"/>
        <w:spacing w:before="0"/>
        <w:rPr>
          <w:b w:val="0"/>
          <w:bCs/>
          <w:sz w:val="24"/>
          <w:szCs w:val="24"/>
        </w:rPr>
      </w:pPr>
      <w:r>
        <w:rPr>
          <w:sz w:val="24"/>
          <w:szCs w:val="24"/>
        </w:rPr>
        <w:tab/>
      </w:r>
      <w:r>
        <w:rPr>
          <w:sz w:val="24"/>
          <w:szCs w:val="24"/>
        </w:rPr>
        <w:tab/>
      </w:r>
      <w:r w:rsidRPr="0091796B">
        <w:rPr>
          <w:b w:val="0"/>
          <w:bCs/>
          <w:i/>
          <w:iCs/>
        </w:rPr>
        <w:t>(Справочный документ: ECE/TRANS/WP.15/AC.2/2019/4 с поправками)</w:t>
      </w:r>
    </w:p>
    <w:p w14:paraId="64CD3CAD" w14:textId="77777777" w:rsidR="007A0320" w:rsidRPr="00316BE0" w:rsidRDefault="007A0320" w:rsidP="005600BF">
      <w:pPr>
        <w:pStyle w:val="H23G"/>
        <w:spacing w:before="280"/>
        <w:rPr>
          <w:sz w:val="24"/>
          <w:szCs w:val="24"/>
        </w:rPr>
      </w:pPr>
      <w:r>
        <w:rPr>
          <w:sz w:val="24"/>
          <w:szCs w:val="24"/>
        </w:rPr>
        <w:tab/>
      </w:r>
      <w:r>
        <w:rPr>
          <w:sz w:val="24"/>
          <w:szCs w:val="24"/>
        </w:rPr>
        <w:tab/>
      </w:r>
      <w:r w:rsidRPr="00316BE0">
        <w:rPr>
          <w:sz w:val="24"/>
          <w:szCs w:val="24"/>
        </w:rPr>
        <w:t>Глава 1.16</w:t>
      </w:r>
    </w:p>
    <w:p w14:paraId="309DA605" w14:textId="77777777" w:rsidR="007A0320" w:rsidRPr="007A5120" w:rsidRDefault="007A0320" w:rsidP="008E6A2B">
      <w:pPr>
        <w:pStyle w:val="SingleTxtG"/>
        <w:tabs>
          <w:tab w:val="left" w:pos="2268"/>
        </w:tabs>
      </w:pPr>
      <w:r w:rsidRPr="007A5120">
        <w:t>1.16.1.3.</w:t>
      </w:r>
      <w:proofErr w:type="gramStart"/>
      <w:r w:rsidRPr="007A5120">
        <w:t>2</w:t>
      </w:r>
      <w:r w:rsidRPr="007A5120">
        <w:tab/>
        <w:t>В</w:t>
      </w:r>
      <w:proofErr w:type="gramEnd"/>
      <w:r w:rsidRPr="007A5120">
        <w:t xml:space="preserve"> последнем предложении заменить «№ 12» на «№ 13».</w:t>
      </w:r>
    </w:p>
    <w:p w14:paraId="2AF6DA3F" w14:textId="77777777" w:rsidR="007A0320" w:rsidRDefault="007A0320" w:rsidP="007A0320">
      <w:pPr>
        <w:pStyle w:val="SingleTxtG"/>
        <w:rPr>
          <w:i/>
          <w:iCs/>
        </w:rPr>
      </w:pPr>
      <w:r w:rsidRPr="007A5120">
        <w:rPr>
          <w:i/>
          <w:iCs/>
        </w:rPr>
        <w:t xml:space="preserve">(Справочный документ: </w:t>
      </w:r>
      <w:r w:rsidRPr="000676C1">
        <w:rPr>
          <w:i/>
          <w:iCs/>
        </w:rPr>
        <w:t>ECE</w:t>
      </w:r>
      <w:r w:rsidRPr="007A5120">
        <w:rPr>
          <w:i/>
          <w:iCs/>
        </w:rPr>
        <w:t>/</w:t>
      </w:r>
      <w:r w:rsidRPr="000676C1">
        <w:rPr>
          <w:i/>
          <w:iCs/>
        </w:rPr>
        <w:t>TRANS</w:t>
      </w:r>
      <w:r w:rsidRPr="007A5120">
        <w:rPr>
          <w:i/>
          <w:iCs/>
        </w:rPr>
        <w:t>/</w:t>
      </w:r>
      <w:r w:rsidRPr="000676C1">
        <w:rPr>
          <w:i/>
          <w:iCs/>
        </w:rPr>
        <w:t>WP</w:t>
      </w:r>
      <w:r w:rsidRPr="007A5120">
        <w:rPr>
          <w:i/>
          <w:iCs/>
        </w:rPr>
        <w:t>.15/</w:t>
      </w:r>
      <w:r w:rsidRPr="000676C1">
        <w:rPr>
          <w:i/>
          <w:iCs/>
        </w:rPr>
        <w:t>AC</w:t>
      </w:r>
      <w:r w:rsidRPr="007A5120">
        <w:rPr>
          <w:i/>
          <w:iCs/>
        </w:rPr>
        <w:t>.2/2019/4)</w:t>
      </w:r>
    </w:p>
    <w:p w14:paraId="5B1F60DA" w14:textId="77777777" w:rsidR="007A0320" w:rsidRPr="00316BE0" w:rsidRDefault="007A0320" w:rsidP="005600BF">
      <w:pPr>
        <w:pStyle w:val="H1G"/>
        <w:spacing w:before="280"/>
      </w:pPr>
      <w:r>
        <w:rPr>
          <w:bCs/>
        </w:rPr>
        <w:tab/>
      </w:r>
      <w:r>
        <w:rPr>
          <w:bCs/>
        </w:rPr>
        <w:tab/>
        <w:t>Глава 3.2</w:t>
      </w:r>
    </w:p>
    <w:p w14:paraId="5DD36D5A" w14:textId="77777777" w:rsidR="007A0320" w:rsidRPr="00316BE0" w:rsidRDefault="007A0320" w:rsidP="008E6A2B">
      <w:pPr>
        <w:pStyle w:val="SingleTxtG"/>
        <w:tabs>
          <w:tab w:val="left" w:pos="2268"/>
        </w:tabs>
      </w:pPr>
      <w:proofErr w:type="gramStart"/>
      <w:r>
        <w:t>3.2.3.1</w:t>
      </w:r>
      <w:r w:rsidR="008E6A2B">
        <w:tab/>
      </w:r>
      <w:r>
        <w:t>В</w:t>
      </w:r>
      <w:proofErr w:type="gramEnd"/>
      <w:r>
        <w:t xml:space="preserve"> пояснениях к колонке 3b исключить «, 8» в предпоследнем подпункте. Сразу же после него добавить новый подпункт следующего содержания:</w:t>
      </w:r>
    </w:p>
    <w:p w14:paraId="1316ED97" w14:textId="77777777" w:rsidR="007A0320" w:rsidRPr="00316BE0" w:rsidRDefault="007A0320" w:rsidP="007A0320">
      <w:pPr>
        <w:pStyle w:val="SingleTxtG"/>
      </w:pPr>
      <w:r>
        <w:t>«</w:t>
      </w:r>
      <w:r w:rsidR="008E6A2B">
        <w:t>–</w:t>
      </w:r>
      <w:r>
        <w:tab/>
        <w:t>для опасных веществ или изделий класса 8 пояснения в отношении кодов содержатся в пункте 2.2.8.1.4.1;».</w:t>
      </w:r>
    </w:p>
    <w:p w14:paraId="71A56FCD" w14:textId="77777777" w:rsidR="007A0320" w:rsidRPr="00316BE0" w:rsidRDefault="007A0320" w:rsidP="007A0320">
      <w:pPr>
        <w:pStyle w:val="SingleTxtG"/>
      </w:pPr>
      <w:r>
        <w:rPr>
          <w:i/>
          <w:iCs/>
        </w:rPr>
        <w:t>(Справочный документ: ECE/TRANS/WP.15/AC.2/2019/17)</w:t>
      </w:r>
    </w:p>
    <w:p w14:paraId="72BF0348" w14:textId="77777777" w:rsidR="007A0320" w:rsidRPr="00316BE0" w:rsidRDefault="007A0320" w:rsidP="005600BF">
      <w:pPr>
        <w:pStyle w:val="H1G"/>
        <w:spacing w:before="280" w:after="200"/>
      </w:pPr>
      <w:r>
        <w:tab/>
      </w:r>
      <w:r>
        <w:tab/>
      </w:r>
      <w:r>
        <w:rPr>
          <w:bCs/>
        </w:rPr>
        <w:t>Глава 3.2, таблица С</w:t>
      </w:r>
    </w:p>
    <w:p w14:paraId="24EDCC15" w14:textId="77777777" w:rsidR="007A0320" w:rsidRPr="007A5120" w:rsidRDefault="007A0320" w:rsidP="007A0320">
      <w:pPr>
        <w:pStyle w:val="SingleTxtG"/>
      </w:pPr>
      <w:r w:rsidRPr="007A5120">
        <w:tab/>
        <w:t>В заголовке добавить новую вторую строку следующего содержания:</w:t>
      </w: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863"/>
        <w:gridCol w:w="863"/>
        <w:gridCol w:w="860"/>
        <w:gridCol w:w="862"/>
        <w:gridCol w:w="862"/>
        <w:gridCol w:w="860"/>
        <w:gridCol w:w="862"/>
        <w:gridCol w:w="862"/>
        <w:gridCol w:w="860"/>
        <w:gridCol w:w="862"/>
        <w:gridCol w:w="1006"/>
      </w:tblGrid>
      <w:tr w:rsidR="007A0320" w:rsidRPr="00807BB3" w14:paraId="79F5200F" w14:textId="77777777" w:rsidTr="008E6A2B">
        <w:trPr>
          <w:cantSplit/>
          <w:trHeight w:val="37"/>
          <w:tblHeader/>
        </w:trPr>
        <w:tc>
          <w:tcPr>
            <w:tcW w:w="448" w:type="pct"/>
            <w:tcBorders>
              <w:top w:val="single" w:sz="6" w:space="0" w:color="auto"/>
              <w:left w:val="single" w:sz="6" w:space="0" w:color="auto"/>
              <w:bottom w:val="single" w:sz="6" w:space="0" w:color="auto"/>
              <w:right w:val="single" w:sz="6" w:space="0" w:color="auto"/>
            </w:tcBorders>
          </w:tcPr>
          <w:p w14:paraId="51BAFCE5" w14:textId="77777777" w:rsidR="007A0320" w:rsidRPr="00807BB3" w:rsidRDefault="007A0320" w:rsidP="007A0320">
            <w:pPr>
              <w:suppressAutoHyphens w:val="0"/>
              <w:autoSpaceDE w:val="0"/>
              <w:autoSpaceDN w:val="0"/>
              <w:adjustRightInd w:val="0"/>
              <w:spacing w:before="10" w:after="10" w:line="240" w:lineRule="auto"/>
              <w:jc w:val="center"/>
              <w:rPr>
                <w:color w:val="000000"/>
                <w:sz w:val="18"/>
                <w:szCs w:val="18"/>
              </w:rPr>
            </w:pPr>
            <w:r w:rsidRPr="00807BB3">
              <w:rPr>
                <w:sz w:val="18"/>
                <w:szCs w:val="18"/>
              </w:rPr>
              <w:t>(1)</w:t>
            </w:r>
          </w:p>
        </w:tc>
        <w:tc>
          <w:tcPr>
            <w:tcW w:w="448" w:type="pct"/>
            <w:tcBorders>
              <w:top w:val="single" w:sz="6" w:space="0" w:color="auto"/>
              <w:left w:val="single" w:sz="6" w:space="0" w:color="auto"/>
              <w:bottom w:val="single" w:sz="6" w:space="0" w:color="auto"/>
              <w:right w:val="single" w:sz="6" w:space="0" w:color="auto"/>
            </w:tcBorders>
          </w:tcPr>
          <w:p w14:paraId="0D84D109"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(2)</w:t>
            </w:r>
          </w:p>
        </w:tc>
        <w:tc>
          <w:tcPr>
            <w:tcW w:w="447" w:type="pct"/>
            <w:tcBorders>
              <w:top w:val="single" w:sz="6" w:space="0" w:color="auto"/>
              <w:left w:val="single" w:sz="6" w:space="0" w:color="auto"/>
              <w:bottom w:val="single" w:sz="6" w:space="0" w:color="auto"/>
              <w:right w:val="single" w:sz="4" w:space="0" w:color="auto"/>
            </w:tcBorders>
          </w:tcPr>
          <w:p w14:paraId="3B53F2B4"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(3a)</w:t>
            </w:r>
          </w:p>
        </w:tc>
        <w:tc>
          <w:tcPr>
            <w:tcW w:w="448" w:type="pct"/>
            <w:tcBorders>
              <w:top w:val="single" w:sz="6" w:space="0" w:color="auto"/>
              <w:left w:val="single" w:sz="4" w:space="0" w:color="auto"/>
              <w:bottom w:val="single" w:sz="6" w:space="0" w:color="auto"/>
              <w:right w:val="single" w:sz="6" w:space="0" w:color="auto"/>
            </w:tcBorders>
          </w:tcPr>
          <w:p w14:paraId="1E92B238"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(3b)</w:t>
            </w:r>
          </w:p>
        </w:tc>
        <w:tc>
          <w:tcPr>
            <w:tcW w:w="448" w:type="pct"/>
            <w:tcBorders>
              <w:top w:val="single" w:sz="6" w:space="0" w:color="auto"/>
              <w:left w:val="single" w:sz="6" w:space="0" w:color="auto"/>
              <w:bottom w:val="single" w:sz="6" w:space="0" w:color="auto"/>
              <w:right w:val="single" w:sz="6" w:space="0" w:color="auto"/>
            </w:tcBorders>
          </w:tcPr>
          <w:p w14:paraId="7CCBC51D"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(4)</w:t>
            </w:r>
          </w:p>
        </w:tc>
        <w:tc>
          <w:tcPr>
            <w:tcW w:w="447" w:type="pct"/>
            <w:tcBorders>
              <w:top w:val="single" w:sz="6" w:space="0" w:color="auto"/>
              <w:left w:val="single" w:sz="6" w:space="0" w:color="auto"/>
              <w:bottom w:val="single" w:sz="6" w:space="0" w:color="auto"/>
              <w:right w:val="single" w:sz="6" w:space="0" w:color="auto"/>
            </w:tcBorders>
            <w:noWrap/>
          </w:tcPr>
          <w:p w14:paraId="3055E146"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(5)</w:t>
            </w:r>
          </w:p>
        </w:tc>
        <w:tc>
          <w:tcPr>
            <w:tcW w:w="448" w:type="pct"/>
            <w:tcBorders>
              <w:top w:val="single" w:sz="6" w:space="0" w:color="auto"/>
              <w:left w:val="single" w:sz="6" w:space="0" w:color="auto"/>
              <w:bottom w:val="single" w:sz="6" w:space="0" w:color="auto"/>
              <w:right w:val="single" w:sz="6" w:space="0" w:color="auto"/>
            </w:tcBorders>
          </w:tcPr>
          <w:p w14:paraId="69AFF818"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(6)</w:t>
            </w:r>
          </w:p>
        </w:tc>
        <w:tc>
          <w:tcPr>
            <w:tcW w:w="448" w:type="pct"/>
            <w:tcBorders>
              <w:top w:val="single" w:sz="6" w:space="0" w:color="auto"/>
              <w:left w:val="single" w:sz="6" w:space="0" w:color="auto"/>
              <w:bottom w:val="single" w:sz="6" w:space="0" w:color="auto"/>
              <w:right w:val="single" w:sz="6" w:space="0" w:color="auto"/>
            </w:tcBorders>
          </w:tcPr>
          <w:p w14:paraId="1ECD9D5E"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(7)</w:t>
            </w:r>
          </w:p>
        </w:tc>
        <w:tc>
          <w:tcPr>
            <w:tcW w:w="447" w:type="pct"/>
            <w:tcBorders>
              <w:top w:val="single" w:sz="6" w:space="0" w:color="auto"/>
              <w:left w:val="single" w:sz="6" w:space="0" w:color="auto"/>
              <w:bottom w:val="single" w:sz="6" w:space="0" w:color="auto"/>
              <w:right w:val="single" w:sz="6" w:space="0" w:color="auto"/>
            </w:tcBorders>
          </w:tcPr>
          <w:p w14:paraId="511AE129"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(8)</w:t>
            </w:r>
          </w:p>
        </w:tc>
        <w:tc>
          <w:tcPr>
            <w:tcW w:w="448" w:type="pct"/>
            <w:tcBorders>
              <w:top w:val="single" w:sz="6" w:space="0" w:color="auto"/>
              <w:left w:val="single" w:sz="6" w:space="0" w:color="auto"/>
              <w:bottom w:val="single" w:sz="6" w:space="0" w:color="auto"/>
              <w:right w:val="single" w:sz="6" w:space="0" w:color="auto"/>
            </w:tcBorders>
          </w:tcPr>
          <w:p w14:paraId="0F3CBCB6"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(9)</w:t>
            </w:r>
          </w:p>
        </w:tc>
        <w:tc>
          <w:tcPr>
            <w:tcW w:w="524" w:type="pct"/>
            <w:tcBorders>
              <w:top w:val="single" w:sz="6" w:space="0" w:color="auto"/>
              <w:left w:val="single" w:sz="6" w:space="0" w:color="auto"/>
              <w:bottom w:val="single" w:sz="6" w:space="0" w:color="auto"/>
              <w:right w:val="single" w:sz="6" w:space="0" w:color="auto"/>
            </w:tcBorders>
          </w:tcPr>
          <w:p w14:paraId="28204B4A"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(10)</w:t>
            </w:r>
          </w:p>
        </w:tc>
      </w:tr>
      <w:tr w:rsidR="007A0320" w:rsidRPr="00316BE0" w14:paraId="55BE5A5F" w14:textId="77777777" w:rsidTr="008E6A2B">
        <w:trPr>
          <w:cantSplit/>
          <w:trHeight w:val="37"/>
          <w:tblHeader/>
        </w:trPr>
        <w:tc>
          <w:tcPr>
            <w:tcW w:w="448" w:type="pct"/>
            <w:tcBorders>
              <w:top w:val="single" w:sz="6" w:space="0" w:color="auto"/>
              <w:left w:val="single" w:sz="6" w:space="0" w:color="auto"/>
              <w:bottom w:val="single" w:sz="6" w:space="0" w:color="auto"/>
              <w:right w:val="single" w:sz="6" w:space="0" w:color="auto"/>
            </w:tcBorders>
          </w:tcPr>
          <w:p w14:paraId="4BDBD8E8"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lang w:bidi="th-TH"/>
              </w:rPr>
            </w:pPr>
          </w:p>
        </w:tc>
        <w:tc>
          <w:tcPr>
            <w:tcW w:w="448" w:type="pct"/>
            <w:tcBorders>
              <w:top w:val="single" w:sz="6" w:space="0" w:color="auto"/>
              <w:left w:val="single" w:sz="6" w:space="0" w:color="auto"/>
              <w:bottom w:val="single" w:sz="6" w:space="0" w:color="auto"/>
              <w:right w:val="single" w:sz="6" w:space="0" w:color="auto"/>
            </w:tcBorders>
          </w:tcPr>
          <w:p w14:paraId="4C1D270E"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3.1.2</w:t>
            </w:r>
          </w:p>
        </w:tc>
        <w:tc>
          <w:tcPr>
            <w:tcW w:w="447" w:type="pct"/>
            <w:tcBorders>
              <w:top w:val="single" w:sz="6" w:space="0" w:color="auto"/>
              <w:left w:val="single" w:sz="6" w:space="0" w:color="auto"/>
              <w:bottom w:val="single" w:sz="6" w:space="0" w:color="auto"/>
              <w:right w:val="single" w:sz="4" w:space="0" w:color="auto"/>
            </w:tcBorders>
          </w:tcPr>
          <w:p w14:paraId="157017B5"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2.2</w:t>
            </w:r>
          </w:p>
        </w:tc>
        <w:tc>
          <w:tcPr>
            <w:tcW w:w="448" w:type="pct"/>
            <w:tcBorders>
              <w:top w:val="single" w:sz="6" w:space="0" w:color="auto"/>
              <w:left w:val="single" w:sz="4" w:space="0" w:color="auto"/>
              <w:bottom w:val="single" w:sz="6" w:space="0" w:color="auto"/>
              <w:right w:val="single" w:sz="6" w:space="0" w:color="auto"/>
            </w:tcBorders>
          </w:tcPr>
          <w:p w14:paraId="084A4982"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2.2</w:t>
            </w:r>
          </w:p>
        </w:tc>
        <w:tc>
          <w:tcPr>
            <w:tcW w:w="448" w:type="pct"/>
            <w:tcBorders>
              <w:top w:val="single" w:sz="6" w:space="0" w:color="auto"/>
              <w:left w:val="single" w:sz="6" w:space="0" w:color="auto"/>
              <w:bottom w:val="single" w:sz="6" w:space="0" w:color="auto"/>
              <w:right w:val="single" w:sz="6" w:space="0" w:color="auto"/>
            </w:tcBorders>
          </w:tcPr>
          <w:p w14:paraId="24F2B008"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2.1.1.3</w:t>
            </w:r>
          </w:p>
        </w:tc>
        <w:tc>
          <w:tcPr>
            <w:tcW w:w="447" w:type="pct"/>
            <w:tcBorders>
              <w:top w:val="single" w:sz="6" w:space="0" w:color="auto"/>
              <w:left w:val="single" w:sz="6" w:space="0" w:color="auto"/>
              <w:bottom w:val="single" w:sz="6" w:space="0" w:color="auto"/>
              <w:right w:val="single" w:sz="6" w:space="0" w:color="auto"/>
            </w:tcBorders>
            <w:noWrap/>
          </w:tcPr>
          <w:p w14:paraId="0D57F867"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5.2.2/</w:t>
            </w:r>
            <w:r w:rsidR="008E6A2B">
              <w:rPr>
                <w:b/>
                <w:bCs/>
                <w:sz w:val="18"/>
                <w:szCs w:val="18"/>
              </w:rPr>
              <w:br/>
            </w:r>
            <w:r w:rsidRPr="00316BE0">
              <w:rPr>
                <w:b/>
                <w:bCs/>
                <w:sz w:val="18"/>
                <w:szCs w:val="18"/>
              </w:rPr>
              <w:t>3.2.3.1</w:t>
            </w:r>
          </w:p>
        </w:tc>
        <w:tc>
          <w:tcPr>
            <w:tcW w:w="448" w:type="pct"/>
            <w:tcBorders>
              <w:top w:val="single" w:sz="6" w:space="0" w:color="auto"/>
              <w:left w:val="single" w:sz="6" w:space="0" w:color="auto"/>
              <w:bottom w:val="single" w:sz="6" w:space="0" w:color="auto"/>
              <w:right w:val="single" w:sz="6" w:space="0" w:color="auto"/>
            </w:tcBorders>
          </w:tcPr>
          <w:p w14:paraId="02E14490"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1.2.1/</w:t>
            </w:r>
            <w:r w:rsidR="008E6A2B">
              <w:rPr>
                <w:b/>
                <w:bCs/>
                <w:sz w:val="18"/>
                <w:szCs w:val="18"/>
              </w:rPr>
              <w:br/>
            </w:r>
            <w:r w:rsidRPr="00316BE0">
              <w:rPr>
                <w:b/>
                <w:bCs/>
                <w:sz w:val="18"/>
                <w:szCs w:val="18"/>
              </w:rPr>
              <w:t>7.2.2.0.1</w:t>
            </w:r>
          </w:p>
        </w:tc>
        <w:tc>
          <w:tcPr>
            <w:tcW w:w="448" w:type="pct"/>
            <w:tcBorders>
              <w:top w:val="single" w:sz="6" w:space="0" w:color="auto"/>
              <w:left w:val="single" w:sz="6" w:space="0" w:color="auto"/>
              <w:bottom w:val="single" w:sz="6" w:space="0" w:color="auto"/>
              <w:right w:val="single" w:sz="6" w:space="0" w:color="auto"/>
            </w:tcBorders>
          </w:tcPr>
          <w:p w14:paraId="1710042F"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3.2.3.1/</w:t>
            </w:r>
            <w:r w:rsidR="008E6A2B">
              <w:rPr>
                <w:b/>
                <w:bCs/>
                <w:sz w:val="18"/>
                <w:szCs w:val="18"/>
              </w:rPr>
              <w:br/>
            </w:r>
            <w:r w:rsidRPr="00316BE0">
              <w:rPr>
                <w:b/>
                <w:bCs/>
                <w:sz w:val="18"/>
                <w:szCs w:val="18"/>
              </w:rPr>
              <w:t>1.2.1</w:t>
            </w:r>
          </w:p>
        </w:tc>
        <w:tc>
          <w:tcPr>
            <w:tcW w:w="447" w:type="pct"/>
            <w:tcBorders>
              <w:top w:val="single" w:sz="6" w:space="0" w:color="auto"/>
              <w:left w:val="single" w:sz="6" w:space="0" w:color="auto"/>
              <w:bottom w:val="single" w:sz="6" w:space="0" w:color="auto"/>
              <w:right w:val="single" w:sz="6" w:space="0" w:color="auto"/>
            </w:tcBorders>
          </w:tcPr>
          <w:p w14:paraId="5C7D3792"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3.2.3.1/</w:t>
            </w:r>
            <w:r w:rsidR="008E6A2B">
              <w:rPr>
                <w:b/>
                <w:bCs/>
                <w:sz w:val="18"/>
                <w:szCs w:val="18"/>
              </w:rPr>
              <w:br/>
            </w:r>
            <w:r w:rsidRPr="00316BE0">
              <w:rPr>
                <w:b/>
                <w:bCs/>
                <w:sz w:val="18"/>
                <w:szCs w:val="18"/>
              </w:rPr>
              <w:t>1.2.1</w:t>
            </w:r>
          </w:p>
        </w:tc>
        <w:tc>
          <w:tcPr>
            <w:tcW w:w="448" w:type="pct"/>
            <w:tcBorders>
              <w:top w:val="single" w:sz="6" w:space="0" w:color="auto"/>
              <w:left w:val="single" w:sz="6" w:space="0" w:color="auto"/>
              <w:bottom w:val="single" w:sz="6" w:space="0" w:color="auto"/>
              <w:right w:val="single" w:sz="6" w:space="0" w:color="auto"/>
            </w:tcBorders>
          </w:tcPr>
          <w:p w14:paraId="4AC9CB3B"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3.2.3.1/</w:t>
            </w:r>
            <w:r w:rsidR="008E6A2B">
              <w:rPr>
                <w:b/>
                <w:bCs/>
                <w:sz w:val="18"/>
                <w:szCs w:val="18"/>
              </w:rPr>
              <w:br/>
            </w:r>
            <w:r w:rsidRPr="00316BE0">
              <w:rPr>
                <w:b/>
                <w:bCs/>
                <w:sz w:val="18"/>
                <w:szCs w:val="18"/>
              </w:rPr>
              <w:t>1.2.1</w:t>
            </w:r>
          </w:p>
        </w:tc>
        <w:tc>
          <w:tcPr>
            <w:tcW w:w="524" w:type="pct"/>
            <w:tcBorders>
              <w:top w:val="single" w:sz="6" w:space="0" w:color="auto"/>
              <w:left w:val="single" w:sz="6" w:space="0" w:color="auto"/>
              <w:bottom w:val="single" w:sz="6" w:space="0" w:color="auto"/>
              <w:right w:val="single" w:sz="6" w:space="0" w:color="auto"/>
            </w:tcBorders>
          </w:tcPr>
          <w:p w14:paraId="3A86858E"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3.2.3.1/</w:t>
            </w:r>
            <w:r w:rsidR="008E6A2B">
              <w:rPr>
                <w:b/>
                <w:bCs/>
                <w:sz w:val="18"/>
                <w:szCs w:val="18"/>
              </w:rPr>
              <w:br/>
            </w:r>
            <w:r w:rsidRPr="00316BE0">
              <w:rPr>
                <w:b/>
                <w:bCs/>
                <w:sz w:val="18"/>
                <w:szCs w:val="18"/>
              </w:rPr>
              <w:t>1.2.1</w:t>
            </w:r>
          </w:p>
        </w:tc>
      </w:tr>
    </w:tbl>
    <w:p w14:paraId="029DDACA" w14:textId="77777777" w:rsidR="007A0320" w:rsidRPr="008E6A2B" w:rsidRDefault="007A0320" w:rsidP="008E6A2B">
      <w:pPr>
        <w:pStyle w:val="SingleTxtG"/>
        <w:spacing w:after="0"/>
        <w:ind w:left="0"/>
        <w:jc w:val="left"/>
        <w:rPr>
          <w:color w:val="FFFFFF" w:themeColor="background1"/>
        </w:rPr>
      </w:pPr>
    </w:p>
    <w:tbl>
      <w:tblPr>
        <w:tblW w:w="5000" w:type="pct"/>
        <w:tblLayout w:type="fixed"/>
        <w:tblCellMar>
          <w:top w:w="28" w:type="dxa"/>
          <w:left w:w="28" w:type="dxa"/>
          <w:bottom w:w="28" w:type="dxa"/>
          <w:right w:w="28" w:type="dxa"/>
        </w:tblCellMar>
        <w:tblLook w:val="0000" w:firstRow="0" w:lastRow="0" w:firstColumn="0" w:lastColumn="0" w:noHBand="0" w:noVBand="0"/>
      </w:tblPr>
      <w:tblGrid>
        <w:gridCol w:w="948"/>
        <w:gridCol w:w="948"/>
        <w:gridCol w:w="948"/>
        <w:gridCol w:w="948"/>
        <w:gridCol w:w="947"/>
        <w:gridCol w:w="947"/>
        <w:gridCol w:w="947"/>
        <w:gridCol w:w="947"/>
        <w:gridCol w:w="947"/>
        <w:gridCol w:w="1095"/>
      </w:tblGrid>
      <w:tr w:rsidR="007A0320" w:rsidRPr="00316BE0" w14:paraId="49EF3A48" w14:textId="77777777" w:rsidTr="008E6A2B">
        <w:trPr>
          <w:cantSplit/>
          <w:trHeight w:val="37"/>
          <w:tblHeader/>
        </w:trPr>
        <w:tc>
          <w:tcPr>
            <w:tcW w:w="492" w:type="pct"/>
            <w:tcBorders>
              <w:top w:val="single" w:sz="6" w:space="0" w:color="auto"/>
              <w:left w:val="single" w:sz="6" w:space="0" w:color="auto"/>
              <w:bottom w:val="single" w:sz="6" w:space="0" w:color="auto"/>
              <w:right w:val="single" w:sz="6" w:space="0" w:color="auto"/>
            </w:tcBorders>
          </w:tcPr>
          <w:p w14:paraId="7CDF168D"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(11)</w:t>
            </w:r>
          </w:p>
        </w:tc>
        <w:tc>
          <w:tcPr>
            <w:tcW w:w="492" w:type="pct"/>
            <w:tcBorders>
              <w:top w:val="single" w:sz="6" w:space="0" w:color="auto"/>
              <w:left w:val="single" w:sz="6" w:space="0" w:color="auto"/>
              <w:bottom w:val="single" w:sz="6" w:space="0" w:color="auto"/>
              <w:right w:val="single" w:sz="6" w:space="0" w:color="auto"/>
            </w:tcBorders>
          </w:tcPr>
          <w:p w14:paraId="15710EA5"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(12)</w:t>
            </w:r>
          </w:p>
        </w:tc>
        <w:tc>
          <w:tcPr>
            <w:tcW w:w="492" w:type="pct"/>
            <w:tcBorders>
              <w:top w:val="single" w:sz="6" w:space="0" w:color="auto"/>
              <w:left w:val="single" w:sz="6" w:space="0" w:color="auto"/>
              <w:bottom w:val="single" w:sz="6" w:space="0" w:color="auto"/>
              <w:right w:val="single" w:sz="6" w:space="0" w:color="auto"/>
            </w:tcBorders>
          </w:tcPr>
          <w:p w14:paraId="2D4B9E3E"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(13)</w:t>
            </w:r>
          </w:p>
        </w:tc>
        <w:tc>
          <w:tcPr>
            <w:tcW w:w="492" w:type="pct"/>
            <w:tcBorders>
              <w:top w:val="single" w:sz="6" w:space="0" w:color="auto"/>
              <w:left w:val="single" w:sz="6" w:space="0" w:color="auto"/>
              <w:bottom w:val="single" w:sz="6" w:space="0" w:color="auto"/>
              <w:right w:val="single" w:sz="6" w:space="0" w:color="auto"/>
            </w:tcBorders>
          </w:tcPr>
          <w:p w14:paraId="4902833E"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(14)</w:t>
            </w:r>
          </w:p>
        </w:tc>
        <w:tc>
          <w:tcPr>
            <w:tcW w:w="492" w:type="pct"/>
            <w:tcBorders>
              <w:top w:val="single" w:sz="6" w:space="0" w:color="auto"/>
              <w:left w:val="single" w:sz="6" w:space="0" w:color="auto"/>
              <w:bottom w:val="single" w:sz="6" w:space="0" w:color="auto"/>
              <w:right w:val="single" w:sz="6" w:space="0" w:color="auto"/>
            </w:tcBorders>
          </w:tcPr>
          <w:p w14:paraId="0071CFBF"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(15)</w:t>
            </w:r>
          </w:p>
        </w:tc>
        <w:tc>
          <w:tcPr>
            <w:tcW w:w="492" w:type="pct"/>
            <w:tcBorders>
              <w:top w:val="single" w:sz="6" w:space="0" w:color="auto"/>
              <w:left w:val="single" w:sz="6" w:space="0" w:color="auto"/>
              <w:bottom w:val="single" w:sz="6" w:space="0" w:color="auto"/>
              <w:right w:val="single" w:sz="6" w:space="0" w:color="auto"/>
            </w:tcBorders>
          </w:tcPr>
          <w:p w14:paraId="293B8D48"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(16)</w:t>
            </w:r>
          </w:p>
        </w:tc>
        <w:tc>
          <w:tcPr>
            <w:tcW w:w="492" w:type="pct"/>
            <w:tcBorders>
              <w:top w:val="single" w:sz="6" w:space="0" w:color="auto"/>
              <w:left w:val="single" w:sz="6" w:space="0" w:color="auto"/>
              <w:bottom w:val="single" w:sz="6" w:space="0" w:color="auto"/>
              <w:right w:val="single" w:sz="6" w:space="0" w:color="auto"/>
            </w:tcBorders>
          </w:tcPr>
          <w:p w14:paraId="6CA7D427"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(17)</w:t>
            </w:r>
          </w:p>
        </w:tc>
        <w:tc>
          <w:tcPr>
            <w:tcW w:w="492" w:type="pct"/>
            <w:tcBorders>
              <w:top w:val="single" w:sz="6" w:space="0" w:color="auto"/>
              <w:left w:val="single" w:sz="6" w:space="0" w:color="auto"/>
              <w:bottom w:val="single" w:sz="6" w:space="0" w:color="auto"/>
              <w:right w:val="single" w:sz="6" w:space="0" w:color="auto"/>
            </w:tcBorders>
          </w:tcPr>
          <w:p w14:paraId="7D82CF11"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(18)</w:t>
            </w:r>
          </w:p>
        </w:tc>
        <w:tc>
          <w:tcPr>
            <w:tcW w:w="492" w:type="pct"/>
            <w:tcBorders>
              <w:top w:val="single" w:sz="6" w:space="0" w:color="auto"/>
              <w:left w:val="single" w:sz="6" w:space="0" w:color="auto"/>
              <w:bottom w:val="single" w:sz="6" w:space="0" w:color="auto"/>
              <w:right w:val="single" w:sz="6" w:space="0" w:color="auto"/>
            </w:tcBorders>
          </w:tcPr>
          <w:p w14:paraId="1E4EC12E"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(19)</w:t>
            </w:r>
          </w:p>
        </w:tc>
        <w:tc>
          <w:tcPr>
            <w:tcW w:w="569" w:type="pct"/>
            <w:tcBorders>
              <w:top w:val="single" w:sz="6" w:space="0" w:color="auto"/>
              <w:left w:val="single" w:sz="6" w:space="0" w:color="auto"/>
              <w:bottom w:val="single" w:sz="6" w:space="0" w:color="auto"/>
              <w:right w:val="single" w:sz="6" w:space="0" w:color="auto"/>
            </w:tcBorders>
          </w:tcPr>
          <w:p w14:paraId="4E55BAE1" w14:textId="77777777" w:rsidR="007A0320" w:rsidRPr="00316BE0" w:rsidRDefault="007A0320" w:rsidP="007A0320">
            <w:pPr>
              <w:suppressAutoHyphens w:val="0"/>
              <w:autoSpaceDE w:val="0"/>
              <w:autoSpaceDN w:val="0"/>
              <w:adjustRightInd w:val="0"/>
              <w:spacing w:before="10" w:after="10" w:line="240" w:lineRule="auto"/>
              <w:jc w:val="center"/>
              <w:rPr>
                <w:color w:val="000000"/>
                <w:sz w:val="18"/>
                <w:szCs w:val="18"/>
              </w:rPr>
            </w:pPr>
            <w:r w:rsidRPr="00316BE0">
              <w:rPr>
                <w:sz w:val="18"/>
                <w:szCs w:val="18"/>
              </w:rPr>
              <w:t>(20)</w:t>
            </w:r>
          </w:p>
        </w:tc>
      </w:tr>
      <w:tr w:rsidR="007A0320" w:rsidRPr="00316BE0" w14:paraId="1B9CB2E0" w14:textId="77777777" w:rsidTr="008E6A2B">
        <w:trPr>
          <w:cantSplit/>
          <w:trHeight w:val="37"/>
          <w:tblHeader/>
        </w:trPr>
        <w:tc>
          <w:tcPr>
            <w:tcW w:w="492" w:type="pct"/>
            <w:tcBorders>
              <w:top w:val="single" w:sz="6" w:space="0" w:color="auto"/>
              <w:left w:val="single" w:sz="6" w:space="0" w:color="auto"/>
              <w:bottom w:val="single" w:sz="6" w:space="0" w:color="auto"/>
              <w:right w:val="single" w:sz="6" w:space="0" w:color="auto"/>
            </w:tcBorders>
          </w:tcPr>
          <w:p w14:paraId="799BAF40"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7.2.4.21</w:t>
            </w:r>
          </w:p>
        </w:tc>
        <w:tc>
          <w:tcPr>
            <w:tcW w:w="492" w:type="pct"/>
            <w:tcBorders>
              <w:top w:val="single" w:sz="6" w:space="0" w:color="auto"/>
              <w:left w:val="single" w:sz="6" w:space="0" w:color="auto"/>
              <w:bottom w:val="single" w:sz="6" w:space="0" w:color="auto"/>
              <w:right w:val="single" w:sz="6" w:space="0" w:color="auto"/>
            </w:tcBorders>
          </w:tcPr>
          <w:p w14:paraId="649F14F2"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3.2.3.1</w:t>
            </w:r>
          </w:p>
        </w:tc>
        <w:tc>
          <w:tcPr>
            <w:tcW w:w="492" w:type="pct"/>
            <w:tcBorders>
              <w:top w:val="single" w:sz="6" w:space="0" w:color="auto"/>
              <w:left w:val="single" w:sz="6" w:space="0" w:color="auto"/>
              <w:bottom w:val="single" w:sz="6" w:space="0" w:color="auto"/>
              <w:right w:val="single" w:sz="6" w:space="0" w:color="auto"/>
            </w:tcBorders>
          </w:tcPr>
          <w:p w14:paraId="45F37AEE"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3.2.3.1/</w:t>
            </w:r>
            <w:r w:rsidR="008E6A2B">
              <w:rPr>
                <w:b/>
                <w:bCs/>
                <w:sz w:val="18"/>
                <w:szCs w:val="18"/>
              </w:rPr>
              <w:br/>
            </w:r>
            <w:r w:rsidRPr="00316BE0">
              <w:rPr>
                <w:b/>
                <w:bCs/>
                <w:sz w:val="18"/>
                <w:szCs w:val="18"/>
              </w:rPr>
              <w:t>1.2.1</w:t>
            </w:r>
          </w:p>
        </w:tc>
        <w:tc>
          <w:tcPr>
            <w:tcW w:w="492" w:type="pct"/>
            <w:tcBorders>
              <w:top w:val="single" w:sz="6" w:space="0" w:color="auto"/>
              <w:left w:val="single" w:sz="6" w:space="0" w:color="auto"/>
              <w:bottom w:val="single" w:sz="6" w:space="0" w:color="auto"/>
              <w:right w:val="single" w:sz="6" w:space="0" w:color="auto"/>
            </w:tcBorders>
          </w:tcPr>
          <w:p w14:paraId="28BFCF55"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3.2.3.1/</w:t>
            </w:r>
            <w:r w:rsidR="008E6A2B">
              <w:rPr>
                <w:b/>
                <w:bCs/>
                <w:sz w:val="18"/>
                <w:szCs w:val="18"/>
              </w:rPr>
              <w:br/>
            </w:r>
            <w:r w:rsidRPr="00316BE0">
              <w:rPr>
                <w:b/>
                <w:bCs/>
                <w:sz w:val="18"/>
                <w:szCs w:val="18"/>
              </w:rPr>
              <w:t>1.2.1</w:t>
            </w:r>
          </w:p>
        </w:tc>
        <w:tc>
          <w:tcPr>
            <w:tcW w:w="492" w:type="pct"/>
            <w:tcBorders>
              <w:top w:val="single" w:sz="6" w:space="0" w:color="auto"/>
              <w:left w:val="single" w:sz="6" w:space="0" w:color="auto"/>
              <w:bottom w:val="single" w:sz="6" w:space="0" w:color="auto"/>
              <w:right w:val="single" w:sz="6" w:space="0" w:color="auto"/>
            </w:tcBorders>
          </w:tcPr>
          <w:p w14:paraId="6181C5AC"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1.2.1</w:t>
            </w:r>
          </w:p>
        </w:tc>
        <w:tc>
          <w:tcPr>
            <w:tcW w:w="492" w:type="pct"/>
            <w:tcBorders>
              <w:top w:val="single" w:sz="6" w:space="0" w:color="auto"/>
              <w:left w:val="single" w:sz="6" w:space="0" w:color="auto"/>
              <w:bottom w:val="single" w:sz="6" w:space="0" w:color="auto"/>
              <w:right w:val="single" w:sz="6" w:space="0" w:color="auto"/>
            </w:tcBorders>
          </w:tcPr>
          <w:p w14:paraId="4A893080"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1.2.1/</w:t>
            </w:r>
            <w:r w:rsidR="008E6A2B">
              <w:rPr>
                <w:b/>
                <w:bCs/>
                <w:sz w:val="18"/>
                <w:szCs w:val="18"/>
              </w:rPr>
              <w:br/>
            </w:r>
            <w:r w:rsidRPr="00316BE0">
              <w:rPr>
                <w:b/>
                <w:bCs/>
                <w:sz w:val="18"/>
                <w:szCs w:val="18"/>
              </w:rPr>
              <w:t xml:space="preserve">3.2.3.3 </w:t>
            </w:r>
          </w:p>
        </w:tc>
        <w:tc>
          <w:tcPr>
            <w:tcW w:w="492" w:type="pct"/>
            <w:tcBorders>
              <w:top w:val="single" w:sz="6" w:space="0" w:color="auto"/>
              <w:left w:val="single" w:sz="6" w:space="0" w:color="auto"/>
              <w:bottom w:val="single" w:sz="6" w:space="0" w:color="auto"/>
              <w:right w:val="single" w:sz="6" w:space="0" w:color="auto"/>
            </w:tcBorders>
          </w:tcPr>
          <w:p w14:paraId="0C167040"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1.2.1/</w:t>
            </w:r>
            <w:r w:rsidR="008E6A2B">
              <w:rPr>
                <w:b/>
                <w:bCs/>
                <w:sz w:val="18"/>
                <w:szCs w:val="18"/>
              </w:rPr>
              <w:br/>
            </w:r>
            <w:r w:rsidRPr="00316BE0">
              <w:rPr>
                <w:b/>
                <w:bCs/>
                <w:sz w:val="18"/>
                <w:szCs w:val="18"/>
              </w:rPr>
              <w:t>3.2.3.3</w:t>
            </w:r>
          </w:p>
        </w:tc>
        <w:tc>
          <w:tcPr>
            <w:tcW w:w="492" w:type="pct"/>
            <w:tcBorders>
              <w:top w:val="single" w:sz="6" w:space="0" w:color="auto"/>
              <w:left w:val="single" w:sz="6" w:space="0" w:color="auto"/>
              <w:bottom w:val="single" w:sz="6" w:space="0" w:color="auto"/>
              <w:right w:val="single" w:sz="6" w:space="0" w:color="auto"/>
            </w:tcBorders>
          </w:tcPr>
          <w:p w14:paraId="53DD013E"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8.1.5</w:t>
            </w:r>
          </w:p>
        </w:tc>
        <w:tc>
          <w:tcPr>
            <w:tcW w:w="492" w:type="pct"/>
            <w:tcBorders>
              <w:top w:val="single" w:sz="6" w:space="0" w:color="auto"/>
              <w:left w:val="single" w:sz="6" w:space="0" w:color="auto"/>
              <w:bottom w:val="single" w:sz="6" w:space="0" w:color="auto"/>
              <w:right w:val="single" w:sz="6" w:space="0" w:color="auto"/>
            </w:tcBorders>
          </w:tcPr>
          <w:p w14:paraId="608597FD"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7.2.5</w:t>
            </w:r>
          </w:p>
        </w:tc>
        <w:tc>
          <w:tcPr>
            <w:tcW w:w="569" w:type="pct"/>
            <w:tcBorders>
              <w:top w:val="single" w:sz="6" w:space="0" w:color="auto"/>
              <w:left w:val="single" w:sz="6" w:space="0" w:color="auto"/>
              <w:bottom w:val="single" w:sz="6" w:space="0" w:color="auto"/>
              <w:right w:val="single" w:sz="6" w:space="0" w:color="auto"/>
            </w:tcBorders>
          </w:tcPr>
          <w:p w14:paraId="0024B768" w14:textId="77777777" w:rsidR="007A0320" w:rsidRPr="00316BE0" w:rsidRDefault="007A0320" w:rsidP="007A0320">
            <w:pPr>
              <w:suppressAutoHyphens w:val="0"/>
              <w:autoSpaceDE w:val="0"/>
              <w:autoSpaceDN w:val="0"/>
              <w:adjustRightInd w:val="0"/>
              <w:spacing w:before="10" w:after="10" w:line="240" w:lineRule="auto"/>
              <w:jc w:val="center"/>
              <w:rPr>
                <w:b/>
                <w:bCs/>
                <w:color w:val="000000"/>
                <w:sz w:val="18"/>
                <w:szCs w:val="18"/>
              </w:rPr>
            </w:pPr>
            <w:r w:rsidRPr="00316BE0">
              <w:rPr>
                <w:b/>
                <w:bCs/>
                <w:sz w:val="18"/>
                <w:szCs w:val="18"/>
              </w:rPr>
              <w:t>3.2.3.1</w:t>
            </w:r>
          </w:p>
        </w:tc>
      </w:tr>
    </w:tbl>
    <w:p w14:paraId="658707A7" w14:textId="77777777" w:rsidR="007A0320" w:rsidRPr="004B0823" w:rsidRDefault="007A0320" w:rsidP="00A058DA">
      <w:pPr>
        <w:pStyle w:val="SingleTxtG"/>
        <w:spacing w:before="120"/>
      </w:pPr>
      <w:r>
        <w:t>Поправки</w:t>
      </w:r>
      <w:r w:rsidRPr="004B0823">
        <w:t xml:space="preserve"> </w:t>
      </w:r>
      <w:r>
        <w:t>к</w:t>
      </w:r>
      <w:r w:rsidRPr="004B0823">
        <w:t xml:space="preserve"> </w:t>
      </w:r>
      <w:r w:rsidRPr="007A5120">
        <w:t>описани</w:t>
      </w:r>
      <w:r>
        <w:t>ям</w:t>
      </w:r>
      <w:r w:rsidRPr="004B0823">
        <w:t xml:space="preserve"> </w:t>
      </w:r>
      <w:r w:rsidRPr="007A5120">
        <w:t>колонки</w:t>
      </w:r>
      <w:r w:rsidRPr="004B0823">
        <w:t xml:space="preserve"> 3</w:t>
      </w:r>
      <w:r w:rsidRPr="00807BB3">
        <w:t>b</w:t>
      </w:r>
      <w:r>
        <w:t xml:space="preserve"> и колонки 7 не касаются текста на русском языке.</w:t>
      </w:r>
    </w:p>
    <w:p w14:paraId="083D7673" w14:textId="77777777" w:rsidR="007A0320" w:rsidRPr="007A5120" w:rsidRDefault="007A0320" w:rsidP="005600BF">
      <w:pPr>
        <w:pStyle w:val="SingleTxtG"/>
      </w:pPr>
      <w:r w:rsidRPr="007A5120">
        <w:rPr>
          <w:i/>
          <w:iCs/>
        </w:rPr>
        <w:t xml:space="preserve">(Справочные документы: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 xml:space="preserve">.2/2019/3 с поправками, содержащимися в неофициальном документе </w:t>
      </w:r>
      <w:r w:rsidRPr="00807BB3">
        <w:rPr>
          <w:i/>
          <w:iCs/>
        </w:rPr>
        <w:t>INF</w:t>
      </w:r>
      <w:r w:rsidRPr="007A5120">
        <w:rPr>
          <w:i/>
          <w:iCs/>
        </w:rPr>
        <w:t>.20)</w:t>
      </w:r>
    </w:p>
    <w:p w14:paraId="38F5D905" w14:textId="77777777" w:rsidR="007A0320" w:rsidRPr="0091796B" w:rsidRDefault="007A0320" w:rsidP="005600BF">
      <w:pPr>
        <w:pStyle w:val="H23G"/>
        <w:spacing w:before="280" w:after="200" w:line="270" w:lineRule="exact"/>
        <w:rPr>
          <w:sz w:val="24"/>
          <w:szCs w:val="24"/>
        </w:rPr>
      </w:pPr>
      <w:r>
        <w:tab/>
      </w:r>
      <w:r>
        <w:tab/>
      </w:r>
      <w:r w:rsidRPr="0091796B">
        <w:rPr>
          <w:sz w:val="24"/>
          <w:szCs w:val="24"/>
        </w:rPr>
        <w:t>Глава 7.2</w:t>
      </w:r>
    </w:p>
    <w:p w14:paraId="4A9353FB" w14:textId="77777777" w:rsidR="008E6A2B" w:rsidRPr="008A7526" w:rsidRDefault="007A0320" w:rsidP="008E6A2B">
      <w:pPr>
        <w:pStyle w:val="SingleTxtG"/>
        <w:tabs>
          <w:tab w:val="left" w:pos="2254"/>
        </w:tabs>
      </w:pPr>
      <w:r w:rsidRPr="008A7526">
        <w:rPr>
          <w:color w:val="333333"/>
          <w:shd w:val="clear" w:color="auto" w:fill="FFFFFF"/>
        </w:rPr>
        <w:t>7.2.3.7</w:t>
      </w:r>
      <w:r w:rsidR="008E6A2B">
        <w:rPr>
          <w:color w:val="333333"/>
          <w:shd w:val="clear" w:color="auto" w:fill="FFFFFF"/>
        </w:rPr>
        <w:tab/>
      </w:r>
      <w:r w:rsidR="008E6A2B" w:rsidRPr="008A7526">
        <w:rPr>
          <w:color w:val="333333"/>
          <w:shd w:val="clear" w:color="auto" w:fill="FFFFFF"/>
        </w:rPr>
        <w:t xml:space="preserve">Исключить пункты </w:t>
      </w:r>
      <w:r w:rsidR="008E6A2B">
        <w:rPr>
          <w:color w:val="333333"/>
          <w:shd w:val="clear" w:color="auto" w:fill="FFFFFF"/>
        </w:rPr>
        <w:t>7.2.3.7.3–7.2.3.7.6 и вставить «</w:t>
      </w:r>
      <w:r w:rsidR="008E6A2B" w:rsidRPr="008A7526">
        <w:rPr>
          <w:color w:val="333333"/>
          <w:shd w:val="clear" w:color="auto" w:fill="FFFFFF"/>
        </w:rPr>
        <w:t>7.2.3.7.3–7.2.3.7.6 (</w:t>
      </w:r>
      <w:r w:rsidR="008E6A2B" w:rsidRPr="008E6A2B">
        <w:t>Исключены</w:t>
      </w:r>
      <w:r w:rsidR="008E6A2B" w:rsidRPr="008A7526">
        <w:rPr>
          <w:color w:val="333333"/>
          <w:shd w:val="clear" w:color="auto" w:fill="FFFFFF"/>
        </w:rPr>
        <w:t>)</w:t>
      </w:r>
      <w:r w:rsidR="008E6A2B">
        <w:rPr>
          <w:color w:val="333333"/>
          <w:shd w:val="clear" w:color="auto" w:fill="FFFFFF"/>
        </w:rPr>
        <w:t>».</w:t>
      </w:r>
    </w:p>
    <w:p w14:paraId="1109A2BF" w14:textId="77777777" w:rsidR="007A0320" w:rsidRPr="007A5120" w:rsidRDefault="007A0320" w:rsidP="007A0320">
      <w:pPr>
        <w:pStyle w:val="SingleTxtG"/>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w:t>
      </w:r>
      <w:r>
        <w:rPr>
          <w:i/>
          <w:iCs/>
        </w:rPr>
        <w:t>17</w:t>
      </w:r>
      <w:r w:rsidRPr="007A5120">
        <w:rPr>
          <w:i/>
          <w:iCs/>
        </w:rPr>
        <w:t>)</w:t>
      </w:r>
    </w:p>
    <w:p w14:paraId="39B535B4" w14:textId="77777777" w:rsidR="007A0320" w:rsidRPr="007A5120" w:rsidRDefault="007A0320" w:rsidP="007A0320">
      <w:pPr>
        <w:pStyle w:val="SingleTxtG"/>
      </w:pPr>
      <w:r w:rsidRPr="007A5120">
        <w:t>7.2.4.16.4</w:t>
      </w:r>
      <w:r w:rsidRPr="007A5120">
        <w:tab/>
        <w:t>Исключить и вставить «7.2.4.16.4</w:t>
      </w:r>
      <w:r>
        <w:tab/>
      </w:r>
      <w:r w:rsidRPr="007A5120">
        <w:t>(Исключен)».</w:t>
      </w:r>
    </w:p>
    <w:p w14:paraId="77DA1CB2" w14:textId="77777777" w:rsidR="007A0320" w:rsidRPr="007A5120" w:rsidRDefault="007A0320" w:rsidP="007A0320">
      <w:pPr>
        <w:pStyle w:val="SingleTxtG"/>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058BBE7F" w14:textId="77777777" w:rsidR="007A0320" w:rsidRPr="007A5120" w:rsidRDefault="007A0320" w:rsidP="007A0320">
      <w:pPr>
        <w:pStyle w:val="SingleTxtG"/>
      </w:pPr>
      <w:r w:rsidRPr="007A5120">
        <w:t>7.2.4.17.3</w:t>
      </w:r>
      <w:r w:rsidRPr="007A5120">
        <w:tab/>
        <w:t xml:space="preserve">Включить новое последнее предложение следующего содержания: «Однако положения пунктов 7.2.4.17.1 и 7.2.4.17.2 применяются </w:t>
      </w:r>
      <w:r>
        <w:t>при</w:t>
      </w:r>
      <w:r w:rsidRPr="007A5120">
        <w:t xml:space="preserve"> прием</w:t>
      </w:r>
      <w:r>
        <w:t>е</w:t>
      </w:r>
      <w:r w:rsidRPr="007A5120">
        <w:t xml:space="preserve"> на борт сжиженного природного газа (СПГ), необходимого для эксплуатации судов».</w:t>
      </w:r>
    </w:p>
    <w:p w14:paraId="5D17BBEB"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.2/2019/15, пункт 5, с поправками)</w:t>
      </w:r>
    </w:p>
    <w:p w14:paraId="7290FF88" w14:textId="77777777" w:rsidR="007A0320" w:rsidRPr="0091796B" w:rsidRDefault="007A0320" w:rsidP="005600BF">
      <w:pPr>
        <w:pStyle w:val="H23G"/>
        <w:spacing w:before="280"/>
        <w:rPr>
          <w:sz w:val="24"/>
          <w:szCs w:val="24"/>
        </w:rPr>
      </w:pPr>
      <w:r w:rsidRPr="007A5120">
        <w:tab/>
      </w:r>
      <w:r w:rsidRPr="007A5120">
        <w:tab/>
      </w:r>
      <w:r w:rsidRPr="0091796B">
        <w:rPr>
          <w:sz w:val="24"/>
          <w:szCs w:val="24"/>
        </w:rPr>
        <w:t>Глава 8.1</w:t>
      </w:r>
    </w:p>
    <w:p w14:paraId="3FA80A74" w14:textId="77777777" w:rsidR="007A0320" w:rsidRPr="007A5120" w:rsidRDefault="007A0320" w:rsidP="005600BF">
      <w:pPr>
        <w:pStyle w:val="SingleTxtG"/>
        <w:tabs>
          <w:tab w:val="left" w:pos="2254"/>
        </w:tabs>
        <w:spacing w:after="100"/>
      </w:pPr>
      <w:r w:rsidRPr="007A5120">
        <w:t>8.1.7.2</w:t>
      </w:r>
      <w:r w:rsidRPr="007A5120">
        <w:tab/>
        <w:t>Изменить конец второго абзаца следующим образом:</w:t>
      </w:r>
    </w:p>
    <w:p w14:paraId="2CA5DC55" w14:textId="77777777" w:rsidR="007A0320" w:rsidRPr="007A5120" w:rsidRDefault="007A0320" w:rsidP="005600BF">
      <w:pPr>
        <w:pStyle w:val="SingleTxtG"/>
        <w:spacing w:after="100"/>
      </w:pPr>
      <w:r w:rsidRPr="007A5120">
        <w:t xml:space="preserve">«…в течение третьего года начиная с даты выдачи свидетельства о допущении классификационным обществом, которое классифицировало данное судно, или лицом, </w:t>
      </w:r>
      <w:r w:rsidRPr="007A5120">
        <w:lastRenderedPageBreak/>
        <w:t>уполномоченным для этой цели компетентным органом. На борту судна должно находиться свидетельство о такой проверке.».</w:t>
      </w:r>
    </w:p>
    <w:p w14:paraId="72027AB3"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.2/2019/9 с поправками)</w:t>
      </w:r>
    </w:p>
    <w:p w14:paraId="642A0C5A" w14:textId="77777777" w:rsidR="007A0320" w:rsidRPr="00644B01" w:rsidRDefault="007A0320" w:rsidP="007A0320">
      <w:pPr>
        <w:pStyle w:val="H23G"/>
        <w:rPr>
          <w:sz w:val="24"/>
          <w:szCs w:val="24"/>
        </w:rPr>
      </w:pPr>
      <w:r w:rsidRPr="007A5120">
        <w:tab/>
      </w:r>
      <w:r w:rsidRPr="007A5120">
        <w:tab/>
      </w:r>
      <w:r w:rsidRPr="00644B01">
        <w:rPr>
          <w:sz w:val="24"/>
          <w:szCs w:val="24"/>
        </w:rPr>
        <w:t>Глава 9.3</w:t>
      </w:r>
    </w:p>
    <w:p w14:paraId="3C28C51E" w14:textId="77777777" w:rsidR="007A0320" w:rsidRPr="007A5120" w:rsidRDefault="007A0320" w:rsidP="007A0320">
      <w:pPr>
        <w:pStyle w:val="SingleTxtG"/>
      </w:pPr>
      <w:r w:rsidRPr="007A5120">
        <w:t>9.3.1.8.4, 9.3.2.8.4, 9.3.3.8.4</w:t>
      </w:r>
      <w:r w:rsidRPr="007A5120">
        <w:tab/>
        <w:t>Исключить и вставить «(Исключен)».</w:t>
      </w:r>
    </w:p>
    <w:p w14:paraId="031EE35F"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.2/2019/9)</w:t>
      </w:r>
    </w:p>
    <w:p w14:paraId="53057453" w14:textId="77777777" w:rsidR="007A0320" w:rsidRPr="007A5120" w:rsidRDefault="007A0320" w:rsidP="007A0320">
      <w:pPr>
        <w:pStyle w:val="SingleTxtG"/>
      </w:pPr>
      <w:r w:rsidRPr="007A5120">
        <w:t>9.3.2.42.4</w:t>
      </w:r>
      <w:r w:rsidRPr="007A5120">
        <w:tab/>
        <w:t>Заменить «9.3.2.52.3» на «9.3.2.52.1».</w:t>
      </w:r>
    </w:p>
    <w:p w14:paraId="134C7291" w14:textId="77777777" w:rsidR="007A0320" w:rsidRPr="007A5120" w:rsidRDefault="007A0320" w:rsidP="007A0320">
      <w:pPr>
        <w:pStyle w:val="SingleTxtG"/>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76D3EA0E" w14:textId="77777777" w:rsidR="007A0320" w:rsidRPr="007A5120" w:rsidRDefault="007A0320" w:rsidP="007A0320">
      <w:pPr>
        <w:pStyle w:val="SingleTxtG"/>
      </w:pPr>
      <w:r w:rsidRPr="007A5120">
        <w:t xml:space="preserve">9.3.3.42.4 </w:t>
      </w:r>
      <w:r w:rsidRPr="007A5120">
        <w:tab/>
        <w:t>Заменить «9.3.3.52.3» на «9.3.3.52.1».</w:t>
      </w:r>
    </w:p>
    <w:p w14:paraId="3AC722EE" w14:textId="77777777" w:rsidR="007A0320" w:rsidRPr="007A5120" w:rsidRDefault="007A0320" w:rsidP="007A0320">
      <w:pPr>
        <w:pStyle w:val="SingleTxtG"/>
        <w:rPr>
          <w:b/>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0493EA71" w14:textId="77777777" w:rsidR="007A0320" w:rsidRPr="00863C9E" w:rsidRDefault="007A0320" w:rsidP="00A058DA">
      <w:pPr>
        <w:pStyle w:val="HChG"/>
        <w:pageBreakBefore/>
      </w:pPr>
      <w:r w:rsidRPr="00863C9E">
        <w:lastRenderedPageBreak/>
        <w:t>Приложение II</w:t>
      </w:r>
    </w:p>
    <w:p w14:paraId="3995ACB2" w14:textId="77777777" w:rsidR="007A0320" w:rsidRPr="00363108" w:rsidRDefault="007A0320" w:rsidP="007A0320">
      <w:pPr>
        <w:pStyle w:val="Heading2"/>
        <w:jc w:val="right"/>
        <w:rPr>
          <w:b/>
          <w:sz w:val="28"/>
        </w:rPr>
      </w:pPr>
      <w:r>
        <w:t>[Подлинный текст на английском и французском языках]</w:t>
      </w:r>
    </w:p>
    <w:p w14:paraId="3E0EF29E" w14:textId="77777777" w:rsidR="007A0320" w:rsidRPr="000A2AFD" w:rsidRDefault="007A0320" w:rsidP="007A0320">
      <w:pPr>
        <w:pStyle w:val="HChG"/>
        <w:rPr>
          <w:b w:val="0"/>
          <w:i/>
          <w:iCs/>
          <w:sz w:val="22"/>
          <w:szCs w:val="22"/>
        </w:rPr>
      </w:pPr>
      <w:r w:rsidRPr="00210C15">
        <w:rPr>
          <w:bCs/>
        </w:rPr>
        <w:tab/>
      </w:r>
      <w:r w:rsidRPr="00210C15">
        <w:rPr>
          <w:bCs/>
        </w:rPr>
        <w:tab/>
      </w:r>
      <w:r w:rsidRPr="007A5120">
        <w:rPr>
          <w:bCs/>
        </w:rPr>
        <w:t xml:space="preserve">Исправления к документу </w:t>
      </w:r>
      <w:r w:rsidRPr="00807BB3">
        <w:rPr>
          <w:bCs/>
        </w:rPr>
        <w:t>ECE</w:t>
      </w:r>
      <w:r w:rsidRPr="007A5120">
        <w:rPr>
          <w:bCs/>
        </w:rPr>
        <w:t>/</w:t>
      </w:r>
      <w:r w:rsidRPr="00807BB3">
        <w:rPr>
          <w:bCs/>
        </w:rPr>
        <w:t>TRANS</w:t>
      </w:r>
      <w:r w:rsidRPr="007A5120">
        <w:rPr>
          <w:bCs/>
        </w:rPr>
        <w:t>/276</w:t>
      </w:r>
      <w:r w:rsidRPr="007A5120">
        <w:rPr>
          <w:bCs/>
        </w:rPr>
        <w:br/>
        <w:t>(издание ВОПОГ 2019 года)</w:t>
      </w:r>
      <w:r w:rsidRPr="007A5120">
        <w:br/>
      </w:r>
      <w:r w:rsidRPr="000A2AFD">
        <w:rPr>
          <w:b w:val="0"/>
          <w:sz w:val="22"/>
          <w:szCs w:val="22"/>
        </w:rPr>
        <w:t>(Исправления, не требующие принятия Договаривающимися сторонами)</w:t>
      </w:r>
    </w:p>
    <w:p w14:paraId="5E7E7BF3" w14:textId="77777777" w:rsidR="007A0320" w:rsidRPr="007A5120" w:rsidRDefault="007A0320" w:rsidP="007A0320">
      <w:pPr>
        <w:pStyle w:val="H23G"/>
      </w:pPr>
      <w:r w:rsidRPr="007A5120">
        <w:tab/>
        <w:t>1.</w:t>
      </w:r>
      <w:r w:rsidRPr="007A5120">
        <w:tab/>
        <w:t xml:space="preserve">Глава 1.2, определение «Взрывозащита», раздел «и технические требования, такие, например, как», подпункт </w:t>
      </w:r>
      <w:r w:rsidRPr="00807BB3">
        <w:t>b</w:t>
      </w:r>
      <w:r w:rsidRPr="007A5120">
        <w:t>)</w:t>
      </w:r>
    </w:p>
    <w:p w14:paraId="35661057" w14:textId="77777777" w:rsidR="007A0320" w:rsidRPr="00AF0C2A" w:rsidRDefault="007A0320" w:rsidP="007A0320">
      <w:pPr>
        <w:pStyle w:val="SingleTxtG"/>
        <w:rPr>
          <w:i/>
          <w:iCs/>
        </w:rPr>
      </w:pPr>
      <w:r w:rsidRPr="007A5120">
        <w:rPr>
          <w:i/>
          <w:iCs/>
        </w:rPr>
        <w:t>Вместо</w:t>
      </w:r>
      <w:r w:rsidRPr="007A0320">
        <w:rPr>
          <w:lang w:val="en-US"/>
        </w:rPr>
        <w:t xml:space="preserve"> «</w:t>
      </w:r>
      <w:r w:rsidRPr="00807BB3">
        <w:rPr>
          <w:lang w:val="en-US"/>
        </w:rPr>
        <w:t>self</w:t>
      </w:r>
      <w:r w:rsidRPr="007A0320">
        <w:rPr>
          <w:lang w:val="en-US"/>
        </w:rPr>
        <w:t>-</w:t>
      </w:r>
      <w:r w:rsidRPr="00807BB3">
        <w:rPr>
          <w:lang w:val="en-US"/>
        </w:rPr>
        <w:t>contained</w:t>
      </w:r>
      <w:r w:rsidRPr="007A0320">
        <w:rPr>
          <w:lang w:val="en-US"/>
        </w:rPr>
        <w:t xml:space="preserve"> </w:t>
      </w:r>
      <w:r w:rsidRPr="00807BB3">
        <w:rPr>
          <w:lang w:val="en-US"/>
        </w:rPr>
        <w:t>protection</w:t>
      </w:r>
      <w:r w:rsidRPr="007A0320">
        <w:rPr>
          <w:lang w:val="en-US"/>
        </w:rPr>
        <w:t xml:space="preserve"> </w:t>
      </w:r>
      <w:r w:rsidRPr="00807BB3">
        <w:rPr>
          <w:lang w:val="en-US"/>
        </w:rPr>
        <w:t>systems</w:t>
      </w:r>
      <w:r w:rsidRPr="007A0320">
        <w:rPr>
          <w:lang w:val="en-US"/>
        </w:rPr>
        <w:t xml:space="preserve">» </w:t>
      </w:r>
      <w:r w:rsidRPr="007A5120">
        <w:rPr>
          <w:i/>
          <w:iCs/>
        </w:rPr>
        <w:t>читать</w:t>
      </w:r>
      <w:r w:rsidRPr="007A0320">
        <w:rPr>
          <w:lang w:val="en-US"/>
        </w:rPr>
        <w:t xml:space="preserve"> «</w:t>
      </w:r>
      <w:r w:rsidRPr="00807BB3">
        <w:rPr>
          <w:lang w:val="en-US"/>
        </w:rPr>
        <w:t>autonomous</w:t>
      </w:r>
      <w:r w:rsidRPr="007A0320">
        <w:rPr>
          <w:lang w:val="en-US"/>
        </w:rPr>
        <w:t xml:space="preserve"> </w:t>
      </w:r>
      <w:r w:rsidRPr="00807BB3">
        <w:rPr>
          <w:lang w:val="en-US"/>
        </w:rPr>
        <w:t>protection</w:t>
      </w:r>
      <w:r w:rsidRPr="007A0320">
        <w:rPr>
          <w:lang w:val="en-US"/>
        </w:rPr>
        <w:t xml:space="preserve"> </w:t>
      </w:r>
      <w:r w:rsidRPr="00807BB3">
        <w:rPr>
          <w:lang w:val="en-US"/>
        </w:rPr>
        <w:t>systems</w:t>
      </w:r>
      <w:r w:rsidRPr="007A0320">
        <w:rPr>
          <w:lang w:val="en-US"/>
        </w:rPr>
        <w:t>» (</w:t>
      </w:r>
      <w:r w:rsidRPr="007A5120">
        <w:t>автономные</w:t>
      </w:r>
      <w:r w:rsidRPr="007A0320">
        <w:rPr>
          <w:lang w:val="en-US"/>
        </w:rPr>
        <w:t xml:space="preserve"> </w:t>
      </w:r>
      <w:r w:rsidRPr="007A5120">
        <w:t>системы</w:t>
      </w:r>
      <w:r w:rsidRPr="007A0320">
        <w:rPr>
          <w:lang w:val="en-US"/>
        </w:rPr>
        <w:t xml:space="preserve"> </w:t>
      </w:r>
      <w:r w:rsidRPr="007A5120">
        <w:t>защиты</w:t>
      </w:r>
      <w:r w:rsidRPr="007A0320">
        <w:rPr>
          <w:lang w:val="en-US"/>
        </w:rPr>
        <w:t>).</w:t>
      </w:r>
      <w:r w:rsidRPr="007A0320">
        <w:rPr>
          <w:iCs/>
          <w:lang w:val="en-U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278DA523"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0004E6CB" w14:textId="77777777" w:rsidR="007A0320" w:rsidRPr="007A5120" w:rsidRDefault="007A0320" w:rsidP="007A0320">
      <w:pPr>
        <w:pStyle w:val="H23G"/>
      </w:pPr>
      <w:r w:rsidRPr="007A5120">
        <w:tab/>
        <w:t>2.</w:t>
      </w:r>
      <w:r w:rsidRPr="007A5120">
        <w:tab/>
        <w:t>Глава 1.2, определение «Автономные системы защиты»</w:t>
      </w:r>
    </w:p>
    <w:p w14:paraId="57169A44" w14:textId="77777777" w:rsidR="007A0320" w:rsidRPr="00AF0C2A" w:rsidRDefault="007A0320" w:rsidP="007A0320">
      <w:pPr>
        <w:pStyle w:val="SingleTxtG"/>
        <w:rPr>
          <w:i/>
          <w:iCs/>
        </w:rPr>
      </w:pPr>
      <w:r w:rsidRPr="007A5120">
        <w:rPr>
          <w:i/>
          <w:iCs/>
        </w:rPr>
        <w:t>Вместо</w:t>
      </w:r>
      <w:r w:rsidRPr="007A0320">
        <w:rPr>
          <w:lang w:val="en-US"/>
        </w:rPr>
        <w:t xml:space="preserve"> «</w:t>
      </w:r>
      <w:r w:rsidRPr="00807BB3">
        <w:rPr>
          <w:lang w:val="en-US"/>
        </w:rPr>
        <w:t>self</w:t>
      </w:r>
      <w:r w:rsidRPr="007A0320">
        <w:rPr>
          <w:lang w:val="en-US"/>
        </w:rPr>
        <w:t>-</w:t>
      </w:r>
      <w:r w:rsidRPr="00807BB3">
        <w:rPr>
          <w:lang w:val="en-US"/>
        </w:rPr>
        <w:t>contained</w:t>
      </w:r>
      <w:r w:rsidRPr="007A0320">
        <w:rPr>
          <w:lang w:val="en-US"/>
        </w:rPr>
        <w:t xml:space="preserve"> </w:t>
      </w:r>
      <w:r w:rsidRPr="00807BB3">
        <w:rPr>
          <w:lang w:val="en-US"/>
        </w:rPr>
        <w:t>protection</w:t>
      </w:r>
      <w:r w:rsidRPr="007A0320">
        <w:rPr>
          <w:lang w:val="en-US"/>
        </w:rPr>
        <w:t xml:space="preserve"> </w:t>
      </w:r>
      <w:r w:rsidRPr="00807BB3">
        <w:rPr>
          <w:lang w:val="en-US"/>
        </w:rPr>
        <w:t>systems</w:t>
      </w:r>
      <w:r w:rsidRPr="007A0320">
        <w:rPr>
          <w:lang w:val="en-US"/>
        </w:rPr>
        <w:t xml:space="preserve">» </w:t>
      </w:r>
      <w:r w:rsidRPr="007A5120">
        <w:rPr>
          <w:i/>
          <w:iCs/>
        </w:rPr>
        <w:t>читать</w:t>
      </w:r>
      <w:r w:rsidRPr="007A0320">
        <w:rPr>
          <w:lang w:val="en-US"/>
        </w:rPr>
        <w:t xml:space="preserve"> «</w:t>
      </w:r>
      <w:r w:rsidRPr="00807BB3">
        <w:rPr>
          <w:lang w:val="en-US"/>
        </w:rPr>
        <w:t>autonomous</w:t>
      </w:r>
      <w:r w:rsidRPr="007A0320">
        <w:rPr>
          <w:lang w:val="en-US"/>
        </w:rPr>
        <w:t xml:space="preserve"> </w:t>
      </w:r>
      <w:r w:rsidRPr="00807BB3">
        <w:rPr>
          <w:lang w:val="en-US"/>
        </w:rPr>
        <w:t>protection</w:t>
      </w:r>
      <w:r w:rsidRPr="007A0320">
        <w:rPr>
          <w:lang w:val="en-US"/>
        </w:rPr>
        <w:t xml:space="preserve"> </w:t>
      </w:r>
      <w:r w:rsidRPr="00807BB3">
        <w:rPr>
          <w:lang w:val="en-US"/>
        </w:rPr>
        <w:t>systems</w:t>
      </w:r>
      <w:r w:rsidRPr="007A0320">
        <w:rPr>
          <w:lang w:val="en-US"/>
        </w:rPr>
        <w:t>» (</w:t>
      </w:r>
      <w:r w:rsidRPr="007A5120">
        <w:t>автономные</w:t>
      </w:r>
      <w:r w:rsidRPr="007A0320">
        <w:rPr>
          <w:lang w:val="en-US"/>
        </w:rPr>
        <w:t xml:space="preserve"> </w:t>
      </w:r>
      <w:r w:rsidRPr="007A5120">
        <w:t>системы</w:t>
      </w:r>
      <w:r w:rsidRPr="007A0320">
        <w:rPr>
          <w:lang w:val="en-US"/>
        </w:rPr>
        <w:t xml:space="preserve"> </w:t>
      </w:r>
      <w:r w:rsidRPr="007A5120">
        <w:t>защиты</w:t>
      </w:r>
      <w:r w:rsidRPr="007A0320">
        <w:rPr>
          <w:lang w:val="en-US"/>
        </w:rPr>
        <w:t>).</w:t>
      </w:r>
      <w:r w:rsidRPr="007A0320">
        <w:rPr>
          <w:iCs/>
          <w:lang w:val="en-U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1928F61A"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53760B27" w14:textId="77777777" w:rsidR="007A0320" w:rsidRPr="007A5120" w:rsidRDefault="007A0320" w:rsidP="007A0320">
      <w:pPr>
        <w:pStyle w:val="H23G"/>
      </w:pPr>
      <w:r w:rsidRPr="007A5120">
        <w:tab/>
        <w:t>3.</w:t>
      </w:r>
      <w:r w:rsidRPr="007A5120">
        <w:tab/>
        <w:t>Глава 1.6, 1.6.7.2.2.2, переходное положение для подраздела 8.1.7.2 (три раза)</w:t>
      </w:r>
    </w:p>
    <w:p w14:paraId="7296AA7C" w14:textId="77777777" w:rsidR="007A0320" w:rsidRPr="00AF0C2A" w:rsidRDefault="007A0320" w:rsidP="007A0320">
      <w:pPr>
        <w:pStyle w:val="SingleTxtG"/>
        <w:rPr>
          <w:i/>
          <w:iCs/>
        </w:rPr>
      </w:pPr>
      <w:r w:rsidRPr="008255D7">
        <w:rPr>
          <w:i/>
          <w:iCs/>
        </w:rPr>
        <w:t>Вместо</w:t>
      </w:r>
      <w:r w:rsidRPr="007A0320">
        <w:rPr>
          <w:lang w:val="en-US"/>
        </w:rPr>
        <w:t xml:space="preserve"> «</w:t>
      </w:r>
      <w:r w:rsidRPr="00807BB3">
        <w:rPr>
          <w:lang w:val="en-US"/>
        </w:rPr>
        <w:t>self</w:t>
      </w:r>
      <w:r w:rsidRPr="007A0320">
        <w:rPr>
          <w:lang w:val="en-US"/>
        </w:rPr>
        <w:t>-</w:t>
      </w:r>
      <w:r w:rsidRPr="00807BB3">
        <w:rPr>
          <w:lang w:val="en-US"/>
        </w:rPr>
        <w:t>contained</w:t>
      </w:r>
      <w:r w:rsidRPr="007A0320">
        <w:rPr>
          <w:lang w:val="en-US"/>
        </w:rPr>
        <w:t xml:space="preserve"> </w:t>
      </w:r>
      <w:r w:rsidRPr="00807BB3">
        <w:rPr>
          <w:lang w:val="en-US"/>
        </w:rPr>
        <w:t>protection</w:t>
      </w:r>
      <w:r w:rsidRPr="007A0320">
        <w:rPr>
          <w:lang w:val="en-US"/>
        </w:rPr>
        <w:t xml:space="preserve"> </w:t>
      </w:r>
      <w:r w:rsidRPr="00807BB3">
        <w:rPr>
          <w:lang w:val="en-US"/>
        </w:rPr>
        <w:t>systems</w:t>
      </w:r>
      <w:r w:rsidRPr="007A0320">
        <w:rPr>
          <w:lang w:val="en-US"/>
        </w:rPr>
        <w:t xml:space="preserve">» </w:t>
      </w:r>
      <w:r w:rsidRPr="007A5120">
        <w:rPr>
          <w:i/>
          <w:iCs/>
        </w:rPr>
        <w:t>читать</w:t>
      </w:r>
      <w:r w:rsidRPr="007A0320">
        <w:rPr>
          <w:lang w:val="en-US"/>
        </w:rPr>
        <w:t xml:space="preserve"> «</w:t>
      </w:r>
      <w:r w:rsidRPr="00807BB3">
        <w:rPr>
          <w:lang w:val="en-US"/>
        </w:rPr>
        <w:t>autonomous</w:t>
      </w:r>
      <w:r w:rsidRPr="007A0320">
        <w:rPr>
          <w:lang w:val="en-US"/>
        </w:rPr>
        <w:t xml:space="preserve"> </w:t>
      </w:r>
      <w:r w:rsidRPr="00807BB3">
        <w:rPr>
          <w:lang w:val="en-US"/>
        </w:rPr>
        <w:t>protection</w:t>
      </w:r>
      <w:r w:rsidRPr="007A0320">
        <w:rPr>
          <w:lang w:val="en-US"/>
        </w:rPr>
        <w:t xml:space="preserve"> </w:t>
      </w:r>
      <w:r w:rsidRPr="00807BB3">
        <w:rPr>
          <w:lang w:val="en-US"/>
        </w:rPr>
        <w:t>systems</w:t>
      </w:r>
      <w:r w:rsidRPr="007A0320">
        <w:rPr>
          <w:lang w:val="en-US"/>
        </w:rPr>
        <w:t>» (</w:t>
      </w:r>
      <w:r w:rsidRPr="007A5120">
        <w:t>автономные</w:t>
      </w:r>
      <w:r w:rsidRPr="007A0320">
        <w:rPr>
          <w:lang w:val="en-US"/>
        </w:rPr>
        <w:t xml:space="preserve"> </w:t>
      </w:r>
      <w:r w:rsidRPr="007A5120">
        <w:t>системы</w:t>
      </w:r>
      <w:r w:rsidRPr="007A0320">
        <w:rPr>
          <w:lang w:val="en-US"/>
        </w:rPr>
        <w:t xml:space="preserve"> </w:t>
      </w:r>
      <w:r w:rsidRPr="007A5120">
        <w:t>защиты</w:t>
      </w:r>
      <w:r w:rsidRPr="007A0320">
        <w:rPr>
          <w:lang w:val="en-US"/>
        </w:rPr>
        <w:t>).</w:t>
      </w:r>
      <w:r w:rsidRPr="007A0320">
        <w:rPr>
          <w:iCs/>
          <w:lang w:val="en-U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191756A7" w14:textId="77777777" w:rsidR="007A03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2F640508" w14:textId="77777777" w:rsidR="007A0320" w:rsidRPr="00210C15" w:rsidRDefault="007A0320" w:rsidP="007A0320">
      <w:pPr>
        <w:pStyle w:val="H23G"/>
        <w:rPr>
          <w:lang w:val="en-US"/>
        </w:rPr>
      </w:pPr>
      <w:r>
        <w:tab/>
      </w:r>
      <w:r w:rsidRPr="00210C15">
        <w:rPr>
          <w:lang w:val="en-US"/>
        </w:rPr>
        <w:t>4.</w:t>
      </w:r>
      <w:r w:rsidRPr="00210C15">
        <w:rPr>
          <w:lang w:val="en-US"/>
        </w:rPr>
        <w:tab/>
      </w:r>
      <w:r w:rsidRPr="008255D7">
        <w:t>Глава</w:t>
      </w:r>
      <w:r w:rsidRPr="00210C15">
        <w:rPr>
          <w:lang w:val="en-US"/>
        </w:rPr>
        <w:t xml:space="preserve"> 1.8, 1.8.3.3, </w:t>
      </w:r>
      <w:r w:rsidRPr="008255D7">
        <w:t>шестой</w:t>
      </w:r>
      <w:r w:rsidRPr="00210C15">
        <w:rPr>
          <w:lang w:val="en-US"/>
        </w:rPr>
        <w:t xml:space="preserve"> </w:t>
      </w:r>
      <w:r w:rsidRPr="008255D7">
        <w:t>подпункт</w:t>
      </w:r>
      <w:r w:rsidRPr="00210C15">
        <w:rPr>
          <w:lang w:val="en-US"/>
        </w:rPr>
        <w:t xml:space="preserve"> </w:t>
      </w:r>
      <w:r w:rsidRPr="008255D7">
        <w:t>второго</w:t>
      </w:r>
      <w:r w:rsidRPr="00210C15">
        <w:rPr>
          <w:lang w:val="en-US"/>
        </w:rPr>
        <w:t xml:space="preserve"> </w:t>
      </w:r>
      <w:r w:rsidRPr="008255D7">
        <w:t>абзаца</w:t>
      </w:r>
    </w:p>
    <w:p w14:paraId="2B21DEDF" w14:textId="77777777" w:rsidR="007A0320" w:rsidRPr="00210C15" w:rsidRDefault="007A0320" w:rsidP="007A0320">
      <w:pPr>
        <w:pStyle w:val="SingleTxtG"/>
      </w:pPr>
      <w:r>
        <w:rPr>
          <w:i/>
          <w:iCs/>
        </w:rPr>
        <w:t>Вместо</w:t>
      </w:r>
      <w:r w:rsidRPr="009D33A8">
        <w:rPr>
          <w:i/>
          <w:iCs/>
          <w:lang w:val="en-US"/>
        </w:rPr>
        <w:t xml:space="preserve"> </w:t>
      </w:r>
      <w:r w:rsidRPr="009D33A8">
        <w:rPr>
          <w:lang w:val="en-US"/>
        </w:rPr>
        <w:t>«</w:t>
      </w:r>
      <w:r w:rsidRPr="00D72847">
        <w:rPr>
          <w:lang w:val="en-US"/>
        </w:rPr>
        <w:t>recorded during the consigning, carriage</w:t>
      </w:r>
      <w:r w:rsidRPr="009D33A8">
        <w:rPr>
          <w:lang w:val="en-US"/>
        </w:rPr>
        <w:t>»</w:t>
      </w:r>
      <w:r w:rsidRPr="00D72847">
        <w:rPr>
          <w:lang w:val="en-US"/>
        </w:rPr>
        <w:t xml:space="preserve"> </w:t>
      </w:r>
      <w:r w:rsidRPr="00F70063">
        <w:rPr>
          <w:i/>
          <w:iCs/>
        </w:rPr>
        <w:t>читать</w:t>
      </w:r>
      <w:r w:rsidRPr="00D72847">
        <w:rPr>
          <w:lang w:val="en-US"/>
        </w:rPr>
        <w:t xml:space="preserve"> </w:t>
      </w:r>
      <w:r w:rsidRPr="009D33A8">
        <w:rPr>
          <w:lang w:val="en-US"/>
        </w:rPr>
        <w:t>«</w:t>
      </w:r>
      <w:r w:rsidRPr="00D72847">
        <w:rPr>
          <w:lang w:val="en-US"/>
        </w:rPr>
        <w:t>recorded during the carriage</w:t>
      </w:r>
      <w:r w:rsidRPr="009D33A8">
        <w:rPr>
          <w:lang w:val="en-US"/>
        </w:rPr>
        <w:t>»</w:t>
      </w:r>
      <w:r>
        <w:rPr>
          <w:lang w:val="en-US"/>
        </w:rPr>
        <w:t>.</w:t>
      </w:r>
      <w:r w:rsidRPr="00F70063">
        <w:rPr>
          <w:lang w:val="en-U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4D6FD81E" w14:textId="77777777" w:rsidR="007A03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w:t>
      </w:r>
      <w:r>
        <w:rPr>
          <w:i/>
          <w:iCs/>
        </w:rPr>
        <w:t>17</w:t>
      </w:r>
      <w:r w:rsidRPr="007A5120">
        <w:rPr>
          <w:i/>
          <w:iCs/>
        </w:rPr>
        <w:t>)</w:t>
      </w:r>
    </w:p>
    <w:p w14:paraId="56C2DF33" w14:textId="77777777" w:rsidR="007A0320" w:rsidRPr="00F70063" w:rsidRDefault="007A0320" w:rsidP="007A0320">
      <w:pPr>
        <w:pStyle w:val="H23G"/>
        <w:rPr>
          <w:lang w:val="en-US"/>
        </w:rPr>
      </w:pPr>
      <w:r w:rsidRPr="00210C15">
        <w:tab/>
      </w:r>
      <w:r w:rsidRPr="00F70063">
        <w:rPr>
          <w:lang w:val="en-US"/>
        </w:rPr>
        <w:t>5.</w:t>
      </w:r>
      <w:r w:rsidRPr="00F70063">
        <w:rPr>
          <w:lang w:val="en-US"/>
        </w:rPr>
        <w:tab/>
      </w:r>
      <w:r w:rsidRPr="008255D7">
        <w:t>Глава</w:t>
      </w:r>
      <w:r w:rsidRPr="00F70063">
        <w:rPr>
          <w:lang w:val="en-US"/>
        </w:rPr>
        <w:t xml:space="preserve"> 1.8, 1.8.3.3, </w:t>
      </w:r>
      <w:r w:rsidRPr="00F70063">
        <w:t>девятый</w:t>
      </w:r>
      <w:r w:rsidRPr="00F70063">
        <w:rPr>
          <w:lang w:val="en-US"/>
        </w:rPr>
        <w:t xml:space="preserve"> </w:t>
      </w:r>
      <w:r w:rsidRPr="00F70063">
        <w:t>подпункт</w:t>
      </w:r>
      <w:r w:rsidRPr="00F70063">
        <w:rPr>
          <w:lang w:val="en-US"/>
        </w:rPr>
        <w:t xml:space="preserve"> </w:t>
      </w:r>
      <w:r w:rsidRPr="00F70063">
        <w:t>второго</w:t>
      </w:r>
      <w:r w:rsidRPr="00F70063">
        <w:rPr>
          <w:lang w:val="en-US"/>
        </w:rPr>
        <w:t xml:space="preserve"> </w:t>
      </w:r>
      <w:r w:rsidRPr="00F70063">
        <w:t>абзаца</w:t>
      </w:r>
    </w:p>
    <w:p w14:paraId="0CF97B60" w14:textId="77777777" w:rsidR="007A0320" w:rsidRPr="00F70063" w:rsidRDefault="007A0320" w:rsidP="007A0320">
      <w:pPr>
        <w:pStyle w:val="SingleTxtG"/>
      </w:pPr>
      <w:r>
        <w:rPr>
          <w:i/>
          <w:iCs/>
        </w:rPr>
        <w:t>Вместо</w:t>
      </w:r>
      <w:r w:rsidRPr="009D33A8">
        <w:rPr>
          <w:i/>
          <w:iCs/>
          <w:lang w:val="en-US"/>
        </w:rPr>
        <w:t xml:space="preserve"> </w:t>
      </w:r>
      <w:r w:rsidRPr="009D33A8">
        <w:rPr>
          <w:lang w:val="en-US"/>
        </w:rPr>
        <w:t>«</w:t>
      </w:r>
      <w:r w:rsidRPr="00D72847">
        <w:rPr>
          <w:lang w:val="en-US"/>
        </w:rPr>
        <w:t>verification</w:t>
      </w:r>
      <w:r w:rsidRPr="009D33A8">
        <w:rPr>
          <w:lang w:val="en-US"/>
        </w:rPr>
        <w:t xml:space="preserve"> </w:t>
      </w:r>
      <w:r w:rsidRPr="00D72847">
        <w:rPr>
          <w:lang w:val="en-US"/>
        </w:rPr>
        <w:t>that</w:t>
      </w:r>
      <w:r w:rsidRPr="009D33A8">
        <w:rPr>
          <w:lang w:val="en-US"/>
        </w:rPr>
        <w:t xml:space="preserve"> </w:t>
      </w:r>
      <w:r w:rsidRPr="00D72847">
        <w:rPr>
          <w:lang w:val="en-US"/>
        </w:rPr>
        <w:t>employees</w:t>
      </w:r>
      <w:r w:rsidRPr="009D33A8">
        <w:rPr>
          <w:lang w:val="en-US"/>
        </w:rPr>
        <w:t xml:space="preserve"> </w:t>
      </w:r>
      <w:r w:rsidRPr="00D72847">
        <w:rPr>
          <w:lang w:val="en-US"/>
        </w:rPr>
        <w:t>involved</w:t>
      </w:r>
      <w:r w:rsidRPr="009D33A8">
        <w:rPr>
          <w:lang w:val="en-US"/>
        </w:rPr>
        <w:t xml:space="preserve"> </w:t>
      </w:r>
      <w:r w:rsidRPr="00D72847">
        <w:rPr>
          <w:lang w:val="en-US"/>
        </w:rPr>
        <w:t>in</w:t>
      </w:r>
      <w:r w:rsidRPr="009D33A8">
        <w:rPr>
          <w:lang w:val="en-US"/>
        </w:rPr>
        <w:t xml:space="preserve"> </w:t>
      </w:r>
      <w:r w:rsidRPr="00D72847">
        <w:rPr>
          <w:lang w:val="en-US"/>
        </w:rPr>
        <w:t>the</w:t>
      </w:r>
      <w:r w:rsidRPr="009D33A8">
        <w:rPr>
          <w:lang w:val="en-US"/>
        </w:rPr>
        <w:t xml:space="preserve"> </w:t>
      </w:r>
      <w:r w:rsidRPr="00D72847">
        <w:rPr>
          <w:lang w:val="en-US"/>
        </w:rPr>
        <w:t>carriage</w:t>
      </w:r>
      <w:r>
        <w:rPr>
          <w:lang w:val="en-US"/>
        </w:rPr>
        <w:t>»</w:t>
      </w:r>
      <w:r w:rsidRPr="00F70063">
        <w:rPr>
          <w:lang w:val="en-US"/>
        </w:rPr>
        <w:t xml:space="preserve"> </w:t>
      </w:r>
      <w:r>
        <w:rPr>
          <w:i/>
          <w:iCs/>
        </w:rPr>
        <w:t>читать</w:t>
      </w:r>
      <w:r w:rsidRPr="009D33A8">
        <w:rPr>
          <w:lang w:val="en-US"/>
        </w:rPr>
        <w:t xml:space="preserve"> «</w:t>
      </w:r>
      <w:r w:rsidRPr="00D72847">
        <w:rPr>
          <w:lang w:val="en-US"/>
        </w:rPr>
        <w:t>verification</w:t>
      </w:r>
      <w:r w:rsidRPr="009D33A8">
        <w:rPr>
          <w:lang w:val="en-US"/>
        </w:rPr>
        <w:t xml:space="preserve"> </w:t>
      </w:r>
      <w:r w:rsidRPr="00D72847">
        <w:rPr>
          <w:lang w:val="en-US"/>
        </w:rPr>
        <w:t>that</w:t>
      </w:r>
      <w:r w:rsidRPr="009D33A8">
        <w:rPr>
          <w:lang w:val="en-US"/>
        </w:rPr>
        <w:t xml:space="preserve"> </w:t>
      </w:r>
      <w:r w:rsidRPr="00D72847">
        <w:rPr>
          <w:lang w:val="en-US"/>
        </w:rPr>
        <w:t>employees</w:t>
      </w:r>
      <w:r w:rsidRPr="009D33A8">
        <w:rPr>
          <w:lang w:val="en-US"/>
        </w:rPr>
        <w:t xml:space="preserve"> </w:t>
      </w:r>
      <w:r w:rsidRPr="00D72847">
        <w:rPr>
          <w:lang w:val="en-US"/>
        </w:rPr>
        <w:t>involved</w:t>
      </w:r>
      <w:r w:rsidRPr="009D33A8">
        <w:rPr>
          <w:lang w:val="en-US"/>
        </w:rPr>
        <w:t xml:space="preserve"> </w:t>
      </w:r>
      <w:r w:rsidRPr="00D72847">
        <w:rPr>
          <w:lang w:val="en-US"/>
        </w:rPr>
        <w:t>in</w:t>
      </w:r>
      <w:r w:rsidRPr="009D33A8">
        <w:rPr>
          <w:lang w:val="en-US"/>
        </w:rPr>
        <w:t xml:space="preserve"> </w:t>
      </w:r>
      <w:r w:rsidRPr="00D72847">
        <w:rPr>
          <w:lang w:val="en-US"/>
        </w:rPr>
        <w:t>the</w:t>
      </w:r>
      <w:r w:rsidRPr="009D33A8">
        <w:rPr>
          <w:lang w:val="en-US"/>
        </w:rPr>
        <w:t xml:space="preserve"> </w:t>
      </w:r>
      <w:r w:rsidRPr="00D72847">
        <w:rPr>
          <w:lang w:val="en-US"/>
        </w:rPr>
        <w:t>consigning</w:t>
      </w:r>
      <w:r w:rsidRPr="009D33A8">
        <w:rPr>
          <w:lang w:val="en-US"/>
        </w:rPr>
        <w:t xml:space="preserve">, </w:t>
      </w:r>
      <w:r w:rsidRPr="00D72847">
        <w:rPr>
          <w:lang w:val="en-US"/>
        </w:rPr>
        <w:t>carriage</w:t>
      </w:r>
      <w:r w:rsidRPr="009D33A8">
        <w:rPr>
          <w:lang w:val="en-US"/>
        </w:rPr>
        <w:t>».</w:t>
      </w:r>
      <w:r w:rsidRPr="00F70063">
        <w:rPr>
          <w:lang w:val="en-U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59FECF2A" w14:textId="77777777" w:rsidR="007A03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w:t>
      </w:r>
      <w:r>
        <w:rPr>
          <w:i/>
          <w:iCs/>
        </w:rPr>
        <w:t>17</w:t>
      </w:r>
      <w:r w:rsidRPr="007A5120">
        <w:rPr>
          <w:i/>
          <w:iCs/>
        </w:rPr>
        <w:t>)</w:t>
      </w:r>
    </w:p>
    <w:p w14:paraId="1F5E6E6E" w14:textId="77777777" w:rsidR="007A0320" w:rsidRPr="007A5120" w:rsidRDefault="007A0320" w:rsidP="007A0320">
      <w:pPr>
        <w:pStyle w:val="H23G"/>
      </w:pPr>
      <w:r>
        <w:tab/>
        <w:t>6</w:t>
      </w:r>
      <w:r w:rsidRPr="007A5120">
        <w:t>.</w:t>
      </w:r>
      <w:r w:rsidRPr="007A5120">
        <w:tab/>
        <w:t xml:space="preserve">Глава 3.2, 3.2.3.1, Пояснения к таблице </w:t>
      </w:r>
      <w:r w:rsidRPr="00807BB3">
        <w:t>C</w:t>
      </w:r>
      <w:r w:rsidRPr="007A5120">
        <w:t>, колонка 16 и примечание (пять раз)</w:t>
      </w:r>
    </w:p>
    <w:p w14:paraId="04BF2238" w14:textId="77777777" w:rsidR="007A0320" w:rsidRPr="00F70063" w:rsidRDefault="007A0320" w:rsidP="007A0320">
      <w:pPr>
        <w:pStyle w:val="SingleTxtG"/>
      </w:pPr>
      <w:r w:rsidRPr="007A5120">
        <w:rPr>
          <w:i/>
          <w:iCs/>
        </w:rPr>
        <w:t>Вместо</w:t>
      </w:r>
      <w:r w:rsidRPr="007A0320">
        <w:rPr>
          <w:lang w:val="en-US"/>
        </w:rPr>
        <w:t xml:space="preserve"> «</w:t>
      </w:r>
      <w:r w:rsidRPr="00807BB3">
        <w:rPr>
          <w:lang w:val="en-US"/>
        </w:rPr>
        <w:t>self</w:t>
      </w:r>
      <w:r w:rsidRPr="007A0320">
        <w:rPr>
          <w:lang w:val="en-US"/>
        </w:rPr>
        <w:t>-</w:t>
      </w:r>
      <w:r w:rsidRPr="00807BB3">
        <w:rPr>
          <w:lang w:val="en-US"/>
        </w:rPr>
        <w:t>contained</w:t>
      </w:r>
      <w:r w:rsidRPr="007A0320">
        <w:rPr>
          <w:lang w:val="en-US"/>
        </w:rPr>
        <w:t xml:space="preserve"> </w:t>
      </w:r>
      <w:r w:rsidRPr="00807BB3">
        <w:rPr>
          <w:lang w:val="en-US"/>
        </w:rPr>
        <w:t>protection</w:t>
      </w:r>
      <w:r w:rsidRPr="007A0320">
        <w:rPr>
          <w:lang w:val="en-US"/>
        </w:rPr>
        <w:t xml:space="preserve"> </w:t>
      </w:r>
      <w:r w:rsidRPr="00807BB3">
        <w:rPr>
          <w:lang w:val="en-US"/>
        </w:rPr>
        <w:t>systems</w:t>
      </w:r>
      <w:r w:rsidRPr="007A0320">
        <w:rPr>
          <w:lang w:val="en-US"/>
        </w:rPr>
        <w:t xml:space="preserve">» </w:t>
      </w:r>
      <w:r w:rsidRPr="007A5120">
        <w:rPr>
          <w:i/>
          <w:iCs/>
        </w:rPr>
        <w:t>читать</w:t>
      </w:r>
      <w:r w:rsidRPr="007A0320">
        <w:rPr>
          <w:lang w:val="en-US"/>
        </w:rPr>
        <w:t xml:space="preserve"> «</w:t>
      </w:r>
      <w:r w:rsidRPr="00807BB3">
        <w:rPr>
          <w:lang w:val="en-US"/>
        </w:rPr>
        <w:t>autonomous</w:t>
      </w:r>
      <w:r w:rsidRPr="007A0320">
        <w:rPr>
          <w:lang w:val="en-US"/>
        </w:rPr>
        <w:t xml:space="preserve"> </w:t>
      </w:r>
      <w:r w:rsidRPr="00807BB3">
        <w:rPr>
          <w:lang w:val="en-US"/>
        </w:rPr>
        <w:t>protection</w:t>
      </w:r>
      <w:r w:rsidRPr="007A0320">
        <w:rPr>
          <w:lang w:val="en-US"/>
        </w:rPr>
        <w:t xml:space="preserve"> </w:t>
      </w:r>
      <w:r w:rsidRPr="00807BB3">
        <w:rPr>
          <w:lang w:val="en-US"/>
        </w:rPr>
        <w:t>systems</w:t>
      </w:r>
      <w:r w:rsidRPr="007A0320">
        <w:rPr>
          <w:lang w:val="en-US"/>
        </w:rPr>
        <w:t>» (</w:t>
      </w:r>
      <w:r w:rsidRPr="007A5120">
        <w:t>автономные</w:t>
      </w:r>
      <w:r w:rsidRPr="007A0320">
        <w:rPr>
          <w:lang w:val="en-US"/>
        </w:rPr>
        <w:t xml:space="preserve"> </w:t>
      </w:r>
      <w:r w:rsidRPr="007A5120">
        <w:t>системы</w:t>
      </w:r>
      <w:r w:rsidRPr="007A0320">
        <w:rPr>
          <w:lang w:val="en-US"/>
        </w:rPr>
        <w:t xml:space="preserve"> </w:t>
      </w:r>
      <w:r w:rsidRPr="007A5120">
        <w:t>защиты</w:t>
      </w:r>
      <w:r w:rsidRPr="007A0320">
        <w:rPr>
          <w:lang w:val="en-US"/>
        </w:rPr>
        <w:t>).</w:t>
      </w:r>
      <w:r w:rsidRPr="007A0320">
        <w:rPr>
          <w:iCs/>
          <w:lang w:val="en-U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339070EC"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4748D883" w14:textId="77777777" w:rsidR="007A0320" w:rsidRPr="007A5120" w:rsidRDefault="007A0320" w:rsidP="007A0320">
      <w:pPr>
        <w:pStyle w:val="H23G"/>
      </w:pPr>
      <w:r w:rsidRPr="007A5120">
        <w:tab/>
      </w:r>
      <w:r>
        <w:t>7</w:t>
      </w:r>
      <w:r w:rsidRPr="007A5120">
        <w:t>.</w:t>
      </w:r>
      <w:r w:rsidRPr="007A5120">
        <w:tab/>
      </w:r>
      <w:r w:rsidRPr="00936000">
        <w:t xml:space="preserve">Глава 3.2, 3.2.4.3 </w:t>
      </w:r>
      <w:r w:rsidRPr="00936000">
        <w:rPr>
          <w:lang w:val="en-US"/>
        </w:rPr>
        <w:t>B</w:t>
      </w:r>
      <w:r w:rsidRPr="00936000">
        <w:t>, начало пункта 4</w:t>
      </w:r>
    </w:p>
    <w:p w14:paraId="50A6FE11" w14:textId="77777777" w:rsidR="007A0320" w:rsidRPr="00AF0C2A" w:rsidRDefault="007A0320" w:rsidP="007A0320">
      <w:pPr>
        <w:pStyle w:val="SingleTxtG"/>
        <w:rPr>
          <w:bCs/>
          <w:i/>
          <w:iCs/>
        </w:rPr>
      </w:pPr>
      <w:r w:rsidRPr="00AF0C2A">
        <w:rPr>
          <w:bCs/>
          <w:i/>
          <w:iCs/>
        </w:rPr>
        <w:t>Добавить:</w:t>
      </w:r>
    </w:p>
    <w:p w14:paraId="316DC245" w14:textId="77777777" w:rsidR="007A0320" w:rsidRPr="009D33A8" w:rsidRDefault="007A0320" w:rsidP="007A0320">
      <w:pPr>
        <w:pStyle w:val="SingleTxtG"/>
        <w:rPr>
          <w:lang w:val="en-US"/>
        </w:rPr>
      </w:pPr>
      <w:r w:rsidRPr="009D33A8">
        <w:rPr>
          <w:lang w:val="en-US"/>
        </w:rPr>
        <w:t>«</w:t>
      </w:r>
      <w:r w:rsidRPr="0039283E">
        <w:rPr>
          <w:lang w:val="en-US"/>
        </w:rPr>
        <w:t xml:space="preserve">A cargo heating system on board shall be </w:t>
      </w:r>
      <w:proofErr w:type="gramStart"/>
      <w:r w:rsidRPr="0039283E">
        <w:rPr>
          <w:lang w:val="en-US"/>
        </w:rPr>
        <w:t>required:</w:t>
      </w:r>
      <w:r w:rsidRPr="009D33A8">
        <w:rPr>
          <w:lang w:val="en-US"/>
        </w:rPr>
        <w:t>»</w:t>
      </w:r>
      <w:proofErr w:type="gramEnd"/>
      <w:r w:rsidRPr="009D33A8">
        <w:rPr>
          <w:lang w:val="en-US"/>
        </w:rPr>
        <w:t>.</w:t>
      </w:r>
    </w:p>
    <w:p w14:paraId="5AC2A0B7" w14:textId="77777777" w:rsidR="007A0320" w:rsidRDefault="007A0320" w:rsidP="007A0320">
      <w:pPr>
        <w:pStyle w:val="SingleTxtG"/>
        <w:rPr>
          <w:iCs/>
        </w:rPr>
      </w:pPr>
      <w:r w:rsidRPr="00AF0C2A">
        <w:rPr>
          <w:iCs/>
        </w:rPr>
        <w:t>(</w:t>
      </w:r>
      <w:r w:rsidRPr="00AF0C2A">
        <w:rPr>
          <w:i/>
          <w:iCs/>
        </w:rPr>
        <w:t>Данное исправление не касается текста на русском языке</w:t>
      </w:r>
      <w:r w:rsidRPr="00AF0C2A">
        <w:rPr>
          <w:iCs/>
        </w:rPr>
        <w:t>.)</w:t>
      </w:r>
    </w:p>
    <w:p w14:paraId="779C698A" w14:textId="77777777" w:rsidR="003C7B10" w:rsidRPr="00A66477" w:rsidRDefault="003C7B10" w:rsidP="003C7B10">
      <w:pPr>
        <w:pStyle w:val="SingleTxtG"/>
      </w:pPr>
      <w:r w:rsidRPr="00A66477">
        <w:rPr>
          <w:i/>
          <w:iCs/>
        </w:rPr>
        <w:t>(</w:t>
      </w:r>
      <w:r>
        <w:rPr>
          <w:i/>
          <w:iCs/>
        </w:rPr>
        <w:t>Справочный документ:</w:t>
      </w:r>
      <w:r w:rsidRPr="00A66477">
        <w:rPr>
          <w:i/>
          <w:iCs/>
        </w:rPr>
        <w:t xml:space="preserve"> ECE/TRANS/WP.15/AC.2/2019/17)</w:t>
      </w:r>
    </w:p>
    <w:p w14:paraId="4689C3E6" w14:textId="77777777" w:rsidR="007A0320" w:rsidRPr="007A0320" w:rsidRDefault="007A0320" w:rsidP="007A0320">
      <w:pPr>
        <w:pStyle w:val="H23G"/>
        <w:rPr>
          <w:lang w:val="en-US"/>
        </w:rPr>
      </w:pPr>
      <w:r>
        <w:lastRenderedPageBreak/>
        <w:tab/>
      </w:r>
      <w:r w:rsidRPr="007A0320">
        <w:rPr>
          <w:lang w:val="en-US"/>
        </w:rPr>
        <w:t>8.</w:t>
      </w:r>
      <w:r w:rsidRPr="007A0320">
        <w:rPr>
          <w:lang w:val="en-US"/>
        </w:rPr>
        <w:tab/>
      </w:r>
      <w:r w:rsidRPr="007A5120">
        <w:t>Глава</w:t>
      </w:r>
      <w:r w:rsidRPr="007A0320">
        <w:rPr>
          <w:lang w:val="en-US"/>
        </w:rPr>
        <w:t xml:space="preserve"> 7.2, 7.2.3.29.1</w:t>
      </w:r>
    </w:p>
    <w:p w14:paraId="2E2D36A2" w14:textId="77777777" w:rsidR="007A0320" w:rsidRPr="007A0320" w:rsidRDefault="007A0320" w:rsidP="007A0320">
      <w:pPr>
        <w:pStyle w:val="SingleTxtG"/>
        <w:rPr>
          <w:lang w:val="en-US"/>
        </w:rPr>
      </w:pPr>
      <w:r w:rsidRPr="007A5120">
        <w:rPr>
          <w:i/>
          <w:iCs/>
        </w:rPr>
        <w:t>Вместо</w:t>
      </w:r>
      <w:r w:rsidRPr="007A0320">
        <w:rPr>
          <w:lang w:val="en-US"/>
        </w:rPr>
        <w:t xml:space="preserve"> «</w:t>
      </w:r>
      <w:r w:rsidRPr="00807BB3">
        <w:rPr>
          <w:lang w:val="en-US"/>
        </w:rPr>
        <w:t>accommodation</w:t>
      </w:r>
      <w:r w:rsidRPr="007A0320">
        <w:rPr>
          <w:lang w:val="en-US"/>
        </w:rPr>
        <w:t xml:space="preserve"> </w:t>
      </w:r>
      <w:r w:rsidRPr="00807BB3">
        <w:rPr>
          <w:lang w:val="en-US"/>
        </w:rPr>
        <w:t>area</w:t>
      </w:r>
      <w:r w:rsidRPr="007A0320">
        <w:rPr>
          <w:lang w:val="en-US"/>
        </w:rPr>
        <w:t xml:space="preserve">» </w:t>
      </w:r>
      <w:r w:rsidRPr="007A5120">
        <w:rPr>
          <w:i/>
          <w:iCs/>
        </w:rPr>
        <w:t>читат</w:t>
      </w:r>
      <w:r w:rsidRPr="007A5120">
        <w:t>ь</w:t>
      </w:r>
      <w:r w:rsidRPr="007A0320">
        <w:rPr>
          <w:lang w:val="en-US"/>
        </w:rPr>
        <w:t xml:space="preserve"> «</w:t>
      </w:r>
      <w:r w:rsidRPr="00807BB3">
        <w:rPr>
          <w:lang w:val="en-US"/>
        </w:rPr>
        <w:t>accommodation</w:t>
      </w:r>
      <w:r w:rsidRPr="007A0320">
        <w:rPr>
          <w:lang w:val="en-US"/>
        </w:rPr>
        <w:t xml:space="preserve"> </w:t>
      </w:r>
      <w:r w:rsidRPr="00807BB3">
        <w:rPr>
          <w:lang w:val="en-US"/>
        </w:rPr>
        <w:t>areas</w:t>
      </w:r>
      <w:r w:rsidRPr="007A0320">
        <w:rPr>
          <w:lang w:val="en-US"/>
        </w:rPr>
        <w:t>» (</w:t>
      </w:r>
      <w:r w:rsidRPr="007A5120">
        <w:t>жилые</w:t>
      </w:r>
      <w:r w:rsidRPr="007A0320">
        <w:rPr>
          <w:lang w:val="en-US"/>
        </w:rPr>
        <w:t xml:space="preserve"> </w:t>
      </w:r>
      <w:r w:rsidRPr="007A5120">
        <w:t>помещения</w:t>
      </w:r>
      <w:r w:rsidRPr="007A0320">
        <w:rPr>
          <w:lang w:val="en-US"/>
        </w:rPr>
        <w:t>).</w:t>
      </w:r>
    </w:p>
    <w:p w14:paraId="1795A3CB" w14:textId="77777777" w:rsidR="007A0320" w:rsidRPr="00F70063" w:rsidRDefault="007A0320" w:rsidP="007A0320">
      <w:pPr>
        <w:pStyle w:val="SingleTxtG"/>
      </w:pPr>
      <w:r w:rsidRPr="00AF0C2A">
        <w:rPr>
          <w:iCs/>
        </w:rPr>
        <w:t>(</w:t>
      </w:r>
      <w:r w:rsidRPr="00AF0C2A">
        <w:rPr>
          <w:i/>
          <w:iCs/>
        </w:rPr>
        <w:t>Данное исправление не касается текста на русском языке.</w:t>
      </w:r>
      <w:r w:rsidRPr="00AF0C2A">
        <w:rPr>
          <w:iCs/>
        </w:rPr>
        <w:t>)</w:t>
      </w:r>
    </w:p>
    <w:p w14:paraId="62B96C66" w14:textId="77777777" w:rsidR="007A0320" w:rsidRPr="007A5120" w:rsidRDefault="007A0320" w:rsidP="007A0320">
      <w:pPr>
        <w:pStyle w:val="H23G"/>
      </w:pPr>
      <w:r>
        <w:tab/>
        <w:t>9</w:t>
      </w:r>
      <w:r w:rsidRPr="007A5120">
        <w:t>.</w:t>
      </w:r>
      <w:r w:rsidRPr="007A5120">
        <w:tab/>
        <w:t>Глава 8.1, 8.1.2.1 е)</w:t>
      </w:r>
    </w:p>
    <w:p w14:paraId="7E807418" w14:textId="77777777" w:rsidR="007A0320" w:rsidRPr="00F70063" w:rsidRDefault="007A0320" w:rsidP="007A0320">
      <w:pPr>
        <w:pStyle w:val="SingleTxtG"/>
      </w:pPr>
      <w:r w:rsidRPr="007A5120">
        <w:rPr>
          <w:i/>
          <w:iCs/>
        </w:rPr>
        <w:t xml:space="preserve">Вместо </w:t>
      </w:r>
      <w:r w:rsidRPr="007A5120">
        <w:t>«</w:t>
      </w:r>
      <w:r w:rsidRPr="00807BB3">
        <w:t>self</w:t>
      </w:r>
      <w:r w:rsidRPr="007A5120">
        <w:t>-</w:t>
      </w:r>
      <w:r w:rsidRPr="00807BB3">
        <w:t>contained</w:t>
      </w:r>
      <w:r w:rsidRPr="007A5120">
        <w:t xml:space="preserve"> </w:t>
      </w:r>
      <w:r w:rsidRPr="00807BB3">
        <w:t>protection</w:t>
      </w:r>
      <w:r w:rsidRPr="007A5120">
        <w:t xml:space="preserve"> </w:t>
      </w:r>
      <w:r w:rsidRPr="00807BB3">
        <w:t>systems</w:t>
      </w:r>
      <w:r w:rsidRPr="007A5120">
        <w:t xml:space="preserve">» </w:t>
      </w:r>
      <w:r w:rsidRPr="007A5120">
        <w:rPr>
          <w:i/>
          <w:iCs/>
        </w:rPr>
        <w:t>читать</w:t>
      </w:r>
      <w:r w:rsidRPr="007A5120">
        <w:t xml:space="preserve"> «</w:t>
      </w:r>
      <w:r w:rsidRPr="00807BB3">
        <w:t>autonomous</w:t>
      </w:r>
      <w:r w:rsidRPr="007A5120">
        <w:t xml:space="preserve"> </w:t>
      </w:r>
      <w:r w:rsidRPr="00807BB3">
        <w:t>protection</w:t>
      </w:r>
      <w:r w:rsidRPr="007A5120">
        <w:t xml:space="preserve"> </w:t>
      </w:r>
      <w:r w:rsidRPr="00807BB3">
        <w:t>systems</w:t>
      </w:r>
      <w:r w:rsidRPr="007A5120">
        <w:t>» (автономные системы защиты).</w:t>
      </w:r>
      <w:r w:rsidRPr="00936000">
        <w:rPr>
          <w:iC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20F2C444"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1C602ECF" w14:textId="77777777" w:rsidR="007A0320" w:rsidRPr="007A5120" w:rsidRDefault="007A0320" w:rsidP="007A0320">
      <w:pPr>
        <w:pStyle w:val="H23G"/>
      </w:pPr>
      <w:r w:rsidRPr="007A5120">
        <w:tab/>
      </w:r>
      <w:r>
        <w:t>10</w:t>
      </w:r>
      <w:r w:rsidRPr="007A5120">
        <w:t>.</w:t>
      </w:r>
      <w:r w:rsidRPr="007A5120">
        <w:tab/>
        <w:t xml:space="preserve">Глава 8.1, 8.1.2.3 </w:t>
      </w:r>
      <w:r w:rsidRPr="00807BB3">
        <w:t>t</w:t>
      </w:r>
      <w:r w:rsidRPr="007A5120">
        <w:t>)</w:t>
      </w:r>
    </w:p>
    <w:p w14:paraId="30F08754" w14:textId="77777777" w:rsidR="007A0320" w:rsidRPr="00F70063" w:rsidRDefault="007A0320" w:rsidP="007A0320">
      <w:pPr>
        <w:pStyle w:val="SingleTxtG"/>
      </w:pPr>
      <w:r w:rsidRPr="007A5120">
        <w:rPr>
          <w:i/>
          <w:iCs/>
        </w:rPr>
        <w:t>Вместо</w:t>
      </w:r>
      <w:r w:rsidRPr="007A5120">
        <w:t xml:space="preserve"> «</w:t>
      </w:r>
      <w:r w:rsidRPr="00807BB3">
        <w:t>self</w:t>
      </w:r>
      <w:r w:rsidRPr="007A5120">
        <w:t>-</w:t>
      </w:r>
      <w:r w:rsidRPr="00807BB3">
        <w:t>contained</w:t>
      </w:r>
      <w:r w:rsidRPr="007A5120">
        <w:t xml:space="preserve"> </w:t>
      </w:r>
      <w:r w:rsidRPr="00807BB3">
        <w:t>protection</w:t>
      </w:r>
      <w:r w:rsidRPr="007A5120">
        <w:t xml:space="preserve"> </w:t>
      </w:r>
      <w:r w:rsidRPr="00807BB3">
        <w:t>systems</w:t>
      </w:r>
      <w:r w:rsidRPr="007A5120">
        <w:t xml:space="preserve">» </w:t>
      </w:r>
      <w:r w:rsidRPr="007A5120">
        <w:rPr>
          <w:i/>
          <w:iCs/>
        </w:rPr>
        <w:t>читать</w:t>
      </w:r>
      <w:r w:rsidRPr="007A5120">
        <w:t xml:space="preserve"> «</w:t>
      </w:r>
      <w:r w:rsidRPr="00807BB3">
        <w:t>autonomous</w:t>
      </w:r>
      <w:r w:rsidRPr="007A5120">
        <w:t xml:space="preserve"> </w:t>
      </w:r>
      <w:r w:rsidRPr="00807BB3">
        <w:t>protection</w:t>
      </w:r>
      <w:r w:rsidRPr="007A5120">
        <w:t xml:space="preserve"> </w:t>
      </w:r>
      <w:r w:rsidRPr="00807BB3">
        <w:t>systems</w:t>
      </w:r>
      <w:r w:rsidRPr="007A5120">
        <w:t>» (автономные системы защиты).</w:t>
      </w:r>
      <w:r w:rsidRPr="00936000">
        <w:rPr>
          <w:iC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168469F9"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70E241BB" w14:textId="77777777" w:rsidR="007A0320" w:rsidRPr="007A5120" w:rsidRDefault="007A0320" w:rsidP="007A0320">
      <w:pPr>
        <w:pStyle w:val="H23G"/>
      </w:pPr>
      <w:r w:rsidRPr="007A5120">
        <w:tab/>
      </w:r>
      <w:r>
        <w:t>11</w:t>
      </w:r>
      <w:r w:rsidRPr="007A5120">
        <w:t>.</w:t>
      </w:r>
      <w:r w:rsidRPr="007A5120">
        <w:tab/>
        <w:t xml:space="preserve">Глава 8.1, 8.1.2.3 </w:t>
      </w:r>
      <w:r w:rsidRPr="00807BB3">
        <w:t>u</w:t>
      </w:r>
      <w:r w:rsidRPr="007A5120">
        <w:t>)</w:t>
      </w:r>
    </w:p>
    <w:p w14:paraId="33009FB1" w14:textId="77777777" w:rsidR="007A0320" w:rsidRPr="00F70063" w:rsidRDefault="007A0320" w:rsidP="007A0320">
      <w:pPr>
        <w:pStyle w:val="SingleTxtG"/>
      </w:pPr>
      <w:r w:rsidRPr="007A5120">
        <w:rPr>
          <w:i/>
          <w:iCs/>
        </w:rPr>
        <w:t>Вместо</w:t>
      </w:r>
      <w:r w:rsidRPr="007A5120">
        <w:t xml:space="preserve"> «</w:t>
      </w:r>
      <w:r w:rsidRPr="00807BB3">
        <w:t>self</w:t>
      </w:r>
      <w:r w:rsidRPr="007A5120">
        <w:t>-</w:t>
      </w:r>
      <w:r w:rsidRPr="00807BB3">
        <w:t>contained</w:t>
      </w:r>
      <w:r w:rsidRPr="007A5120">
        <w:t xml:space="preserve"> </w:t>
      </w:r>
      <w:r w:rsidRPr="00807BB3">
        <w:t>protection</w:t>
      </w:r>
      <w:r w:rsidRPr="007A5120">
        <w:t xml:space="preserve"> </w:t>
      </w:r>
      <w:r w:rsidRPr="00807BB3">
        <w:t>systems</w:t>
      </w:r>
      <w:r w:rsidRPr="007A5120">
        <w:t xml:space="preserve">» </w:t>
      </w:r>
      <w:r w:rsidRPr="007A5120">
        <w:rPr>
          <w:i/>
          <w:iCs/>
        </w:rPr>
        <w:t>читать</w:t>
      </w:r>
      <w:r w:rsidRPr="007A5120">
        <w:t xml:space="preserve"> «</w:t>
      </w:r>
      <w:r w:rsidRPr="00807BB3">
        <w:t>autonomous</w:t>
      </w:r>
      <w:r w:rsidRPr="007A5120">
        <w:t xml:space="preserve"> </w:t>
      </w:r>
      <w:r w:rsidRPr="00807BB3">
        <w:t>protection</w:t>
      </w:r>
      <w:r w:rsidRPr="007A5120">
        <w:t xml:space="preserve"> </w:t>
      </w:r>
      <w:r w:rsidRPr="00807BB3">
        <w:t>systems</w:t>
      </w:r>
      <w:r w:rsidRPr="007A5120">
        <w:t>» (автономные системы защиты).</w:t>
      </w:r>
      <w:r w:rsidRPr="00936000">
        <w:rPr>
          <w:iC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39FB0D69"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6F3E5340" w14:textId="77777777" w:rsidR="007A0320" w:rsidRPr="00807BB3" w:rsidRDefault="007A0320" w:rsidP="007A0320">
      <w:pPr>
        <w:pStyle w:val="H23G"/>
      </w:pPr>
      <w:r w:rsidRPr="007A5120">
        <w:tab/>
      </w:r>
      <w:r w:rsidRPr="007A0320">
        <w:t>12</w:t>
      </w:r>
      <w:r w:rsidRPr="00807BB3">
        <w:t>.</w:t>
      </w:r>
      <w:r w:rsidRPr="00807BB3">
        <w:tab/>
        <w:t>Глава 8.1, 8.1.7, заголовок</w:t>
      </w:r>
    </w:p>
    <w:p w14:paraId="450CC3D9" w14:textId="77777777" w:rsidR="007A0320" w:rsidRPr="00F70063" w:rsidRDefault="007A0320" w:rsidP="007A0320">
      <w:pPr>
        <w:pStyle w:val="SingleTxtG"/>
      </w:pPr>
      <w:r w:rsidRPr="00807BB3">
        <w:rPr>
          <w:i/>
          <w:iCs/>
        </w:rPr>
        <w:t>Вместо</w:t>
      </w:r>
      <w:r w:rsidRPr="00807BB3">
        <w:t xml:space="preserve"> «</w:t>
      </w:r>
      <w:r w:rsidRPr="00807BB3">
        <w:rPr>
          <w:lang w:val="en-US"/>
        </w:rPr>
        <w:t>self</w:t>
      </w:r>
      <w:r w:rsidRPr="00807BB3">
        <w:t>-</w:t>
      </w:r>
      <w:r w:rsidRPr="00807BB3">
        <w:rPr>
          <w:lang w:val="en-US"/>
        </w:rPr>
        <w:t>contained</w:t>
      </w:r>
      <w:r w:rsidRPr="00807BB3">
        <w:t xml:space="preserve"> </w:t>
      </w:r>
      <w:r w:rsidRPr="00807BB3">
        <w:rPr>
          <w:lang w:val="en-US"/>
        </w:rPr>
        <w:t>protection</w:t>
      </w:r>
      <w:r w:rsidRPr="00807BB3">
        <w:t xml:space="preserve"> </w:t>
      </w:r>
      <w:r w:rsidRPr="00807BB3">
        <w:rPr>
          <w:lang w:val="en-US"/>
        </w:rPr>
        <w:t>systems</w:t>
      </w:r>
      <w:r w:rsidRPr="00807BB3">
        <w:t xml:space="preserve">» </w:t>
      </w:r>
      <w:r w:rsidRPr="00807BB3">
        <w:rPr>
          <w:i/>
          <w:iCs/>
        </w:rPr>
        <w:t>читать</w:t>
      </w:r>
      <w:r w:rsidRPr="00807BB3">
        <w:t xml:space="preserve"> «</w:t>
      </w:r>
      <w:r w:rsidRPr="00807BB3">
        <w:rPr>
          <w:lang w:val="en-US"/>
        </w:rPr>
        <w:t>autonomous</w:t>
      </w:r>
      <w:r w:rsidRPr="00807BB3">
        <w:t xml:space="preserve"> </w:t>
      </w:r>
      <w:r w:rsidRPr="00807BB3">
        <w:rPr>
          <w:lang w:val="en-US"/>
        </w:rPr>
        <w:t>protection</w:t>
      </w:r>
      <w:r w:rsidRPr="00807BB3">
        <w:t xml:space="preserve"> </w:t>
      </w:r>
      <w:r w:rsidRPr="00807BB3">
        <w:rPr>
          <w:lang w:val="en-US"/>
        </w:rPr>
        <w:t>systems</w:t>
      </w:r>
      <w:r w:rsidRPr="00807BB3">
        <w:t>» (автономные системы защиты).</w:t>
      </w:r>
      <w:r w:rsidRPr="007A0320">
        <w:rPr>
          <w:iC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15C23094"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55CE61F3" w14:textId="77777777" w:rsidR="007A0320" w:rsidRPr="007A5120" w:rsidRDefault="007A0320" w:rsidP="007A0320">
      <w:pPr>
        <w:pStyle w:val="H23G"/>
      </w:pPr>
      <w:r w:rsidRPr="007A5120">
        <w:tab/>
      </w:r>
      <w:r>
        <w:t>13</w:t>
      </w:r>
      <w:r w:rsidRPr="007A5120">
        <w:t>.</w:t>
      </w:r>
      <w:r w:rsidRPr="007A5120">
        <w:tab/>
        <w:t>Глава 8.1, 8.1.7.2, второй абзац</w:t>
      </w:r>
    </w:p>
    <w:p w14:paraId="69908C5A" w14:textId="77777777" w:rsidR="007A0320" w:rsidRPr="00F70063" w:rsidRDefault="007A0320" w:rsidP="007A0320">
      <w:pPr>
        <w:pStyle w:val="SingleTxtG"/>
      </w:pPr>
      <w:r w:rsidRPr="007A5120">
        <w:rPr>
          <w:i/>
          <w:iCs/>
        </w:rPr>
        <w:t>Вместо</w:t>
      </w:r>
      <w:r w:rsidRPr="007A5120">
        <w:t xml:space="preserve"> «</w:t>
      </w:r>
      <w:r w:rsidRPr="00807BB3">
        <w:t>self</w:t>
      </w:r>
      <w:r w:rsidRPr="007A5120">
        <w:t>-</w:t>
      </w:r>
      <w:r w:rsidRPr="00807BB3">
        <w:t>contained</w:t>
      </w:r>
      <w:r w:rsidRPr="007A5120">
        <w:t xml:space="preserve"> </w:t>
      </w:r>
      <w:r w:rsidRPr="00807BB3">
        <w:t>protection</w:t>
      </w:r>
      <w:r w:rsidRPr="007A5120">
        <w:t xml:space="preserve"> </w:t>
      </w:r>
      <w:r w:rsidRPr="00807BB3">
        <w:t>systems</w:t>
      </w:r>
      <w:r w:rsidRPr="007A5120">
        <w:t xml:space="preserve">» </w:t>
      </w:r>
      <w:r w:rsidRPr="007A5120">
        <w:rPr>
          <w:i/>
          <w:iCs/>
        </w:rPr>
        <w:t>читать</w:t>
      </w:r>
      <w:r w:rsidRPr="007A5120">
        <w:t xml:space="preserve"> «</w:t>
      </w:r>
      <w:r w:rsidRPr="00807BB3">
        <w:t>autonomous</w:t>
      </w:r>
      <w:r w:rsidRPr="007A5120">
        <w:t xml:space="preserve"> </w:t>
      </w:r>
      <w:r w:rsidRPr="00807BB3">
        <w:t>protection</w:t>
      </w:r>
      <w:r w:rsidRPr="007A5120">
        <w:t xml:space="preserve"> </w:t>
      </w:r>
      <w:r w:rsidRPr="00807BB3">
        <w:t>systems</w:t>
      </w:r>
      <w:r w:rsidRPr="007A5120">
        <w:t>» (автономные системы защиты).</w:t>
      </w:r>
      <w:r w:rsidRPr="00936000">
        <w:rPr>
          <w:iCs/>
        </w:rPr>
        <w:t xml:space="preserve"> </w:t>
      </w:r>
      <w:r w:rsidRPr="00AF0C2A">
        <w:rPr>
          <w:iCs/>
        </w:rPr>
        <w:t>(</w:t>
      </w:r>
      <w:r w:rsidRPr="00AF0C2A">
        <w:rPr>
          <w:i/>
          <w:iCs/>
        </w:rPr>
        <w:t>Данное исправление не касается текста на русском языке.</w:t>
      </w:r>
      <w:r w:rsidRPr="00AF0C2A">
        <w:rPr>
          <w:iCs/>
        </w:rPr>
        <w:t>)</w:t>
      </w:r>
    </w:p>
    <w:p w14:paraId="69655A2B" w14:textId="77777777" w:rsidR="007A03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70411F06" w14:textId="77777777" w:rsidR="007A0320" w:rsidRPr="00863C9E" w:rsidRDefault="007A0320" w:rsidP="00A058DA">
      <w:pPr>
        <w:pStyle w:val="HChG"/>
        <w:pageBreakBefore/>
      </w:pPr>
      <w:r w:rsidRPr="00863C9E">
        <w:lastRenderedPageBreak/>
        <w:t>Приложение III</w:t>
      </w:r>
    </w:p>
    <w:p w14:paraId="0D502F9B" w14:textId="77777777" w:rsidR="007A0320" w:rsidRDefault="007A0320" w:rsidP="007A0320">
      <w:pPr>
        <w:pStyle w:val="Heading2"/>
        <w:jc w:val="right"/>
      </w:pPr>
      <w:r>
        <w:t>[Подлинный текст на английском и французском языках]</w:t>
      </w:r>
    </w:p>
    <w:p w14:paraId="583EFBB0" w14:textId="77777777" w:rsidR="007A0320" w:rsidRPr="007A5120" w:rsidRDefault="007A0320" w:rsidP="00A058DA">
      <w:pPr>
        <w:pStyle w:val="HChG"/>
        <w:spacing w:before="240"/>
        <w:rPr>
          <w:b w:val="0"/>
          <w:sz w:val="20"/>
        </w:rPr>
      </w:pPr>
      <w:r w:rsidRPr="00210C15">
        <w:rPr>
          <w:bCs/>
        </w:rPr>
        <w:tab/>
      </w:r>
      <w:r w:rsidRPr="007A5120">
        <w:rPr>
          <w:bCs/>
        </w:rPr>
        <w:tab/>
        <w:t>Предлагаемые исправления к Правилам,</w:t>
      </w:r>
      <w:r w:rsidR="00A058DA">
        <w:rPr>
          <w:bCs/>
        </w:rPr>
        <w:t xml:space="preserve"> </w:t>
      </w:r>
      <w:r w:rsidRPr="007A5120">
        <w:rPr>
          <w:bCs/>
        </w:rPr>
        <w:t>прилагаемым к</w:t>
      </w:r>
      <w:r>
        <w:rPr>
          <w:bCs/>
          <w:lang w:val="en-US"/>
        </w:rPr>
        <w:t> </w:t>
      </w:r>
      <w:r w:rsidRPr="007A5120">
        <w:rPr>
          <w:bCs/>
        </w:rPr>
        <w:t>ВОПОГ</w:t>
      </w:r>
      <w:r w:rsidR="00A058DA">
        <w:br/>
      </w:r>
      <w:r w:rsidRPr="00723CF5">
        <w:rPr>
          <w:b w:val="0"/>
          <w:sz w:val="22"/>
          <w:szCs w:val="22"/>
        </w:rPr>
        <w:t>(Исправления, требующие принятия Договаривающимися сторонами)</w:t>
      </w:r>
    </w:p>
    <w:p w14:paraId="034A797D" w14:textId="77777777" w:rsidR="007A0320" w:rsidRPr="007A5120" w:rsidRDefault="007A0320" w:rsidP="007A0320">
      <w:pPr>
        <w:pStyle w:val="H23G"/>
      </w:pPr>
      <w:r w:rsidRPr="007A5120">
        <w:tab/>
        <w:t>1.</w:t>
      </w:r>
      <w:r w:rsidRPr="007A5120">
        <w:tab/>
        <w:t>Глава 1.2, определение «Электрооборудование с ограниченной опасностью взрыва»</w:t>
      </w:r>
    </w:p>
    <w:p w14:paraId="5B236F20" w14:textId="77777777" w:rsidR="007A0320" w:rsidRPr="007A5120" w:rsidRDefault="007A0320" w:rsidP="007A0320">
      <w:pPr>
        <w:pStyle w:val="SingleTxtG"/>
      </w:pPr>
      <w:r w:rsidRPr="007A5120">
        <w:rPr>
          <w:i/>
          <w:iCs/>
        </w:rPr>
        <w:t>Вместо</w:t>
      </w:r>
      <w:r w:rsidRPr="007A5120">
        <w:t xml:space="preserve"> «Электрооборудование» </w:t>
      </w:r>
      <w:r w:rsidRPr="007A5120">
        <w:rPr>
          <w:i/>
          <w:iCs/>
        </w:rPr>
        <w:t>читать</w:t>
      </w:r>
      <w:r w:rsidRPr="007A5120">
        <w:t xml:space="preserve"> «Электрические установки и оборудование».</w:t>
      </w:r>
    </w:p>
    <w:p w14:paraId="796AF9BD"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17FBB3B6" w14:textId="77777777" w:rsidR="007A0320" w:rsidRPr="007A5120" w:rsidRDefault="007A0320" w:rsidP="007A0320">
      <w:pPr>
        <w:pStyle w:val="H23G"/>
      </w:pPr>
      <w:r w:rsidRPr="007A5120">
        <w:tab/>
        <w:t>2.</w:t>
      </w:r>
      <w:r w:rsidRPr="007A5120">
        <w:tab/>
        <w:t>Глава 1.6, 1.6.7.2.2.2, переходное положение для пункта 9.3.3.52.1</w:t>
      </w:r>
    </w:p>
    <w:p w14:paraId="2E29FDE6" w14:textId="77777777" w:rsidR="007A0320" w:rsidRPr="007A5120" w:rsidRDefault="007A0320" w:rsidP="007A0320">
      <w:pPr>
        <w:pStyle w:val="SingleTxtG"/>
      </w:pPr>
      <w:r w:rsidRPr="007A5120">
        <w:rPr>
          <w:i/>
          <w:iCs/>
        </w:rPr>
        <w:t xml:space="preserve">Вместо </w:t>
      </w:r>
      <w:r w:rsidRPr="007A5120">
        <w:t xml:space="preserve">«Электрооборудование» </w:t>
      </w:r>
      <w:r w:rsidRPr="007A5120">
        <w:rPr>
          <w:i/>
          <w:iCs/>
        </w:rPr>
        <w:t>читать</w:t>
      </w:r>
      <w:r w:rsidRPr="007A5120">
        <w:t xml:space="preserve"> «Электрические установки и оборудование».</w:t>
      </w:r>
    </w:p>
    <w:p w14:paraId="1BFE1D8D"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7EC05826" w14:textId="77777777" w:rsidR="007A0320" w:rsidRPr="007A5120" w:rsidRDefault="007A0320" w:rsidP="007A0320">
      <w:pPr>
        <w:pStyle w:val="H23G"/>
      </w:pPr>
      <w:r w:rsidRPr="007A5120">
        <w:tab/>
        <w:t>3.</w:t>
      </w:r>
      <w:r w:rsidRPr="007A5120">
        <w:tab/>
        <w:t>Глава 1.6, 1.6.7.2.2.2, переходное положение для пункта 9.3.3.52.2</w:t>
      </w:r>
    </w:p>
    <w:p w14:paraId="3402B745" w14:textId="77777777" w:rsidR="007A0320" w:rsidRPr="007A5120" w:rsidRDefault="007A0320" w:rsidP="007A0320">
      <w:pPr>
        <w:pStyle w:val="SingleTxtG"/>
      </w:pPr>
      <w:r w:rsidRPr="007A5120">
        <w:rPr>
          <w:i/>
          <w:iCs/>
        </w:rPr>
        <w:t xml:space="preserve">Вместо </w:t>
      </w:r>
      <w:r w:rsidRPr="007A5120">
        <w:t xml:space="preserve">«Электрооборудование/эхолоты» </w:t>
      </w:r>
      <w:r w:rsidRPr="007A5120">
        <w:rPr>
          <w:i/>
          <w:iCs/>
        </w:rPr>
        <w:t>читать</w:t>
      </w:r>
      <w:r w:rsidRPr="007A5120">
        <w:t xml:space="preserve"> «Электрические установки и оборудование/эхолоты».</w:t>
      </w:r>
    </w:p>
    <w:p w14:paraId="673DA981" w14:textId="77777777" w:rsidR="007A0320" w:rsidRPr="007A5120" w:rsidRDefault="007A0320" w:rsidP="007A0320">
      <w:pPr>
        <w:pStyle w:val="SingleTxtG"/>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439CB917" w14:textId="77777777" w:rsidR="007A0320" w:rsidRPr="007A5120" w:rsidRDefault="007A0320" w:rsidP="007A0320">
      <w:pPr>
        <w:pStyle w:val="H23G"/>
      </w:pPr>
      <w:r w:rsidRPr="007A5120">
        <w:tab/>
        <w:t>4.</w:t>
      </w:r>
      <w:r w:rsidRPr="007A5120">
        <w:tab/>
        <w:t>Глава 1.6, 1.6.7.2.2.2, переходное положение для пункта 9.3.х.52.3, последнее предложение</w:t>
      </w:r>
    </w:p>
    <w:p w14:paraId="6E759187" w14:textId="77777777" w:rsidR="007A0320" w:rsidRPr="007A5120" w:rsidRDefault="007A0320" w:rsidP="007A0320">
      <w:pPr>
        <w:pStyle w:val="SingleTxtG"/>
      </w:pPr>
      <w:r w:rsidRPr="007A5120">
        <w:rPr>
          <w:i/>
          <w:iCs/>
        </w:rPr>
        <w:t>Вместо</w:t>
      </w:r>
      <w:r w:rsidRPr="007A5120">
        <w:t xml:space="preserve"> «Отключение такого оборудования с централизованного пункта» </w:t>
      </w:r>
      <w:r w:rsidRPr="007A5120">
        <w:rPr>
          <w:i/>
          <w:iCs/>
        </w:rPr>
        <w:t>читать</w:t>
      </w:r>
      <w:r w:rsidRPr="007A5120">
        <w:t xml:space="preserve"> «Отключение таких </w:t>
      </w:r>
      <w:r>
        <w:t xml:space="preserve">электрических </w:t>
      </w:r>
      <w:r w:rsidRPr="007A5120">
        <w:t>установок и оборудования с централизованного пункта».</w:t>
      </w:r>
    </w:p>
    <w:p w14:paraId="2F5CD0A5" w14:textId="77777777" w:rsidR="007A0320" w:rsidRPr="007A5120" w:rsidRDefault="007A0320" w:rsidP="007A0320">
      <w:pPr>
        <w:pStyle w:val="SingleTxtG"/>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16BD134D" w14:textId="77777777" w:rsidR="007A0320" w:rsidRPr="007A5120" w:rsidRDefault="007A0320" w:rsidP="007A0320">
      <w:pPr>
        <w:pStyle w:val="H23G"/>
      </w:pPr>
      <w:r w:rsidRPr="007A5120">
        <w:tab/>
        <w:t>5.</w:t>
      </w:r>
      <w:r w:rsidRPr="007A5120">
        <w:tab/>
        <w:t xml:space="preserve">Глава 1.6, 1.6.7.2.2.2, переходное положение для пунктов 9.3.1.53.1, 9.3.2.53.1, 9.3.3.53.1, подпункт </w:t>
      </w:r>
      <w:r w:rsidRPr="00807BB3">
        <w:t>d</w:t>
      </w:r>
      <w:r w:rsidRPr="007A5120">
        <w:t>)</w:t>
      </w:r>
    </w:p>
    <w:p w14:paraId="6E9A1DC7" w14:textId="77777777" w:rsidR="007A0320" w:rsidRPr="007A5120" w:rsidRDefault="007A0320" w:rsidP="007A0320">
      <w:pPr>
        <w:pStyle w:val="SingleTxtG"/>
        <w:keepNext/>
      </w:pPr>
      <w:r w:rsidRPr="007A5120">
        <w:rPr>
          <w:i/>
          <w:iCs/>
        </w:rPr>
        <w:t>Вместо</w:t>
      </w:r>
      <w:r w:rsidRPr="007A5120">
        <w:t xml:space="preserve"> «после 31 декабря 1977 года» </w:t>
      </w:r>
      <w:r w:rsidRPr="007A5120">
        <w:rPr>
          <w:i/>
          <w:iCs/>
        </w:rPr>
        <w:t>читать</w:t>
      </w:r>
      <w:r w:rsidRPr="007A5120">
        <w:t xml:space="preserve"> «до 31 декабря 1977 года».</w:t>
      </w:r>
    </w:p>
    <w:p w14:paraId="29754CF6" w14:textId="77777777" w:rsidR="007A0320" w:rsidRPr="007A5120" w:rsidRDefault="007A0320" w:rsidP="007A0320">
      <w:pPr>
        <w:pStyle w:val="SingleTxtG"/>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141641FA" w14:textId="77777777" w:rsidR="007A0320" w:rsidRPr="007A5120" w:rsidRDefault="007A0320" w:rsidP="007A0320">
      <w:pPr>
        <w:pStyle w:val="H23G"/>
      </w:pPr>
      <w:r w:rsidRPr="007A5120">
        <w:tab/>
        <w:t>6.</w:t>
      </w:r>
      <w:r w:rsidRPr="007A5120">
        <w:tab/>
        <w:t xml:space="preserve">Глава 3.2, 3.2.3.3, Схема </w:t>
      </w:r>
      <w:r w:rsidRPr="00807BB3">
        <w:t>A</w:t>
      </w:r>
      <w:r w:rsidRPr="007A5120">
        <w:t>, заголовок третьей колонки</w:t>
      </w:r>
    </w:p>
    <w:p w14:paraId="2111DFA3" w14:textId="379D4EEF" w:rsidR="007A0320" w:rsidRPr="007A5120" w:rsidRDefault="007A0320" w:rsidP="007A0320">
      <w:pPr>
        <w:pStyle w:val="SingleTxtG"/>
        <w:rPr>
          <w:i/>
          <w:iCs/>
        </w:rPr>
      </w:pPr>
      <w:r w:rsidRPr="007A5120">
        <w:rPr>
          <w:i/>
          <w:iCs/>
        </w:rPr>
        <w:t xml:space="preserve">Вместо </w:t>
      </w:r>
      <w:r w:rsidRPr="007A5120">
        <w:t>«Внутреннее давление в грузовом танке при температуре жидкости 30 °</w:t>
      </w:r>
      <w:r w:rsidRPr="00807BB3">
        <w:t>C</w:t>
      </w:r>
      <w:r w:rsidRPr="007A5120">
        <w:t xml:space="preserve"> и температуре газовой фазы 37,8 °</w:t>
      </w:r>
      <w:r w:rsidRPr="00807BB3">
        <w:t>C</w:t>
      </w:r>
      <w:r w:rsidRPr="007A5120">
        <w:t xml:space="preserve"> &gt; 50 кПа»</w:t>
      </w:r>
      <w:r w:rsidR="00E8363D">
        <w:t xml:space="preserve"> </w:t>
      </w:r>
      <w:r w:rsidRPr="007A5120">
        <w:rPr>
          <w:i/>
          <w:iCs/>
        </w:rPr>
        <w:t xml:space="preserve">читать </w:t>
      </w:r>
      <w:r w:rsidRPr="007A5120">
        <w:t>«Внутреннее давление в грузовом танке при температуре жидкости 30 °</w:t>
      </w:r>
      <w:r w:rsidRPr="00807BB3">
        <w:t>C</w:t>
      </w:r>
      <w:r>
        <w:t xml:space="preserve"> и температуре газовой </w:t>
      </w:r>
      <w:r w:rsidRPr="007A5120">
        <w:t>фазы 37,8 °</w:t>
      </w:r>
      <w:r w:rsidRPr="00807BB3">
        <w:t>C</w:t>
      </w:r>
      <w:r w:rsidRPr="007A5120">
        <w:t xml:space="preserve"> ≤ 50 кПа».</w:t>
      </w:r>
    </w:p>
    <w:p w14:paraId="45BD3500" w14:textId="77777777" w:rsidR="007A0320" w:rsidRPr="007A5120" w:rsidRDefault="007A0320" w:rsidP="007A0320">
      <w:pPr>
        <w:pStyle w:val="SingleTxtG"/>
      </w:pPr>
      <w:r w:rsidRPr="007A5120">
        <w:rPr>
          <w:i/>
          <w:iCs/>
        </w:rPr>
        <w:t xml:space="preserve">(Справочный документ: неофициальный документ </w:t>
      </w:r>
      <w:r w:rsidRPr="00807BB3">
        <w:rPr>
          <w:i/>
          <w:iCs/>
        </w:rPr>
        <w:t>INF</w:t>
      </w:r>
      <w:r w:rsidRPr="007A5120">
        <w:rPr>
          <w:i/>
          <w:iCs/>
        </w:rPr>
        <w:t>.10)</w:t>
      </w:r>
    </w:p>
    <w:p w14:paraId="06A7111A" w14:textId="77777777" w:rsidR="007A0320" w:rsidRPr="007A5120" w:rsidRDefault="007A0320" w:rsidP="007A0320">
      <w:pPr>
        <w:pStyle w:val="H23G"/>
      </w:pPr>
      <w:r w:rsidRPr="007A5120">
        <w:tab/>
        <w:t>7.</w:t>
      </w:r>
      <w:r w:rsidRPr="007A5120">
        <w:tab/>
        <w:t xml:space="preserve">Глава 8.1, 8.1.2.1 </w:t>
      </w:r>
      <w:r w:rsidRPr="00807BB3">
        <w:t>e</w:t>
      </w:r>
      <w:r w:rsidRPr="007A5120">
        <w:t>)</w:t>
      </w:r>
    </w:p>
    <w:p w14:paraId="5247CC97" w14:textId="77777777" w:rsidR="007A0320" w:rsidRPr="007A5120" w:rsidRDefault="007A0320" w:rsidP="007A0320">
      <w:pPr>
        <w:pStyle w:val="SingleTxtG"/>
      </w:pPr>
      <w:r w:rsidRPr="007A5120">
        <w:rPr>
          <w:i/>
          <w:iCs/>
        </w:rPr>
        <w:t>Вместо</w:t>
      </w:r>
      <w:r w:rsidRPr="007A5120">
        <w:t xml:space="preserve"> «установки» </w:t>
      </w:r>
      <w:r w:rsidRPr="007A5120">
        <w:rPr>
          <w:i/>
          <w:iCs/>
        </w:rPr>
        <w:t xml:space="preserve">читать </w:t>
      </w:r>
      <w:r w:rsidRPr="007A5120">
        <w:t>«установки и оборудование».</w:t>
      </w:r>
    </w:p>
    <w:p w14:paraId="278094E6"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0ADCFF71" w14:textId="77777777" w:rsidR="007A0320" w:rsidRPr="007A5120" w:rsidRDefault="007A0320" w:rsidP="007A0320">
      <w:pPr>
        <w:pStyle w:val="H23G"/>
      </w:pPr>
      <w:r w:rsidRPr="007A5120">
        <w:tab/>
        <w:t>8.</w:t>
      </w:r>
      <w:r w:rsidRPr="007A5120">
        <w:tab/>
        <w:t>Глава 8.6, 8.6.1.1, Образец свидетельства о допущении, графа 4</w:t>
      </w:r>
    </w:p>
    <w:p w14:paraId="5B405B41" w14:textId="77777777" w:rsidR="007A0320" w:rsidRPr="00B6704B" w:rsidRDefault="007A0320" w:rsidP="007A0320">
      <w:pPr>
        <w:pStyle w:val="SingleTxtG"/>
        <w:rPr>
          <w:iCs/>
        </w:rPr>
      </w:pPr>
      <w:r w:rsidRPr="00B6704B">
        <w:rPr>
          <w:i/>
          <w:iCs/>
        </w:rPr>
        <w:t>Вместо</w:t>
      </w:r>
      <w:r w:rsidRPr="00B6704B">
        <w:t xml:space="preserve"> «Электрические и неэлектрические установки и оборудование для использования в защищенных зонах</w:t>
      </w:r>
      <w:r>
        <w:t>:</w:t>
      </w:r>
      <w:r w:rsidRPr="00B6704B">
        <w:t xml:space="preserve">» </w:t>
      </w:r>
      <w:r w:rsidRPr="00B6704B">
        <w:rPr>
          <w:i/>
          <w:iCs/>
        </w:rPr>
        <w:t>читать</w:t>
      </w:r>
      <w:r>
        <w:rPr>
          <w:i/>
          <w:iCs/>
        </w:rPr>
        <w:t xml:space="preserve"> </w:t>
      </w:r>
      <w:r w:rsidRPr="00B6704B">
        <w:t>«Стационарные электрические и неэлектрические установки и оборудование для использования в защищенных зонах</w:t>
      </w:r>
      <w:r>
        <w:t>:</w:t>
      </w:r>
      <w:r w:rsidRPr="00B6704B">
        <w:t>».</w:t>
      </w:r>
    </w:p>
    <w:p w14:paraId="4EF9B836"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5D1CC329" w14:textId="77777777" w:rsidR="007A0320" w:rsidRPr="007A5120" w:rsidRDefault="007A0320" w:rsidP="007A0320">
      <w:pPr>
        <w:pStyle w:val="H23G"/>
      </w:pPr>
      <w:r w:rsidRPr="007A5120">
        <w:lastRenderedPageBreak/>
        <w:tab/>
        <w:t>9.</w:t>
      </w:r>
      <w:r w:rsidRPr="007A5120">
        <w:tab/>
        <w:t>Глава 8.6, 8.6.1.2, Образец свидетельства о допущении, графа 4</w:t>
      </w:r>
    </w:p>
    <w:p w14:paraId="3377EA0A" w14:textId="77777777" w:rsidR="007A0320" w:rsidRPr="007A5120" w:rsidRDefault="007A0320" w:rsidP="007A0320">
      <w:pPr>
        <w:pStyle w:val="SingleTxtG"/>
        <w:rPr>
          <w:iCs/>
        </w:rPr>
      </w:pPr>
      <w:r w:rsidRPr="007A5120">
        <w:rPr>
          <w:i/>
          <w:iCs/>
        </w:rPr>
        <w:t>Вместо</w:t>
      </w:r>
      <w:r>
        <w:rPr>
          <w:i/>
          <w:iCs/>
        </w:rPr>
        <w:t xml:space="preserve"> </w:t>
      </w:r>
      <w:r w:rsidRPr="00B6704B">
        <w:t>«Электрические и неэлектрические установки и оборудование для использования в защищенных зонах</w:t>
      </w:r>
      <w:r>
        <w:t>:</w:t>
      </w:r>
      <w:r w:rsidRPr="00B6704B">
        <w:t xml:space="preserve">» </w:t>
      </w:r>
      <w:r w:rsidRPr="00B6704B">
        <w:rPr>
          <w:i/>
          <w:iCs/>
        </w:rPr>
        <w:t>читать</w:t>
      </w:r>
      <w:r>
        <w:t xml:space="preserve"> </w:t>
      </w:r>
      <w:r w:rsidRPr="007A5120">
        <w:t>«Стационарные электрические и неэлектрические установки и оборудование для использования в защищенных зонах</w:t>
      </w:r>
      <w:r>
        <w:t>:</w:t>
      </w:r>
      <w:r w:rsidRPr="007A5120">
        <w:t>».</w:t>
      </w:r>
    </w:p>
    <w:p w14:paraId="1A5A5BED" w14:textId="77777777" w:rsidR="007A0320" w:rsidRPr="007A5120" w:rsidRDefault="007A0320" w:rsidP="007A0320">
      <w:pPr>
        <w:pStyle w:val="SingleTxtG"/>
        <w:rPr>
          <w:i/>
          <w:iCs/>
        </w:rPr>
      </w:pPr>
      <w:r w:rsidRPr="007A5120">
        <w:rPr>
          <w:i/>
          <w:iCs/>
        </w:rPr>
        <w:t xml:space="preserve">(Справочный документ: </w:t>
      </w:r>
      <w:r w:rsidRPr="00807BB3">
        <w:rPr>
          <w:i/>
          <w:iCs/>
        </w:rPr>
        <w:t>ECE</w:t>
      </w:r>
      <w:r w:rsidRPr="007A5120">
        <w:rPr>
          <w:i/>
          <w:iCs/>
        </w:rPr>
        <w:t>/</w:t>
      </w:r>
      <w:r w:rsidRPr="00807BB3">
        <w:rPr>
          <w:i/>
          <w:iCs/>
        </w:rPr>
        <w:t>TRANS</w:t>
      </w:r>
      <w:r w:rsidRPr="007A5120">
        <w:rPr>
          <w:i/>
          <w:iCs/>
        </w:rPr>
        <w:t>/</w:t>
      </w:r>
      <w:r w:rsidRPr="00807BB3">
        <w:rPr>
          <w:i/>
          <w:iCs/>
        </w:rPr>
        <w:t>WP</w:t>
      </w:r>
      <w:r w:rsidRPr="007A5120">
        <w:rPr>
          <w:i/>
          <w:iCs/>
        </w:rPr>
        <w:t>.15/</w:t>
      </w:r>
      <w:r w:rsidRPr="00807BB3">
        <w:rPr>
          <w:i/>
          <w:iCs/>
        </w:rPr>
        <w:t>AC</w:t>
      </w:r>
      <w:r w:rsidRPr="007A5120">
        <w:rPr>
          <w:i/>
          <w:iCs/>
        </w:rPr>
        <w:t>.2/2019/4)</w:t>
      </w:r>
    </w:p>
    <w:p w14:paraId="178541DB" w14:textId="77777777" w:rsidR="007A0320" w:rsidRPr="00AF0C2A" w:rsidRDefault="007A0320" w:rsidP="007A0320">
      <w:pPr>
        <w:pStyle w:val="H23G"/>
      </w:pPr>
      <w:r w:rsidRPr="007A5120">
        <w:tab/>
      </w:r>
      <w:r w:rsidRPr="00AF0C2A">
        <w:t>10.</w:t>
      </w:r>
      <w:r w:rsidRPr="00AF0C2A">
        <w:tab/>
        <w:t>Глава 8.6, 8.6.1.3, Образец свидетельства о допущении, графа 9</w:t>
      </w:r>
    </w:p>
    <w:p w14:paraId="6E3C2F38" w14:textId="77777777" w:rsidR="007A0320" w:rsidRPr="00CA34A9" w:rsidRDefault="007A0320" w:rsidP="007A0320">
      <w:pPr>
        <w:pStyle w:val="SingleTxtG"/>
        <w:rPr>
          <w:iCs/>
        </w:rPr>
      </w:pPr>
      <w:r w:rsidRPr="00CA34A9">
        <w:rPr>
          <w:i/>
          <w:iCs/>
        </w:rPr>
        <w:t>Вместо</w:t>
      </w:r>
      <w:r w:rsidRPr="00CA34A9">
        <w:t xml:space="preserve"> «Электрические и неэлектрические установки и оборудование для использования во</w:t>
      </w:r>
      <w:r>
        <w:t xml:space="preserve"> в</w:t>
      </w:r>
      <w:r w:rsidRPr="00CA34A9">
        <w:t xml:space="preserve">зрывоопасных зонах:» </w:t>
      </w:r>
      <w:r w:rsidRPr="00CA34A9">
        <w:rPr>
          <w:i/>
          <w:iCs/>
        </w:rPr>
        <w:t>читать</w:t>
      </w:r>
      <w:r>
        <w:rPr>
          <w:i/>
          <w:iCs/>
        </w:rPr>
        <w:t xml:space="preserve"> </w:t>
      </w:r>
      <w:r w:rsidRPr="00CA34A9">
        <w:t>«Стационарные электрические установки и оборудование</w:t>
      </w:r>
      <w:r>
        <w:t>:</w:t>
      </w:r>
      <w:r w:rsidRPr="00CA34A9">
        <w:t>».</w:t>
      </w:r>
    </w:p>
    <w:p w14:paraId="15EC6E2F" w14:textId="77777777" w:rsidR="007A0320" w:rsidRPr="00AF0C2A" w:rsidRDefault="007A0320" w:rsidP="007A0320">
      <w:pPr>
        <w:pStyle w:val="SingleTxtG"/>
        <w:rPr>
          <w:i/>
          <w:iCs/>
        </w:rPr>
      </w:pPr>
      <w:r w:rsidRPr="00AF0C2A">
        <w:rPr>
          <w:i/>
          <w:iCs/>
        </w:rPr>
        <w:t xml:space="preserve">(Справочный документ: </w:t>
      </w:r>
      <w:r w:rsidRPr="00807BB3">
        <w:rPr>
          <w:i/>
          <w:iCs/>
        </w:rPr>
        <w:t>ECE</w:t>
      </w:r>
      <w:r w:rsidRPr="00AF0C2A">
        <w:rPr>
          <w:i/>
          <w:iCs/>
        </w:rPr>
        <w:t>/</w:t>
      </w:r>
      <w:r w:rsidRPr="00807BB3">
        <w:rPr>
          <w:i/>
          <w:iCs/>
        </w:rPr>
        <w:t>TRANS</w:t>
      </w:r>
      <w:r w:rsidRPr="00AF0C2A">
        <w:rPr>
          <w:i/>
          <w:iCs/>
        </w:rPr>
        <w:t>/</w:t>
      </w:r>
      <w:r w:rsidRPr="00807BB3">
        <w:rPr>
          <w:i/>
          <w:iCs/>
        </w:rPr>
        <w:t>WP</w:t>
      </w:r>
      <w:r w:rsidRPr="00AF0C2A">
        <w:rPr>
          <w:i/>
          <w:iCs/>
        </w:rPr>
        <w:t>.15/</w:t>
      </w:r>
      <w:r w:rsidRPr="00807BB3">
        <w:rPr>
          <w:i/>
          <w:iCs/>
        </w:rPr>
        <w:t>AC</w:t>
      </w:r>
      <w:r w:rsidRPr="00AF0C2A">
        <w:rPr>
          <w:i/>
          <w:iCs/>
        </w:rPr>
        <w:t>.2/2019/4)</w:t>
      </w:r>
    </w:p>
    <w:p w14:paraId="2A4BB7D9" w14:textId="77777777" w:rsidR="007A0320" w:rsidRPr="00AF0C2A" w:rsidRDefault="007A0320" w:rsidP="007A0320">
      <w:pPr>
        <w:pStyle w:val="H23G"/>
      </w:pPr>
      <w:r w:rsidRPr="00AF0C2A">
        <w:tab/>
        <w:t>11.</w:t>
      </w:r>
      <w:r w:rsidRPr="00AF0C2A">
        <w:tab/>
        <w:t>Глава 8.6, 8.6.1.4, Образец свидетельства о допущении, графа 9</w:t>
      </w:r>
    </w:p>
    <w:p w14:paraId="35D8D135" w14:textId="77777777" w:rsidR="007A0320" w:rsidRPr="00CA34A9" w:rsidRDefault="007A0320" w:rsidP="007A0320">
      <w:pPr>
        <w:pStyle w:val="SingleTxtG"/>
        <w:rPr>
          <w:iCs/>
        </w:rPr>
      </w:pPr>
      <w:r w:rsidRPr="00CA34A9">
        <w:rPr>
          <w:i/>
          <w:iCs/>
        </w:rPr>
        <w:t>Вместо</w:t>
      </w:r>
      <w:r w:rsidRPr="00CA34A9">
        <w:t xml:space="preserve"> «Электрические и неэлектрические установки и оборудование для использования во</w:t>
      </w:r>
      <w:r>
        <w:t xml:space="preserve"> </w:t>
      </w:r>
      <w:r w:rsidRPr="00CA34A9">
        <w:t xml:space="preserve">взрывоопасных зонах:» </w:t>
      </w:r>
      <w:r w:rsidRPr="00CA34A9">
        <w:rPr>
          <w:i/>
          <w:iCs/>
        </w:rPr>
        <w:t>читать</w:t>
      </w:r>
      <w:r>
        <w:rPr>
          <w:i/>
          <w:iCs/>
        </w:rPr>
        <w:t xml:space="preserve"> </w:t>
      </w:r>
      <w:r w:rsidRPr="00CA34A9">
        <w:t>«Стационарные электрические установки и оборудование</w:t>
      </w:r>
      <w:r>
        <w:t>:</w:t>
      </w:r>
      <w:r w:rsidRPr="00CA34A9">
        <w:t>».</w:t>
      </w:r>
    </w:p>
    <w:p w14:paraId="59DE9BC5" w14:textId="77777777" w:rsidR="007A0320" w:rsidRPr="00AF0C2A" w:rsidRDefault="007A0320" w:rsidP="007A0320">
      <w:pPr>
        <w:pStyle w:val="SingleTxtG"/>
      </w:pPr>
      <w:r w:rsidRPr="00AF0C2A">
        <w:rPr>
          <w:i/>
          <w:iCs/>
        </w:rPr>
        <w:t xml:space="preserve">(Справочный документ: </w:t>
      </w:r>
      <w:r w:rsidRPr="00807BB3">
        <w:rPr>
          <w:i/>
          <w:iCs/>
        </w:rPr>
        <w:t>ECE</w:t>
      </w:r>
      <w:r w:rsidRPr="00AF0C2A">
        <w:rPr>
          <w:i/>
          <w:iCs/>
        </w:rPr>
        <w:t>/</w:t>
      </w:r>
      <w:r w:rsidRPr="00807BB3">
        <w:rPr>
          <w:i/>
          <w:iCs/>
        </w:rPr>
        <w:t>TRANS</w:t>
      </w:r>
      <w:r w:rsidRPr="00AF0C2A">
        <w:rPr>
          <w:i/>
          <w:iCs/>
        </w:rPr>
        <w:t>/</w:t>
      </w:r>
      <w:r w:rsidRPr="00807BB3">
        <w:rPr>
          <w:i/>
          <w:iCs/>
        </w:rPr>
        <w:t>WP</w:t>
      </w:r>
      <w:r w:rsidRPr="00AF0C2A">
        <w:rPr>
          <w:i/>
          <w:iCs/>
        </w:rPr>
        <w:t>.15/</w:t>
      </w:r>
      <w:r w:rsidRPr="00807BB3">
        <w:rPr>
          <w:i/>
          <w:iCs/>
        </w:rPr>
        <w:t>AC</w:t>
      </w:r>
      <w:r w:rsidRPr="00AF0C2A">
        <w:rPr>
          <w:i/>
          <w:iCs/>
        </w:rPr>
        <w:t>.2/2019/4)</w:t>
      </w:r>
    </w:p>
    <w:p w14:paraId="4C0AB346" w14:textId="77777777" w:rsidR="007A0320" w:rsidRPr="00AF0C2A" w:rsidRDefault="007A0320" w:rsidP="007A0320">
      <w:pPr>
        <w:pStyle w:val="H23G"/>
      </w:pPr>
      <w:r w:rsidRPr="00AF0C2A">
        <w:tab/>
        <w:t>12.</w:t>
      </w:r>
      <w:r w:rsidRPr="00AF0C2A">
        <w:tab/>
        <w:t>Глава 8.6, 8.6.3, Перечень обязательных проверок, вопрос 14, шестой абзац</w:t>
      </w:r>
    </w:p>
    <w:p w14:paraId="518C750C" w14:textId="77777777" w:rsidR="007A0320" w:rsidRPr="00AF0C2A" w:rsidRDefault="007A0320" w:rsidP="007A0320">
      <w:pPr>
        <w:pStyle w:val="SingleTxtG"/>
        <w:rPr>
          <w:iCs/>
        </w:rPr>
      </w:pPr>
      <w:r w:rsidRPr="00AF0C2A">
        <w:rPr>
          <w:i/>
          <w:iCs/>
        </w:rPr>
        <w:t>Вместо</w:t>
      </w:r>
      <w:r w:rsidRPr="00AF0C2A">
        <w:t xml:space="preserve"> «электрооборудование» </w:t>
      </w:r>
      <w:r w:rsidRPr="00AF0C2A">
        <w:rPr>
          <w:i/>
          <w:iCs/>
        </w:rPr>
        <w:t>читать</w:t>
      </w:r>
      <w:r w:rsidRPr="00AF0C2A">
        <w:t xml:space="preserve"> «электрические установки и оборудование».</w:t>
      </w:r>
    </w:p>
    <w:p w14:paraId="1473276D" w14:textId="77777777" w:rsidR="007A0320" w:rsidRPr="00AF0C2A" w:rsidRDefault="007A0320" w:rsidP="007A0320">
      <w:pPr>
        <w:pStyle w:val="SingleTxtG"/>
      </w:pPr>
      <w:r w:rsidRPr="00AF0C2A">
        <w:rPr>
          <w:i/>
          <w:iCs/>
        </w:rPr>
        <w:t xml:space="preserve">(Справочный документ: </w:t>
      </w:r>
      <w:r w:rsidRPr="00807BB3">
        <w:rPr>
          <w:i/>
          <w:iCs/>
        </w:rPr>
        <w:t>ECE</w:t>
      </w:r>
      <w:r w:rsidRPr="00AF0C2A">
        <w:rPr>
          <w:i/>
          <w:iCs/>
        </w:rPr>
        <w:t>/</w:t>
      </w:r>
      <w:r w:rsidRPr="00807BB3">
        <w:rPr>
          <w:i/>
          <w:iCs/>
        </w:rPr>
        <w:t>TRANS</w:t>
      </w:r>
      <w:r w:rsidRPr="00AF0C2A">
        <w:rPr>
          <w:i/>
          <w:iCs/>
        </w:rPr>
        <w:t>/</w:t>
      </w:r>
      <w:r w:rsidRPr="00807BB3">
        <w:rPr>
          <w:i/>
          <w:iCs/>
        </w:rPr>
        <w:t>WP</w:t>
      </w:r>
      <w:r w:rsidRPr="00AF0C2A">
        <w:rPr>
          <w:i/>
          <w:iCs/>
        </w:rPr>
        <w:t>.15/</w:t>
      </w:r>
      <w:r w:rsidRPr="00807BB3">
        <w:rPr>
          <w:i/>
          <w:iCs/>
        </w:rPr>
        <w:t>AC</w:t>
      </w:r>
      <w:r w:rsidRPr="00AF0C2A">
        <w:rPr>
          <w:i/>
          <w:iCs/>
        </w:rPr>
        <w:t>.2/2019/4)</w:t>
      </w:r>
    </w:p>
    <w:p w14:paraId="20BC40D0" w14:textId="77777777" w:rsidR="007A0320" w:rsidRPr="00AF0C2A" w:rsidRDefault="007A0320" w:rsidP="007A0320">
      <w:pPr>
        <w:pStyle w:val="SingleTxtG"/>
        <w:spacing w:before="240" w:after="0"/>
        <w:jc w:val="center"/>
        <w:rPr>
          <w:u w:val="single"/>
        </w:rPr>
      </w:pPr>
      <w:r w:rsidRPr="00AF0C2A">
        <w:rPr>
          <w:u w:val="single"/>
        </w:rPr>
        <w:tab/>
      </w:r>
      <w:r w:rsidRPr="00AF0C2A">
        <w:rPr>
          <w:u w:val="single"/>
        </w:rPr>
        <w:tab/>
      </w:r>
      <w:r w:rsidRPr="00AF0C2A">
        <w:rPr>
          <w:u w:val="single"/>
        </w:rPr>
        <w:tab/>
      </w:r>
      <w:r w:rsidRPr="00AF0C2A">
        <w:rPr>
          <w:u w:val="single"/>
        </w:rPr>
        <w:tab/>
      </w:r>
    </w:p>
    <w:sectPr w:rsidR="007A0320" w:rsidRPr="00AF0C2A" w:rsidSect="007A032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0A098" w14:textId="77777777" w:rsidR="007300D6" w:rsidRPr="00A312BC" w:rsidRDefault="007300D6" w:rsidP="00A312BC"/>
  </w:endnote>
  <w:endnote w:type="continuationSeparator" w:id="0">
    <w:p w14:paraId="0C989E2A" w14:textId="77777777" w:rsidR="007300D6" w:rsidRPr="00A312BC" w:rsidRDefault="007300D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2768" w14:textId="77777777" w:rsidR="007300D6" w:rsidRPr="007A0320" w:rsidRDefault="007300D6">
    <w:pPr>
      <w:pStyle w:val="Footer"/>
    </w:pPr>
    <w:r w:rsidRPr="007A0320">
      <w:rPr>
        <w:b/>
        <w:sz w:val="18"/>
      </w:rPr>
      <w:fldChar w:fldCharType="begin"/>
    </w:r>
    <w:r w:rsidRPr="007A0320">
      <w:rPr>
        <w:b/>
        <w:sz w:val="18"/>
      </w:rPr>
      <w:instrText xml:space="preserve"> PAGE  \* MERGEFORMAT </w:instrText>
    </w:r>
    <w:r w:rsidRPr="007A0320">
      <w:rPr>
        <w:b/>
        <w:sz w:val="18"/>
      </w:rPr>
      <w:fldChar w:fldCharType="separate"/>
    </w:r>
    <w:r w:rsidRPr="007A0320">
      <w:rPr>
        <w:b/>
        <w:noProof/>
        <w:sz w:val="18"/>
      </w:rPr>
      <w:t>2</w:t>
    </w:r>
    <w:r w:rsidRPr="007A0320">
      <w:rPr>
        <w:b/>
        <w:sz w:val="18"/>
      </w:rPr>
      <w:fldChar w:fldCharType="end"/>
    </w:r>
    <w:r>
      <w:rPr>
        <w:b/>
        <w:sz w:val="18"/>
      </w:rPr>
      <w:tab/>
    </w:r>
    <w:r>
      <w:t>GE.19-01988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4588" w14:textId="77777777" w:rsidR="007300D6" w:rsidRPr="007A0320" w:rsidRDefault="007300D6" w:rsidP="007A0320">
    <w:pPr>
      <w:pStyle w:val="Footer"/>
      <w:tabs>
        <w:tab w:val="clear" w:pos="9639"/>
        <w:tab w:val="right" w:pos="9638"/>
      </w:tabs>
      <w:rPr>
        <w:b/>
        <w:sz w:val="18"/>
      </w:rPr>
    </w:pPr>
    <w:r>
      <w:t>GE.19-01988</w:t>
    </w:r>
    <w:r>
      <w:tab/>
    </w:r>
    <w:r w:rsidRPr="007A0320">
      <w:rPr>
        <w:b/>
        <w:sz w:val="18"/>
      </w:rPr>
      <w:fldChar w:fldCharType="begin"/>
    </w:r>
    <w:r w:rsidRPr="007A0320">
      <w:rPr>
        <w:b/>
        <w:sz w:val="18"/>
      </w:rPr>
      <w:instrText xml:space="preserve"> PAGE  \* MERGEFORMAT </w:instrText>
    </w:r>
    <w:r w:rsidRPr="007A0320">
      <w:rPr>
        <w:b/>
        <w:sz w:val="18"/>
      </w:rPr>
      <w:fldChar w:fldCharType="separate"/>
    </w:r>
    <w:r w:rsidRPr="007A0320">
      <w:rPr>
        <w:b/>
        <w:noProof/>
        <w:sz w:val="18"/>
      </w:rPr>
      <w:t>3</w:t>
    </w:r>
    <w:r w:rsidRPr="007A03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529B" w14:textId="77777777" w:rsidR="007300D6" w:rsidRPr="007A0320" w:rsidRDefault="007300D6" w:rsidP="007A0320">
    <w:pPr>
      <w:spacing w:before="120" w:line="240" w:lineRule="auto"/>
    </w:pPr>
    <w:r>
      <w:t>GE.</w:t>
    </w:r>
    <w:r>
      <w:rPr>
        <w:b/>
        <w:noProof/>
        <w:lang w:val="fr-CH" w:eastAsia="fr-CH"/>
      </w:rPr>
      <w:drawing>
        <wp:anchor distT="0" distB="0" distL="114300" distR="114300" simplePos="0" relativeHeight="251658240" behindDoc="0" locked="0" layoutInCell="1" allowOverlap="1" wp14:anchorId="6EC180EF" wp14:editId="107C4CD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01988  (</w:t>
    </w:r>
    <w:proofErr w:type="gramEnd"/>
    <w:r>
      <w:t>R)</w:t>
    </w:r>
    <w:r>
      <w:rPr>
        <w:lang w:val="en-US"/>
      </w:rPr>
      <w:t xml:space="preserve">  160419  1</w:t>
    </w:r>
    <w:r>
      <w:t>7</w:t>
    </w:r>
    <w:r>
      <w:rPr>
        <w:lang w:val="en-US"/>
      </w:rPr>
      <w:t>0419</w:t>
    </w:r>
    <w:r>
      <w:br/>
    </w:r>
    <w:r w:rsidRPr="007A0320">
      <w:rPr>
        <w:rFonts w:ascii="C39T30Lfz" w:hAnsi="C39T30Lfz"/>
        <w:kern w:val="14"/>
        <w:sz w:val="56"/>
      </w:rPr>
      <w:t></w:t>
    </w:r>
    <w:r w:rsidRPr="007A0320">
      <w:rPr>
        <w:rFonts w:ascii="C39T30Lfz" w:hAnsi="C39T30Lfz"/>
        <w:kern w:val="14"/>
        <w:sz w:val="56"/>
      </w:rPr>
      <w:t></w:t>
    </w:r>
    <w:r w:rsidRPr="007A0320">
      <w:rPr>
        <w:rFonts w:ascii="C39T30Lfz" w:hAnsi="C39T30Lfz"/>
        <w:kern w:val="14"/>
        <w:sz w:val="56"/>
      </w:rPr>
      <w:t></w:t>
    </w:r>
    <w:r w:rsidRPr="007A0320">
      <w:rPr>
        <w:rFonts w:ascii="C39T30Lfz" w:hAnsi="C39T30Lfz"/>
        <w:kern w:val="14"/>
        <w:sz w:val="56"/>
      </w:rPr>
      <w:t></w:t>
    </w:r>
    <w:r w:rsidRPr="007A0320">
      <w:rPr>
        <w:rFonts w:ascii="C39T30Lfz" w:hAnsi="C39T30Lfz"/>
        <w:kern w:val="14"/>
        <w:sz w:val="56"/>
      </w:rPr>
      <w:t></w:t>
    </w:r>
    <w:r w:rsidRPr="007A0320">
      <w:rPr>
        <w:rFonts w:ascii="C39T30Lfz" w:hAnsi="C39T30Lfz"/>
        <w:kern w:val="14"/>
        <w:sz w:val="56"/>
      </w:rPr>
      <w:t></w:t>
    </w:r>
    <w:r w:rsidRPr="007A0320">
      <w:rPr>
        <w:rFonts w:ascii="C39T30Lfz" w:hAnsi="C39T30Lfz"/>
        <w:kern w:val="14"/>
        <w:sz w:val="56"/>
      </w:rPr>
      <w:t></w:t>
    </w:r>
    <w:r w:rsidRPr="007A0320">
      <w:rPr>
        <w:rFonts w:ascii="C39T30Lfz" w:hAnsi="C39T30Lfz"/>
        <w:kern w:val="14"/>
        <w:sz w:val="56"/>
      </w:rPr>
      <w:t></w:t>
    </w:r>
    <w:r w:rsidRPr="007A0320">
      <w:rPr>
        <w:rFonts w:ascii="C39T30Lfz" w:hAnsi="C39T30Lfz"/>
        <w:kern w:val="14"/>
        <w:sz w:val="56"/>
      </w:rPr>
      <w:t></w:t>
    </w:r>
    <w:r>
      <w:rPr>
        <w:noProof/>
      </w:rPr>
      <w:drawing>
        <wp:anchor distT="0" distB="0" distL="114300" distR="114300" simplePos="0" relativeHeight="251659264" behindDoc="0" locked="0" layoutInCell="1" allowOverlap="1" wp14:anchorId="0B9C5289" wp14:editId="07170C5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7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7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8417" w14:textId="77777777" w:rsidR="007300D6" w:rsidRPr="001075E9" w:rsidRDefault="007300D6" w:rsidP="001075E9">
      <w:pPr>
        <w:tabs>
          <w:tab w:val="right" w:pos="2155"/>
        </w:tabs>
        <w:spacing w:after="80" w:line="240" w:lineRule="auto"/>
        <w:ind w:left="680"/>
        <w:rPr>
          <w:u w:val="single"/>
        </w:rPr>
      </w:pPr>
      <w:r>
        <w:rPr>
          <w:u w:val="single"/>
        </w:rPr>
        <w:tab/>
      </w:r>
    </w:p>
  </w:footnote>
  <w:footnote w:type="continuationSeparator" w:id="0">
    <w:p w14:paraId="521B02E7" w14:textId="77777777" w:rsidR="007300D6" w:rsidRDefault="007300D6" w:rsidP="00407B78">
      <w:pPr>
        <w:tabs>
          <w:tab w:val="right" w:pos="2155"/>
        </w:tabs>
        <w:spacing w:after="80"/>
        <w:ind w:left="680"/>
        <w:rPr>
          <w:u w:val="single"/>
        </w:rPr>
      </w:pPr>
      <w:r>
        <w:rPr>
          <w:u w:val="single"/>
        </w:rPr>
        <w:tab/>
      </w:r>
    </w:p>
  </w:footnote>
  <w:footnote w:id="1">
    <w:p w14:paraId="1A422746" w14:textId="77777777" w:rsidR="007300D6" w:rsidRPr="00363108" w:rsidRDefault="007300D6" w:rsidP="007A0320">
      <w:pPr>
        <w:pStyle w:val="FootnoteText"/>
        <w:spacing w:after="240"/>
      </w:pPr>
      <w:r>
        <w:tab/>
      </w:r>
      <w:r w:rsidRPr="00EE6C08">
        <w:t>*</w:t>
      </w:r>
      <w:r>
        <w:tab/>
        <w:t>Распространено на немецком языке Центральной</w:t>
      </w:r>
      <w:r w:rsidRPr="00EE6C08">
        <w:t xml:space="preserve"> </w:t>
      </w:r>
      <w:r>
        <w:t>комиссией судоходства по Рейну</w:t>
      </w:r>
      <w:r>
        <w:br/>
        <w:t>под условным обозначением CCNR/ZKR/ADN/WP.15/AC.2/70.</w:t>
      </w:r>
    </w:p>
  </w:footnote>
  <w:footnote w:id="2">
    <w:p w14:paraId="76E979F3" w14:textId="77777777" w:rsidR="007300D6" w:rsidRPr="00363108" w:rsidRDefault="007300D6" w:rsidP="007A0320">
      <w:pPr>
        <w:pStyle w:val="FootnoteText"/>
      </w:pPr>
      <w:r>
        <w:tab/>
      </w:r>
      <w:r>
        <w:rPr>
          <w:rStyle w:val="FootnoteReference"/>
        </w:rPr>
        <w:footnoteRef/>
      </w:r>
      <w:r>
        <w:tab/>
      </w:r>
      <w:hyperlink r:id="rId1" w:history="1">
        <w:r w:rsidRPr="003C7B10">
          <w:rPr>
            <w:rStyle w:val="Hyperlink"/>
            <w:color w:val="000000" w:themeColor="text1"/>
          </w:rPr>
          <w:t>http://www.unece.org/index.php?id=49440</w:t>
        </w:r>
      </w:hyperlink>
      <w:r w:rsidRPr="003C7B10">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FBEE" w14:textId="20597AD1" w:rsidR="007300D6" w:rsidRPr="007A0320" w:rsidRDefault="007300D6">
    <w:pPr>
      <w:pStyle w:val="Header"/>
    </w:pPr>
    <w:fldSimple w:instr=" TITLE  \* MERGEFORMAT ">
      <w:r w:rsidR="00254DE0">
        <w:t>ECE/TRANS/WP.15/AC.2/70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F3A8" w14:textId="0246ECC3" w:rsidR="007300D6" w:rsidRPr="007A0320" w:rsidRDefault="007300D6" w:rsidP="007A0320">
    <w:pPr>
      <w:pStyle w:val="Header"/>
      <w:jc w:val="right"/>
    </w:pPr>
    <w:fldSimple w:instr=" TITLE  \* MERGEFORMAT ">
      <w:r w:rsidR="00254DE0">
        <w:t>ECE/TRANS/WP.15/AC.2/70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B3517"/>
    <w:multiLevelType w:val="hybridMultilevel"/>
    <w:tmpl w:val="BE660092"/>
    <w:lvl w:ilvl="0" w:tplc="0422FAF8">
      <w:start w:val="1"/>
      <w:numFmt w:val="upperRoman"/>
      <w:lvlText w:val="%1."/>
      <w:lvlJc w:val="left"/>
      <w:pPr>
        <w:ind w:left="1455" w:hanging="72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4"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14989"/>
    <w:multiLevelType w:val="multilevel"/>
    <w:tmpl w:val="E5102DA0"/>
    <w:lvl w:ilvl="0">
      <w:start w:val="1"/>
      <w:numFmt w:val="decimal"/>
      <w:lvlText w:val="%1."/>
      <w:lvlJc w:val="left"/>
      <w:pPr>
        <w:ind w:left="1927" w:hanging="360"/>
      </w:pPr>
      <w:rPr>
        <w:rFonts w:ascii="Times New Roman" w:eastAsia="Times New Roman" w:hAnsi="Times New Roman" w:cs="Times New Roman"/>
      </w:rPr>
    </w:lvl>
    <w:lvl w:ilvl="1">
      <w:start w:val="1"/>
      <w:numFmt w:val="lowerLetter"/>
      <w:lvlText w:val="%2."/>
      <w:lvlJc w:val="left"/>
      <w:pPr>
        <w:ind w:left="2647" w:hanging="360"/>
      </w:pPr>
    </w:lvl>
    <w:lvl w:ilvl="2">
      <w:start w:val="1"/>
      <w:numFmt w:val="lowerRoman"/>
      <w:lvlText w:val="%3."/>
      <w:lvlJc w:val="right"/>
      <w:pPr>
        <w:ind w:left="3367" w:hanging="180"/>
      </w:pPr>
    </w:lvl>
    <w:lvl w:ilvl="3">
      <w:start w:val="1"/>
      <w:numFmt w:val="decimal"/>
      <w:lvlText w:val="%4."/>
      <w:lvlJc w:val="left"/>
      <w:pPr>
        <w:ind w:left="4087" w:hanging="360"/>
      </w:pPr>
    </w:lvl>
    <w:lvl w:ilvl="4">
      <w:start w:val="1"/>
      <w:numFmt w:val="lowerLetter"/>
      <w:lvlText w:val="%5."/>
      <w:lvlJc w:val="left"/>
      <w:pPr>
        <w:ind w:left="4807" w:hanging="360"/>
      </w:pPr>
    </w:lvl>
    <w:lvl w:ilvl="5">
      <w:start w:val="1"/>
      <w:numFmt w:val="lowerRoman"/>
      <w:lvlText w:val="%6."/>
      <w:lvlJc w:val="right"/>
      <w:pPr>
        <w:ind w:left="5527" w:hanging="180"/>
      </w:pPr>
    </w:lvl>
    <w:lvl w:ilvl="6">
      <w:start w:val="1"/>
      <w:numFmt w:val="decimal"/>
      <w:lvlText w:val="%7."/>
      <w:lvlJc w:val="left"/>
      <w:pPr>
        <w:ind w:left="6247" w:hanging="360"/>
      </w:pPr>
    </w:lvl>
    <w:lvl w:ilvl="7">
      <w:start w:val="1"/>
      <w:numFmt w:val="lowerLetter"/>
      <w:lvlText w:val="%8."/>
      <w:lvlJc w:val="left"/>
      <w:pPr>
        <w:ind w:left="6967" w:hanging="360"/>
      </w:pPr>
    </w:lvl>
    <w:lvl w:ilvl="8">
      <w:start w:val="1"/>
      <w:numFmt w:val="lowerRoman"/>
      <w:lvlText w:val="%9."/>
      <w:lvlJc w:val="right"/>
      <w:pPr>
        <w:ind w:left="7687" w:hanging="18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801B1"/>
    <w:multiLevelType w:val="hybridMultilevel"/>
    <w:tmpl w:val="A3241676"/>
    <w:lvl w:ilvl="0" w:tplc="B152228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58FA33FD"/>
    <w:multiLevelType w:val="hybridMultilevel"/>
    <w:tmpl w:val="A754F5B8"/>
    <w:lvl w:ilvl="0" w:tplc="5330AA2A">
      <w:start w:val="1"/>
      <w:numFmt w:val="decimal"/>
      <w:lvlText w:val="%1."/>
      <w:lvlJc w:val="left"/>
      <w:pPr>
        <w:ind w:left="1927" w:hanging="360"/>
      </w:pPr>
      <w:rPr>
        <w:rFonts w:ascii="Times New Roman" w:eastAsia="Times New Roman" w:hAnsi="Times New Roman" w:cs="Times New Roman"/>
      </w:rPr>
    </w:lvl>
    <w:lvl w:ilvl="1" w:tplc="08090019" w:tentative="1">
      <w:start w:val="1"/>
      <w:numFmt w:val="lowerLetter"/>
      <w:lvlText w:val="%2."/>
      <w:lvlJc w:val="left"/>
      <w:pPr>
        <w:ind w:left="2647" w:hanging="360"/>
      </w:pPr>
    </w:lvl>
    <w:lvl w:ilvl="2" w:tplc="0809001B" w:tentative="1">
      <w:start w:val="1"/>
      <w:numFmt w:val="lowerRoman"/>
      <w:lvlText w:val="%3."/>
      <w:lvlJc w:val="right"/>
      <w:pPr>
        <w:ind w:left="3367" w:hanging="180"/>
      </w:pPr>
    </w:lvl>
    <w:lvl w:ilvl="3" w:tplc="0809000F" w:tentative="1">
      <w:start w:val="1"/>
      <w:numFmt w:val="decimal"/>
      <w:lvlText w:val="%4."/>
      <w:lvlJc w:val="left"/>
      <w:pPr>
        <w:ind w:left="4087" w:hanging="360"/>
      </w:pPr>
    </w:lvl>
    <w:lvl w:ilvl="4" w:tplc="08090019" w:tentative="1">
      <w:start w:val="1"/>
      <w:numFmt w:val="lowerLetter"/>
      <w:lvlText w:val="%5."/>
      <w:lvlJc w:val="left"/>
      <w:pPr>
        <w:ind w:left="4807" w:hanging="360"/>
      </w:pPr>
    </w:lvl>
    <w:lvl w:ilvl="5" w:tplc="0809001B" w:tentative="1">
      <w:start w:val="1"/>
      <w:numFmt w:val="lowerRoman"/>
      <w:lvlText w:val="%6."/>
      <w:lvlJc w:val="right"/>
      <w:pPr>
        <w:ind w:left="5527" w:hanging="180"/>
      </w:pPr>
    </w:lvl>
    <w:lvl w:ilvl="6" w:tplc="0809000F" w:tentative="1">
      <w:start w:val="1"/>
      <w:numFmt w:val="decimal"/>
      <w:lvlText w:val="%7."/>
      <w:lvlJc w:val="left"/>
      <w:pPr>
        <w:ind w:left="6247" w:hanging="360"/>
      </w:pPr>
    </w:lvl>
    <w:lvl w:ilvl="7" w:tplc="08090019" w:tentative="1">
      <w:start w:val="1"/>
      <w:numFmt w:val="lowerLetter"/>
      <w:lvlText w:val="%8."/>
      <w:lvlJc w:val="left"/>
      <w:pPr>
        <w:ind w:left="6967" w:hanging="360"/>
      </w:pPr>
    </w:lvl>
    <w:lvl w:ilvl="8" w:tplc="0809001B" w:tentative="1">
      <w:start w:val="1"/>
      <w:numFmt w:val="lowerRoman"/>
      <w:lvlText w:val="%9."/>
      <w:lvlJc w:val="right"/>
      <w:pPr>
        <w:ind w:left="7687" w:hanging="180"/>
      </w:pPr>
    </w:lvl>
  </w:abstractNum>
  <w:abstractNum w:abstractNumId="21"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440053E"/>
    <w:multiLevelType w:val="hybridMultilevel"/>
    <w:tmpl w:val="E5102DA0"/>
    <w:lvl w:ilvl="0" w:tplc="D0A625C8">
      <w:start w:val="1"/>
      <w:numFmt w:val="decimal"/>
      <w:lvlText w:val="%1."/>
      <w:lvlJc w:val="left"/>
      <w:pPr>
        <w:ind w:left="1927" w:hanging="360"/>
      </w:pPr>
      <w:rPr>
        <w:rFonts w:ascii="Times New Roman" w:eastAsia="Times New Roman" w:hAnsi="Times New Roman" w:cs="Times New Roman"/>
      </w:rPr>
    </w:lvl>
    <w:lvl w:ilvl="1" w:tplc="08090019" w:tentative="1">
      <w:start w:val="1"/>
      <w:numFmt w:val="lowerLetter"/>
      <w:lvlText w:val="%2."/>
      <w:lvlJc w:val="left"/>
      <w:pPr>
        <w:ind w:left="2647" w:hanging="360"/>
      </w:pPr>
    </w:lvl>
    <w:lvl w:ilvl="2" w:tplc="0809001B" w:tentative="1">
      <w:start w:val="1"/>
      <w:numFmt w:val="lowerRoman"/>
      <w:lvlText w:val="%3."/>
      <w:lvlJc w:val="right"/>
      <w:pPr>
        <w:ind w:left="3367" w:hanging="180"/>
      </w:pPr>
    </w:lvl>
    <w:lvl w:ilvl="3" w:tplc="0809000F" w:tentative="1">
      <w:start w:val="1"/>
      <w:numFmt w:val="decimal"/>
      <w:lvlText w:val="%4."/>
      <w:lvlJc w:val="left"/>
      <w:pPr>
        <w:ind w:left="4087" w:hanging="360"/>
      </w:pPr>
    </w:lvl>
    <w:lvl w:ilvl="4" w:tplc="08090019" w:tentative="1">
      <w:start w:val="1"/>
      <w:numFmt w:val="lowerLetter"/>
      <w:lvlText w:val="%5."/>
      <w:lvlJc w:val="left"/>
      <w:pPr>
        <w:ind w:left="4807" w:hanging="360"/>
      </w:pPr>
    </w:lvl>
    <w:lvl w:ilvl="5" w:tplc="0809001B" w:tentative="1">
      <w:start w:val="1"/>
      <w:numFmt w:val="lowerRoman"/>
      <w:lvlText w:val="%6."/>
      <w:lvlJc w:val="right"/>
      <w:pPr>
        <w:ind w:left="5527" w:hanging="180"/>
      </w:pPr>
    </w:lvl>
    <w:lvl w:ilvl="6" w:tplc="0809000F" w:tentative="1">
      <w:start w:val="1"/>
      <w:numFmt w:val="decimal"/>
      <w:lvlText w:val="%7."/>
      <w:lvlJc w:val="left"/>
      <w:pPr>
        <w:ind w:left="6247" w:hanging="360"/>
      </w:pPr>
    </w:lvl>
    <w:lvl w:ilvl="7" w:tplc="08090019" w:tentative="1">
      <w:start w:val="1"/>
      <w:numFmt w:val="lowerLetter"/>
      <w:lvlText w:val="%8."/>
      <w:lvlJc w:val="left"/>
      <w:pPr>
        <w:ind w:left="6967" w:hanging="360"/>
      </w:pPr>
    </w:lvl>
    <w:lvl w:ilvl="8" w:tplc="0809001B" w:tentative="1">
      <w:start w:val="1"/>
      <w:numFmt w:val="lowerRoman"/>
      <w:lvlText w:val="%9."/>
      <w:lvlJc w:val="right"/>
      <w:pPr>
        <w:ind w:left="7687" w:hanging="180"/>
      </w:p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0"/>
  </w:num>
  <w:num w:numId="4">
    <w:abstractNumId w:val="26"/>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8"/>
  </w:num>
  <w:num w:numId="18">
    <w:abstractNumId w:val="22"/>
  </w:num>
  <w:num w:numId="19">
    <w:abstractNumId w:val="24"/>
  </w:num>
  <w:num w:numId="20">
    <w:abstractNumId w:val="18"/>
  </w:num>
  <w:num w:numId="21">
    <w:abstractNumId w:val="22"/>
  </w:num>
  <w:num w:numId="22">
    <w:abstractNumId w:val="23"/>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28"/>
  </w:num>
  <w:num w:numId="24">
    <w:abstractNumId w:val="19"/>
    <w:lvlOverride w:ilvl="0">
      <w:lvl w:ilvl="0" w:tplc="B1522284">
        <w:start w:val="1"/>
        <w:numFmt w:val="upperLetter"/>
        <w:lvlText w:val="%1."/>
        <w:lvlJc w:val="left"/>
        <w:pPr>
          <w:ind w:left="1500" w:hanging="360"/>
        </w:pPr>
        <w:rPr>
          <w:rFonts w:hint="default"/>
        </w:rPr>
      </w:lvl>
    </w:lvlOverride>
  </w:num>
  <w:num w:numId="25">
    <w:abstractNumId w:val="20"/>
  </w:num>
  <w:num w:numId="26">
    <w:abstractNumId w:val="27"/>
  </w:num>
  <w:num w:numId="27">
    <w:abstractNumId w:val="16"/>
  </w:num>
  <w:num w:numId="28">
    <w:abstractNumId w:val="12"/>
  </w:num>
  <w:num w:numId="29">
    <w:abstractNumId w:val="15"/>
  </w:num>
  <w:num w:numId="30">
    <w:abstractNumId w:val="11"/>
  </w:num>
  <w:num w:numId="31">
    <w:abstractNumId w:val="14"/>
  </w:num>
  <w:num w:numId="32">
    <w:abstractNumId w:val="13"/>
  </w:num>
  <w:num w:numId="3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C7"/>
    <w:rsid w:val="00033EE1"/>
    <w:rsid w:val="00042B72"/>
    <w:rsid w:val="000558BD"/>
    <w:rsid w:val="000B57E7"/>
    <w:rsid w:val="000B6373"/>
    <w:rsid w:val="000D0C55"/>
    <w:rsid w:val="000E4E5B"/>
    <w:rsid w:val="000F09DF"/>
    <w:rsid w:val="000F61B2"/>
    <w:rsid w:val="001075E9"/>
    <w:rsid w:val="0014152F"/>
    <w:rsid w:val="00180183"/>
    <w:rsid w:val="0018024D"/>
    <w:rsid w:val="0018649F"/>
    <w:rsid w:val="00196389"/>
    <w:rsid w:val="001B3EF6"/>
    <w:rsid w:val="001C028C"/>
    <w:rsid w:val="001C7A89"/>
    <w:rsid w:val="001F4443"/>
    <w:rsid w:val="00226B70"/>
    <w:rsid w:val="00254DE0"/>
    <w:rsid w:val="00255343"/>
    <w:rsid w:val="002579C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521E"/>
    <w:rsid w:val="00381C24"/>
    <w:rsid w:val="00387CD4"/>
    <w:rsid w:val="003958D0"/>
    <w:rsid w:val="003A0D43"/>
    <w:rsid w:val="003A48CE"/>
    <w:rsid w:val="003B00E5"/>
    <w:rsid w:val="003C7B10"/>
    <w:rsid w:val="003E0B46"/>
    <w:rsid w:val="003E7431"/>
    <w:rsid w:val="00407B78"/>
    <w:rsid w:val="00423B5A"/>
    <w:rsid w:val="00424203"/>
    <w:rsid w:val="00452493"/>
    <w:rsid w:val="00453318"/>
    <w:rsid w:val="00454AF2"/>
    <w:rsid w:val="00454E07"/>
    <w:rsid w:val="00472C5C"/>
    <w:rsid w:val="004B1F26"/>
    <w:rsid w:val="004C33A1"/>
    <w:rsid w:val="004E05B7"/>
    <w:rsid w:val="0050108D"/>
    <w:rsid w:val="00513081"/>
    <w:rsid w:val="00517901"/>
    <w:rsid w:val="00526683"/>
    <w:rsid w:val="00535589"/>
    <w:rsid w:val="005600BF"/>
    <w:rsid w:val="005639C1"/>
    <w:rsid w:val="005709E0"/>
    <w:rsid w:val="00572E19"/>
    <w:rsid w:val="005961C8"/>
    <w:rsid w:val="005966F1"/>
    <w:rsid w:val="005B04FA"/>
    <w:rsid w:val="005D7914"/>
    <w:rsid w:val="005E2B41"/>
    <w:rsid w:val="005F0B42"/>
    <w:rsid w:val="00617A43"/>
    <w:rsid w:val="006345DB"/>
    <w:rsid w:val="00640F49"/>
    <w:rsid w:val="00680D03"/>
    <w:rsid w:val="00681A10"/>
    <w:rsid w:val="00690F9B"/>
    <w:rsid w:val="006A1ED8"/>
    <w:rsid w:val="006C2031"/>
    <w:rsid w:val="006D461A"/>
    <w:rsid w:val="006E1001"/>
    <w:rsid w:val="006F35EE"/>
    <w:rsid w:val="007021FF"/>
    <w:rsid w:val="00712895"/>
    <w:rsid w:val="00721E1F"/>
    <w:rsid w:val="007300D6"/>
    <w:rsid w:val="00734ACB"/>
    <w:rsid w:val="00757357"/>
    <w:rsid w:val="00771504"/>
    <w:rsid w:val="00792497"/>
    <w:rsid w:val="007977C7"/>
    <w:rsid w:val="007A0320"/>
    <w:rsid w:val="007C1E58"/>
    <w:rsid w:val="007F4A18"/>
    <w:rsid w:val="00805184"/>
    <w:rsid w:val="00806737"/>
    <w:rsid w:val="00825F8D"/>
    <w:rsid w:val="00834B71"/>
    <w:rsid w:val="0086445C"/>
    <w:rsid w:val="00894693"/>
    <w:rsid w:val="008A08D7"/>
    <w:rsid w:val="008A37C8"/>
    <w:rsid w:val="008B6909"/>
    <w:rsid w:val="008D53B6"/>
    <w:rsid w:val="008E6A2B"/>
    <w:rsid w:val="008F7609"/>
    <w:rsid w:val="00906890"/>
    <w:rsid w:val="00911BE4"/>
    <w:rsid w:val="00951972"/>
    <w:rsid w:val="009608F3"/>
    <w:rsid w:val="009A24AC"/>
    <w:rsid w:val="009C59D7"/>
    <w:rsid w:val="009C6FE6"/>
    <w:rsid w:val="009D7E7D"/>
    <w:rsid w:val="00A058DA"/>
    <w:rsid w:val="00A14DA8"/>
    <w:rsid w:val="00A24308"/>
    <w:rsid w:val="00A312BC"/>
    <w:rsid w:val="00A84021"/>
    <w:rsid w:val="00A84D35"/>
    <w:rsid w:val="00A917B3"/>
    <w:rsid w:val="00AB4B51"/>
    <w:rsid w:val="00B10CC7"/>
    <w:rsid w:val="00B32D36"/>
    <w:rsid w:val="00B36DF7"/>
    <w:rsid w:val="00B539E7"/>
    <w:rsid w:val="00B62458"/>
    <w:rsid w:val="00B72598"/>
    <w:rsid w:val="00BC18B2"/>
    <w:rsid w:val="00BD33EE"/>
    <w:rsid w:val="00BE1CC7"/>
    <w:rsid w:val="00C106D6"/>
    <w:rsid w:val="00C119AE"/>
    <w:rsid w:val="00C46B23"/>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658D9"/>
    <w:rsid w:val="00E6649C"/>
    <w:rsid w:val="00E73F76"/>
    <w:rsid w:val="00E8363D"/>
    <w:rsid w:val="00EA2C9F"/>
    <w:rsid w:val="00EA420E"/>
    <w:rsid w:val="00ED0BDA"/>
    <w:rsid w:val="00EE142A"/>
    <w:rsid w:val="00EF1360"/>
    <w:rsid w:val="00EF3220"/>
    <w:rsid w:val="00F2523A"/>
    <w:rsid w:val="00F43903"/>
    <w:rsid w:val="00F56EF3"/>
    <w:rsid w:val="00F94155"/>
    <w:rsid w:val="00F9783F"/>
    <w:rsid w:val="00FD2EF7"/>
    <w:rsid w:val="00FD6E53"/>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4DC863"/>
  <w15:docId w15:val="{0DD6F13B-BEB7-4FDA-89CF-15B31DF3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link w:val="Heading7Char"/>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customStyle="1" w:styleId="Heading2Char">
    <w:name w:val="Heading 2 Char"/>
    <w:basedOn w:val="DefaultParagraphFont"/>
    <w:link w:val="Heading2"/>
    <w:rsid w:val="007A0320"/>
    <w:rPr>
      <w:rFonts w:eastAsiaTheme="minorHAnsi" w:cs="Arial"/>
      <w:bCs/>
      <w:iCs/>
      <w:szCs w:val="28"/>
      <w:lang w:val="ru-RU" w:eastAsia="en-US"/>
    </w:rPr>
  </w:style>
  <w:style w:type="character" w:customStyle="1" w:styleId="Heading3Char">
    <w:name w:val="Heading 3 Char"/>
    <w:basedOn w:val="DefaultParagraphFont"/>
    <w:link w:val="Heading3"/>
    <w:rsid w:val="007A0320"/>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7A0320"/>
    <w:rPr>
      <w:rFonts w:eastAsiaTheme="minorHAnsi" w:cstheme="minorBidi"/>
      <w:b/>
      <w:bCs/>
      <w:sz w:val="28"/>
      <w:szCs w:val="28"/>
      <w:lang w:val="ru-RU" w:eastAsia="en-US"/>
    </w:rPr>
  </w:style>
  <w:style w:type="character" w:customStyle="1" w:styleId="Heading5Char">
    <w:name w:val="Heading 5 Char"/>
    <w:basedOn w:val="DefaultParagraphFont"/>
    <w:link w:val="Heading5"/>
    <w:rsid w:val="007A0320"/>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7A0320"/>
    <w:rPr>
      <w:rFonts w:eastAsiaTheme="minorHAnsi" w:cstheme="minorBidi"/>
      <w:b/>
      <w:bCs/>
      <w:sz w:val="22"/>
      <w:szCs w:val="22"/>
      <w:lang w:val="ru-RU" w:eastAsia="en-US"/>
    </w:rPr>
  </w:style>
  <w:style w:type="character" w:customStyle="1" w:styleId="Heading7Char">
    <w:name w:val="Heading 7 Char"/>
    <w:basedOn w:val="DefaultParagraphFont"/>
    <w:link w:val="Heading7"/>
    <w:rsid w:val="007A0320"/>
    <w:rPr>
      <w:rFonts w:eastAsiaTheme="minorHAnsi" w:cstheme="minorBidi"/>
      <w:sz w:val="24"/>
      <w:szCs w:val="24"/>
      <w:lang w:val="ru-RU" w:eastAsia="en-US"/>
    </w:rPr>
  </w:style>
  <w:style w:type="character" w:customStyle="1" w:styleId="Heading8Char">
    <w:name w:val="Heading 8 Char"/>
    <w:basedOn w:val="DefaultParagraphFont"/>
    <w:link w:val="Heading8"/>
    <w:rsid w:val="007A0320"/>
    <w:rPr>
      <w:rFonts w:eastAsiaTheme="minorHAnsi" w:cstheme="minorBidi"/>
      <w:i/>
      <w:iCs/>
      <w:sz w:val="24"/>
      <w:szCs w:val="24"/>
      <w:lang w:val="ru-RU" w:eastAsia="en-US"/>
    </w:rPr>
  </w:style>
  <w:style w:type="character" w:customStyle="1" w:styleId="Heading9Char">
    <w:name w:val="Heading 9 Char"/>
    <w:basedOn w:val="DefaultParagraphFont"/>
    <w:link w:val="Heading9"/>
    <w:rsid w:val="007A0320"/>
    <w:rPr>
      <w:rFonts w:ascii="Arial" w:eastAsiaTheme="minorHAnsi" w:hAnsi="Arial" w:cs="Arial"/>
      <w:sz w:val="22"/>
      <w:szCs w:val="22"/>
      <w:lang w:val="ru-RU" w:eastAsia="en-US"/>
    </w:rPr>
  </w:style>
  <w:style w:type="paragraph" w:styleId="BalloonText">
    <w:name w:val="Balloon Text"/>
    <w:basedOn w:val="Normal"/>
    <w:link w:val="BalloonTextChar"/>
    <w:uiPriority w:val="99"/>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character" w:customStyle="1" w:styleId="HChGChar">
    <w:name w:val="_ H _Ch_G Char"/>
    <w:link w:val="HChG"/>
    <w:rsid w:val="007A0320"/>
    <w:rPr>
      <w:b/>
      <w:sz w:val="28"/>
      <w:lang w:val="ru-RU"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character" w:customStyle="1" w:styleId="H23GChar">
    <w:name w:val="_ H_2/3_G Char"/>
    <w:link w:val="H23G"/>
    <w:rsid w:val="007A0320"/>
    <w:rPr>
      <w:b/>
      <w:lang w:val="ru-RU"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character" w:customStyle="1" w:styleId="SingleTxtGChar">
    <w:name w:val="_ Single Txt_G Char"/>
    <w:link w:val="SingleTxtG"/>
    <w:qFormat/>
    <w:rsid w:val="007A0320"/>
    <w:rPr>
      <w:lang w:val="ru-RU" w:eastAsia="en-US"/>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ListParagraph">
    <w:name w:val="List Paragraph"/>
    <w:basedOn w:val="Normal"/>
    <w:uiPriority w:val="34"/>
    <w:qFormat/>
    <w:rsid w:val="007A0320"/>
    <w:pPr>
      <w:ind w:left="720"/>
      <w:contextualSpacing/>
    </w:pPr>
    <w:rPr>
      <w:rFonts w:eastAsia="Times New Roman" w:cs="Times New Roman"/>
      <w:szCs w:val="20"/>
      <w:lang w:val="en-GB"/>
    </w:rPr>
  </w:style>
  <w:style w:type="character" w:customStyle="1" w:styleId="CommentTextChar">
    <w:name w:val="Comment Text Char"/>
    <w:basedOn w:val="DefaultParagraphFont"/>
    <w:link w:val="CommentText"/>
    <w:uiPriority w:val="99"/>
    <w:semiHidden/>
    <w:rsid w:val="007A0320"/>
    <w:rPr>
      <w:lang w:val="en-GB" w:eastAsia="en-US"/>
    </w:rPr>
  </w:style>
  <w:style w:type="paragraph" w:styleId="CommentText">
    <w:name w:val="annotation text"/>
    <w:basedOn w:val="Normal"/>
    <w:link w:val="CommentTextChar"/>
    <w:uiPriority w:val="99"/>
    <w:semiHidden/>
    <w:unhideWhenUsed/>
    <w:rsid w:val="007A0320"/>
    <w:pPr>
      <w:spacing w:line="240" w:lineRule="auto"/>
    </w:pPr>
    <w:rPr>
      <w:rFonts w:eastAsia="Times New Roman" w:cs="Times New Roman"/>
      <w:szCs w:val="20"/>
      <w:lang w:val="en-GB"/>
    </w:rPr>
  </w:style>
  <w:style w:type="character" w:customStyle="1" w:styleId="CommentSubjectChar">
    <w:name w:val="Comment Subject Char"/>
    <w:basedOn w:val="CommentTextChar"/>
    <w:link w:val="CommentSubject"/>
    <w:uiPriority w:val="99"/>
    <w:semiHidden/>
    <w:rsid w:val="007A0320"/>
    <w:rPr>
      <w:b/>
      <w:bCs/>
      <w:lang w:val="en-GB" w:eastAsia="en-US"/>
    </w:rPr>
  </w:style>
  <w:style w:type="paragraph" w:styleId="CommentSubject">
    <w:name w:val="annotation subject"/>
    <w:basedOn w:val="CommentText"/>
    <w:next w:val="CommentText"/>
    <w:link w:val="CommentSubjectChar"/>
    <w:uiPriority w:val="99"/>
    <w:semiHidden/>
    <w:unhideWhenUsed/>
    <w:rsid w:val="007A0320"/>
    <w:rPr>
      <w:b/>
      <w:bCs/>
    </w:rPr>
  </w:style>
  <w:style w:type="character" w:styleId="UnresolvedMention">
    <w:name w:val="Unresolved Mention"/>
    <w:basedOn w:val="DefaultParagraphFont"/>
    <w:uiPriority w:val="99"/>
    <w:semiHidden/>
    <w:unhideWhenUsed/>
    <w:rsid w:val="007A0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ru/http://www.unece.org/index.php?id=494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9275</Words>
  <Characters>52871</Characters>
  <Application>Microsoft Office Word</Application>
  <DocSecurity>0</DocSecurity>
  <Lines>440</Lines>
  <Paragraphs>124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ECE/TRANS/WP.15/AC.2/70</vt:lpstr>
      <vt:lpstr>ECE/TRANS/WP.15/AC.2/70</vt:lpstr>
      <vt:lpstr>A/</vt:lpstr>
    </vt:vector>
  </TitlesOfParts>
  <Company>DCM</Company>
  <LinksUpToDate>false</LinksUpToDate>
  <CharactersWithSpaces>62022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ECE/TRANS/WP.15/AC.2/70</dc:title>
  <dc:subject/>
  <dc:creator>Anna KISSELEVA</dc:creator>
  <cp:keywords/>
  <cp:lastModifiedBy>Marie-Claude Collet</cp:lastModifiedBy>
  <cp:revision>3</cp:revision>
  <cp:lastPrinted>2019-05-21T12:21:00Z</cp:lastPrinted>
  <dcterms:created xsi:type="dcterms:W3CDTF">2019-05-21T12:20:00Z</dcterms:created>
  <dcterms:modified xsi:type="dcterms:W3CDTF">2019-05-21T12:21:00Z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