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119"/>
        <w:gridCol w:w="2976"/>
      </w:tblGrid>
      <w:tr w:rsidR="00F1616D" w:rsidRPr="003134DF">
        <w:trPr>
          <w:cantSplit/>
          <w:trHeight w:hRule="exact" w:val="851"/>
        </w:trPr>
        <w:tc>
          <w:tcPr>
            <w:tcW w:w="1276" w:type="dxa"/>
            <w:tcBorders>
              <w:bottom w:val="single" w:sz="4" w:space="0" w:color="auto"/>
            </w:tcBorders>
            <w:vAlign w:val="bottom"/>
          </w:tcPr>
          <w:p w:rsidR="00F1616D" w:rsidRPr="003134DF" w:rsidRDefault="00F1616D">
            <w:pPr>
              <w:spacing w:after="80"/>
            </w:pPr>
          </w:p>
        </w:tc>
        <w:tc>
          <w:tcPr>
            <w:tcW w:w="2268" w:type="dxa"/>
            <w:tcBorders>
              <w:bottom w:val="single" w:sz="4" w:space="0" w:color="auto"/>
            </w:tcBorders>
            <w:vAlign w:val="bottom"/>
          </w:tcPr>
          <w:p w:rsidR="00F1616D" w:rsidRPr="003134DF" w:rsidRDefault="00F1616D">
            <w:pPr>
              <w:spacing w:after="80" w:line="300" w:lineRule="exact"/>
              <w:rPr>
                <w:b/>
                <w:sz w:val="24"/>
                <w:szCs w:val="24"/>
              </w:rPr>
            </w:pPr>
            <w:r w:rsidRPr="003134DF">
              <w:rPr>
                <w:sz w:val="28"/>
                <w:szCs w:val="28"/>
              </w:rPr>
              <w:t>United Nations</w:t>
            </w:r>
          </w:p>
        </w:tc>
        <w:tc>
          <w:tcPr>
            <w:tcW w:w="6095" w:type="dxa"/>
            <w:gridSpan w:val="2"/>
            <w:tcBorders>
              <w:bottom w:val="single" w:sz="4" w:space="0" w:color="auto"/>
            </w:tcBorders>
            <w:vAlign w:val="bottom"/>
          </w:tcPr>
          <w:p w:rsidR="00F1616D" w:rsidRPr="003134DF" w:rsidRDefault="00253571" w:rsidP="005428F0">
            <w:pPr>
              <w:suppressAutoHyphens w:val="0"/>
              <w:spacing w:after="20"/>
              <w:jc w:val="right"/>
            </w:pPr>
            <w:r w:rsidRPr="003134DF">
              <w:rPr>
                <w:sz w:val="40"/>
              </w:rPr>
              <w:t>ECE</w:t>
            </w:r>
            <w:r w:rsidRPr="003134DF">
              <w:t>/TRANS/WP</w:t>
            </w:r>
            <w:r w:rsidR="005C467F" w:rsidRPr="003134DF">
              <w:t>.</w:t>
            </w:r>
            <w:r w:rsidRPr="003134DF">
              <w:t>15/AC</w:t>
            </w:r>
            <w:r w:rsidR="005C467F" w:rsidRPr="003134DF">
              <w:t>.</w:t>
            </w:r>
            <w:r w:rsidR="009C73FE">
              <w:t>2/201</w:t>
            </w:r>
            <w:r w:rsidR="00B3440F">
              <w:t>9</w:t>
            </w:r>
            <w:r w:rsidRPr="003134DF">
              <w:t>/</w:t>
            </w:r>
            <w:r w:rsidR="00DF6A08">
              <w:t>1</w:t>
            </w:r>
            <w:r w:rsidR="008B2001">
              <w:t>4</w:t>
            </w:r>
          </w:p>
        </w:tc>
      </w:tr>
      <w:tr w:rsidR="00F1616D" w:rsidRPr="00022219" w:rsidTr="00C16712">
        <w:trPr>
          <w:cantSplit/>
          <w:trHeight w:hRule="exact" w:val="2835"/>
        </w:trPr>
        <w:tc>
          <w:tcPr>
            <w:tcW w:w="1276" w:type="dxa"/>
            <w:tcBorders>
              <w:top w:val="single" w:sz="4" w:space="0" w:color="auto"/>
              <w:bottom w:val="single" w:sz="12" w:space="0" w:color="auto"/>
            </w:tcBorders>
          </w:tcPr>
          <w:p w:rsidR="00F1616D" w:rsidRPr="003134DF" w:rsidRDefault="00292C51">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6.4pt">
                  <v:imagedata r:id="rId8" o:title="_unlogo"/>
                </v:shape>
              </w:pict>
            </w:r>
          </w:p>
        </w:tc>
        <w:tc>
          <w:tcPr>
            <w:tcW w:w="5387" w:type="dxa"/>
            <w:gridSpan w:val="2"/>
            <w:tcBorders>
              <w:top w:val="single" w:sz="4" w:space="0" w:color="auto"/>
              <w:bottom w:val="single" w:sz="12" w:space="0" w:color="auto"/>
            </w:tcBorders>
          </w:tcPr>
          <w:p w:rsidR="00F1616D" w:rsidRPr="003134DF" w:rsidRDefault="00F1616D">
            <w:pPr>
              <w:spacing w:before="120" w:line="420" w:lineRule="exact"/>
              <w:rPr>
                <w:sz w:val="40"/>
                <w:szCs w:val="40"/>
              </w:rPr>
            </w:pPr>
            <w:r w:rsidRPr="003134DF">
              <w:rPr>
                <w:b/>
                <w:sz w:val="40"/>
                <w:szCs w:val="40"/>
              </w:rPr>
              <w:t>Economic and Social Council</w:t>
            </w:r>
          </w:p>
        </w:tc>
        <w:tc>
          <w:tcPr>
            <w:tcW w:w="2976" w:type="dxa"/>
            <w:tcBorders>
              <w:top w:val="single" w:sz="4" w:space="0" w:color="auto"/>
              <w:bottom w:val="single" w:sz="12" w:space="0" w:color="auto"/>
            </w:tcBorders>
          </w:tcPr>
          <w:p w:rsidR="00C16712" w:rsidRPr="00022219" w:rsidRDefault="00C16712" w:rsidP="00C16712">
            <w:pPr>
              <w:spacing w:before="240" w:line="240" w:lineRule="exact"/>
              <w:rPr>
                <w:lang w:val="fr-CH"/>
              </w:rPr>
            </w:pPr>
            <w:proofErr w:type="spellStart"/>
            <w:r w:rsidRPr="00022219">
              <w:rPr>
                <w:lang w:val="fr-CH"/>
              </w:rPr>
              <w:t>Distr</w:t>
            </w:r>
            <w:proofErr w:type="spellEnd"/>
            <w:proofErr w:type="gramStart"/>
            <w:r w:rsidRPr="00022219">
              <w:rPr>
                <w:lang w:val="fr-CH"/>
              </w:rPr>
              <w:t>.:</w:t>
            </w:r>
            <w:proofErr w:type="gramEnd"/>
            <w:r w:rsidRPr="00022219">
              <w:rPr>
                <w:lang w:val="fr-CH"/>
              </w:rPr>
              <w:t xml:space="preserve"> </w:t>
            </w:r>
            <w:r w:rsidR="007B2678">
              <w:t xml:space="preserve"> General</w:t>
            </w:r>
          </w:p>
          <w:p w:rsidR="00D41080" w:rsidRDefault="00292C51" w:rsidP="00D41080">
            <w:pPr>
              <w:spacing w:line="240" w:lineRule="exact"/>
              <w:rPr>
                <w:lang w:val="fr-CH"/>
              </w:rPr>
            </w:pPr>
            <w:r>
              <w:rPr>
                <w:lang w:val="fr-CH"/>
              </w:rPr>
              <w:t>31</w:t>
            </w:r>
            <w:r w:rsidR="00B00019">
              <w:rPr>
                <w:lang w:val="fr-CH"/>
              </w:rPr>
              <w:t xml:space="preserve"> </w:t>
            </w:r>
            <w:proofErr w:type="spellStart"/>
            <w:r w:rsidR="00B00019">
              <w:rPr>
                <w:lang w:val="fr-CH"/>
              </w:rPr>
              <w:t>October</w:t>
            </w:r>
            <w:proofErr w:type="spellEnd"/>
            <w:r w:rsidR="00D41080">
              <w:rPr>
                <w:lang w:val="fr-CH"/>
              </w:rPr>
              <w:t xml:space="preserve"> 2018</w:t>
            </w:r>
            <w:r w:rsidR="00D41080" w:rsidRPr="00022219">
              <w:rPr>
                <w:lang w:val="fr-CH"/>
              </w:rPr>
              <w:t xml:space="preserve"> </w:t>
            </w:r>
          </w:p>
          <w:p w:rsidR="00DF6A08" w:rsidRDefault="00DF6A08" w:rsidP="00D41080">
            <w:pPr>
              <w:spacing w:line="240" w:lineRule="exact"/>
              <w:rPr>
                <w:lang w:val="fr-CH"/>
              </w:rPr>
            </w:pPr>
          </w:p>
          <w:p w:rsidR="00F1616D" w:rsidRPr="00022219" w:rsidRDefault="00C16712" w:rsidP="00D41080">
            <w:pPr>
              <w:spacing w:line="240" w:lineRule="exact"/>
              <w:rPr>
                <w:lang w:val="fr-CH"/>
              </w:rPr>
            </w:pPr>
            <w:proofErr w:type="gramStart"/>
            <w:r w:rsidRPr="00022219">
              <w:rPr>
                <w:lang w:val="fr-CH"/>
              </w:rPr>
              <w:t>Original:</w:t>
            </w:r>
            <w:proofErr w:type="gramEnd"/>
            <w:r w:rsidRPr="00022219">
              <w:rPr>
                <w:lang w:val="fr-CH"/>
              </w:rPr>
              <w:t xml:space="preserve"> English</w:t>
            </w:r>
          </w:p>
        </w:tc>
      </w:tr>
    </w:tbl>
    <w:p w:rsidR="00F1616D" w:rsidRPr="003134DF" w:rsidRDefault="00F1616D">
      <w:pPr>
        <w:spacing w:before="120"/>
        <w:rPr>
          <w:b/>
          <w:sz w:val="28"/>
          <w:szCs w:val="28"/>
        </w:rPr>
      </w:pPr>
      <w:r w:rsidRPr="003134DF">
        <w:rPr>
          <w:b/>
          <w:sz w:val="28"/>
          <w:szCs w:val="28"/>
        </w:rPr>
        <w:t>Economic Commission for Europe</w:t>
      </w:r>
    </w:p>
    <w:p w:rsidR="00F1616D" w:rsidRPr="003134DF" w:rsidRDefault="00F1616D">
      <w:pPr>
        <w:spacing w:before="120"/>
        <w:rPr>
          <w:sz w:val="28"/>
          <w:szCs w:val="28"/>
        </w:rPr>
      </w:pPr>
      <w:r w:rsidRPr="003134DF">
        <w:rPr>
          <w:sz w:val="28"/>
          <w:szCs w:val="28"/>
        </w:rPr>
        <w:t>Inland Transport Committee</w:t>
      </w:r>
    </w:p>
    <w:p w:rsidR="00F1616D" w:rsidRPr="003134DF" w:rsidRDefault="00F1616D">
      <w:pPr>
        <w:spacing w:before="120"/>
        <w:rPr>
          <w:b/>
          <w:sz w:val="24"/>
          <w:szCs w:val="24"/>
        </w:rPr>
      </w:pPr>
      <w:r w:rsidRPr="003134DF">
        <w:rPr>
          <w:b/>
          <w:sz w:val="24"/>
          <w:szCs w:val="24"/>
        </w:rPr>
        <w:t>Working Party on the Transport of Dangerous Goods</w:t>
      </w:r>
    </w:p>
    <w:p w:rsidR="00F1616D" w:rsidRPr="003134DF" w:rsidRDefault="00F1616D">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rsidR="00F1616D" w:rsidRPr="003134DF" w:rsidRDefault="009C73FE">
      <w:pPr>
        <w:spacing w:before="120"/>
        <w:rPr>
          <w:b/>
        </w:rPr>
      </w:pPr>
      <w:r>
        <w:rPr>
          <w:b/>
        </w:rPr>
        <w:t>Thirty-</w:t>
      </w:r>
      <w:r w:rsidR="00B00019">
        <w:rPr>
          <w:b/>
        </w:rPr>
        <w:t>fo</w:t>
      </w:r>
      <w:r w:rsidR="00DF6A08">
        <w:rPr>
          <w:b/>
        </w:rPr>
        <w:t>u</w:t>
      </w:r>
      <w:r w:rsidR="00B00019">
        <w:rPr>
          <w:b/>
        </w:rPr>
        <w:t>rth</w:t>
      </w:r>
      <w:r w:rsidR="00F1616D" w:rsidRPr="003134DF">
        <w:rPr>
          <w:b/>
        </w:rPr>
        <w:t xml:space="preserve"> session</w:t>
      </w:r>
    </w:p>
    <w:p w:rsidR="00F1616D" w:rsidRPr="003134DF" w:rsidRDefault="00F1616D">
      <w:r w:rsidRPr="003134DF">
        <w:t>Geneva, 2</w:t>
      </w:r>
      <w:r w:rsidR="00B00019">
        <w:t>1–25 January</w:t>
      </w:r>
      <w:r w:rsidRPr="003134DF">
        <w:t xml:space="preserve"> 201</w:t>
      </w:r>
      <w:r w:rsidR="00B00019">
        <w:t>9</w:t>
      </w:r>
      <w:r w:rsidR="003C22E6">
        <w:br/>
        <w:t xml:space="preserve">Item </w:t>
      </w:r>
      <w:r w:rsidR="008B2001">
        <w:t>6</w:t>
      </w:r>
      <w:r w:rsidR="00253571" w:rsidRPr="003134DF">
        <w:t xml:space="preserve"> </w:t>
      </w:r>
      <w:r w:rsidRPr="003134DF">
        <w:t>of the provisional agenda</w:t>
      </w:r>
    </w:p>
    <w:p w:rsidR="00E302C1" w:rsidRDefault="008B2001" w:rsidP="00E302C1">
      <w:pPr>
        <w:rPr>
          <w:b/>
        </w:rPr>
      </w:pPr>
      <w:r>
        <w:rPr>
          <w:b/>
        </w:rPr>
        <w:t>Reports of informal working groups</w:t>
      </w:r>
    </w:p>
    <w:p w:rsidR="00F1616D" w:rsidRPr="003134DF" w:rsidRDefault="00F1616D" w:rsidP="00020A78">
      <w:pPr>
        <w:pStyle w:val="HChG"/>
      </w:pPr>
      <w:r w:rsidRPr="003134DF">
        <w:tab/>
      </w:r>
      <w:r w:rsidRPr="003134DF">
        <w:tab/>
      </w:r>
      <w:r w:rsidR="00FF2DB1">
        <w:t xml:space="preserve">Report of the informal working group on </w:t>
      </w:r>
      <w:r w:rsidR="004D0D16">
        <w:t>m</w:t>
      </w:r>
      <w:r w:rsidR="00FF2DB1">
        <w:t xml:space="preserve">embrane </w:t>
      </w:r>
      <w:r w:rsidR="004D0D16">
        <w:t>t</w:t>
      </w:r>
      <w:r w:rsidR="00FF2DB1">
        <w:t>anks</w:t>
      </w:r>
    </w:p>
    <w:p w:rsidR="006F496F" w:rsidRPr="006F496F" w:rsidRDefault="00F1616D" w:rsidP="006F496F">
      <w:pPr>
        <w:pStyle w:val="H1G"/>
      </w:pPr>
      <w:r w:rsidRPr="003134DF">
        <w:tab/>
      </w:r>
      <w:r w:rsidRPr="003134DF">
        <w:tab/>
      </w:r>
      <w:r w:rsidR="00FF2DB1" w:rsidRPr="003134DF">
        <w:t xml:space="preserve">Transmitted by the </w:t>
      </w:r>
      <w:r w:rsidR="004D0D16">
        <w:t>g</w:t>
      </w:r>
      <w:r w:rsidR="00FF2DB1" w:rsidRPr="003134DF">
        <w:t>o</w:t>
      </w:r>
      <w:r w:rsidR="00FF2DB1">
        <w:t>vernments of Belgium, France, Germany and the Netherlands</w:t>
      </w:r>
      <w:r w:rsidR="00FF2DB1" w:rsidRPr="00FF2DB1">
        <w:rPr>
          <w:b w:val="0"/>
          <w:bCs/>
          <w:sz w:val="20"/>
        </w:rPr>
        <w:t xml:space="preserve"> </w:t>
      </w:r>
      <w:proofErr w:type="gramStart"/>
      <w:r w:rsidR="00FF2DB1" w:rsidRPr="00FF2DB1">
        <w:rPr>
          <w:b w:val="0"/>
          <w:bCs/>
          <w:sz w:val="20"/>
        </w:rPr>
        <w:footnoteReference w:customMarkFollows="1" w:id="2"/>
        <w:t>*</w:t>
      </w:r>
      <w:r w:rsidR="00FF2DB1" w:rsidRPr="00FF2DB1">
        <w:rPr>
          <w:b w:val="0"/>
          <w:bCs/>
          <w:position w:val="6"/>
          <w:sz w:val="20"/>
        </w:rPr>
        <w:t>,</w:t>
      </w:r>
      <w:r w:rsidR="00FF2DB1" w:rsidRPr="00FF2DB1">
        <w:rPr>
          <w:b w:val="0"/>
          <w:bCs/>
          <w:sz w:val="20"/>
        </w:rPr>
        <w:footnoteReference w:customMarkFollows="1" w:id="3"/>
        <w:t>*</w:t>
      </w:r>
      <w:proofErr w:type="gramEnd"/>
      <w:r w:rsidR="00FF2DB1" w:rsidRPr="00FF2DB1">
        <w:rPr>
          <w:b w:val="0"/>
          <w:bCs/>
          <w:sz w:val="20"/>
        </w:rPr>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6F496F" w:rsidRPr="003134DF" w:rsidTr="004011F3">
        <w:trPr>
          <w:jc w:val="center"/>
        </w:trPr>
        <w:tc>
          <w:tcPr>
            <w:tcW w:w="2552" w:type="dxa"/>
          </w:tcPr>
          <w:p w:rsidR="006F496F" w:rsidRPr="003134DF" w:rsidRDefault="006F496F" w:rsidP="006F496F">
            <w:pPr>
              <w:spacing w:before="240" w:after="120"/>
              <w:ind w:left="255"/>
              <w:rPr>
                <w:b/>
              </w:rPr>
            </w:pPr>
            <w:r w:rsidRPr="006F496F">
              <w:rPr>
                <w:i/>
                <w:sz w:val="24"/>
              </w:rPr>
              <w:t>Summary</w:t>
            </w:r>
          </w:p>
        </w:tc>
        <w:tc>
          <w:tcPr>
            <w:tcW w:w="5953" w:type="dxa"/>
          </w:tcPr>
          <w:p w:rsidR="006F496F" w:rsidRDefault="006F496F" w:rsidP="006F496F">
            <w:pPr>
              <w:spacing w:before="240" w:after="120"/>
              <w:ind w:left="255"/>
              <w:rPr>
                <w:bCs/>
                <w:szCs w:val="24"/>
              </w:rPr>
            </w:pPr>
          </w:p>
        </w:tc>
      </w:tr>
      <w:tr w:rsidR="00FF2DB1" w:rsidRPr="003134DF" w:rsidTr="004011F3">
        <w:trPr>
          <w:jc w:val="center"/>
        </w:trPr>
        <w:tc>
          <w:tcPr>
            <w:tcW w:w="2552" w:type="dxa"/>
          </w:tcPr>
          <w:p w:rsidR="00FF2DB1" w:rsidRPr="003134DF" w:rsidRDefault="00FF2DB1" w:rsidP="00D3434D">
            <w:pPr>
              <w:tabs>
                <w:tab w:val="left" w:pos="284"/>
              </w:tabs>
              <w:spacing w:after="120"/>
            </w:pPr>
            <w:r w:rsidRPr="003134DF">
              <w:rPr>
                <w:b/>
              </w:rPr>
              <w:tab/>
              <w:t>Executive summary:</w:t>
            </w:r>
          </w:p>
        </w:tc>
        <w:tc>
          <w:tcPr>
            <w:tcW w:w="5953" w:type="dxa"/>
          </w:tcPr>
          <w:p w:rsidR="00FF2DB1" w:rsidRPr="003134DF" w:rsidRDefault="00FF2DB1" w:rsidP="00D3434D">
            <w:pPr>
              <w:spacing w:after="120"/>
            </w:pPr>
            <w:r>
              <w:rPr>
                <w:bCs/>
                <w:szCs w:val="24"/>
              </w:rPr>
              <w:t xml:space="preserve">The document contains the report of the third meeting of the informal working group on </w:t>
            </w:r>
            <w:r w:rsidR="004D0D16">
              <w:rPr>
                <w:bCs/>
                <w:szCs w:val="24"/>
              </w:rPr>
              <w:t>m</w:t>
            </w:r>
            <w:r>
              <w:rPr>
                <w:bCs/>
                <w:szCs w:val="24"/>
              </w:rPr>
              <w:t xml:space="preserve">embrane </w:t>
            </w:r>
            <w:r w:rsidR="004D0D16">
              <w:rPr>
                <w:bCs/>
                <w:szCs w:val="24"/>
              </w:rPr>
              <w:t>t</w:t>
            </w:r>
            <w:r>
              <w:rPr>
                <w:bCs/>
                <w:szCs w:val="24"/>
              </w:rPr>
              <w:t xml:space="preserve">anks. According </w:t>
            </w:r>
            <w:r w:rsidR="00292C51">
              <w:rPr>
                <w:bCs/>
                <w:szCs w:val="24"/>
              </w:rPr>
              <w:t xml:space="preserve">to </w:t>
            </w:r>
            <w:bookmarkStart w:id="0" w:name="_GoBack"/>
            <w:bookmarkEnd w:id="0"/>
            <w:r>
              <w:rPr>
                <w:bCs/>
                <w:szCs w:val="24"/>
              </w:rPr>
              <w:t xml:space="preserve">its mandate, the informal working group discussed recent developments on the </w:t>
            </w:r>
            <w:r w:rsidR="004D0D16">
              <w:rPr>
                <w:bCs/>
                <w:szCs w:val="24"/>
              </w:rPr>
              <w:t xml:space="preserve">liquified natural gas (LNG) </w:t>
            </w:r>
            <w:r>
              <w:rPr>
                <w:bCs/>
                <w:szCs w:val="24"/>
              </w:rPr>
              <w:t>market, the list of substances suitable for carriage in membrane tanks and prepared a first approach to regulate the membrane tanks in the Regulations annexed to ADN.</w:t>
            </w:r>
          </w:p>
        </w:tc>
      </w:tr>
      <w:tr w:rsidR="00FF2DB1" w:rsidRPr="003134DF" w:rsidTr="004011F3">
        <w:trPr>
          <w:trHeight w:val="509"/>
          <w:jc w:val="center"/>
        </w:trPr>
        <w:tc>
          <w:tcPr>
            <w:tcW w:w="2552" w:type="dxa"/>
          </w:tcPr>
          <w:p w:rsidR="00FF2DB1" w:rsidRPr="003134DF" w:rsidRDefault="00FF2DB1" w:rsidP="00D3434D">
            <w:pPr>
              <w:tabs>
                <w:tab w:val="left" w:pos="284"/>
              </w:tabs>
              <w:spacing w:after="120"/>
              <w:rPr>
                <w:b/>
              </w:rPr>
            </w:pPr>
            <w:r w:rsidRPr="003134DF">
              <w:rPr>
                <w:b/>
              </w:rPr>
              <w:tab/>
              <w:t>Action to be taken:</w:t>
            </w:r>
          </w:p>
        </w:tc>
        <w:tc>
          <w:tcPr>
            <w:tcW w:w="5953" w:type="dxa"/>
          </w:tcPr>
          <w:p w:rsidR="00FF2DB1" w:rsidRPr="003134DF" w:rsidRDefault="00FF2DB1" w:rsidP="00D3434D">
            <w:pPr>
              <w:spacing w:after="120"/>
            </w:pPr>
            <w:r>
              <w:t>The Safety Committee is invited to discuss the report of the informal working group and to provide feedback and input on the approach chosen by the informal working group.</w:t>
            </w:r>
          </w:p>
        </w:tc>
      </w:tr>
      <w:tr w:rsidR="00FF2DB1" w:rsidRPr="003134DF" w:rsidTr="004011F3">
        <w:trPr>
          <w:jc w:val="center"/>
        </w:trPr>
        <w:tc>
          <w:tcPr>
            <w:tcW w:w="2552" w:type="dxa"/>
            <w:tcBorders>
              <w:bottom w:val="single" w:sz="4" w:space="0" w:color="auto"/>
            </w:tcBorders>
          </w:tcPr>
          <w:p w:rsidR="00FF2DB1" w:rsidRPr="003134DF" w:rsidRDefault="00FF2DB1" w:rsidP="00D3434D">
            <w:pPr>
              <w:tabs>
                <w:tab w:val="left" w:pos="284"/>
              </w:tabs>
              <w:spacing w:after="120"/>
              <w:rPr>
                <w:b/>
              </w:rPr>
            </w:pPr>
            <w:r w:rsidRPr="003134DF">
              <w:rPr>
                <w:b/>
              </w:rPr>
              <w:tab/>
              <w:t>Related documents:</w:t>
            </w:r>
          </w:p>
        </w:tc>
        <w:tc>
          <w:tcPr>
            <w:tcW w:w="5953" w:type="dxa"/>
            <w:tcBorders>
              <w:bottom w:val="single" w:sz="4" w:space="0" w:color="auto"/>
            </w:tcBorders>
          </w:tcPr>
          <w:p w:rsidR="00FF2DB1" w:rsidRDefault="00FF2DB1" w:rsidP="00D3434D">
            <w:r>
              <w:t>Informal document INF.6 of the twenty-seventh session</w:t>
            </w:r>
          </w:p>
          <w:p w:rsidR="00FF2DB1" w:rsidRDefault="00FF2DB1" w:rsidP="00D3434D">
            <w:r>
              <w:t>ECE/TRANS/WP.15/AC.2/56 (Paragraphs 9 - 12)</w:t>
            </w:r>
          </w:p>
          <w:p w:rsidR="00FF2DB1" w:rsidRDefault="00FF2DB1" w:rsidP="00D3434D">
            <w:r>
              <w:lastRenderedPageBreak/>
              <w:t>ECE/ADN/33 (Paragraph 12 and Annex II)</w:t>
            </w:r>
          </w:p>
          <w:p w:rsidR="00FF2DB1" w:rsidRDefault="00FF2DB1" w:rsidP="00D3434D">
            <w:r>
              <w:t>Informal document INF.26 of the thirty-first session</w:t>
            </w:r>
          </w:p>
          <w:p w:rsidR="00FF2DB1" w:rsidRDefault="00FF2DB1" w:rsidP="00D3434D">
            <w:r>
              <w:t>ECE/TRANS/WP.15/AC.2/64 (Paragraph 62)</w:t>
            </w:r>
          </w:p>
          <w:p w:rsidR="00FF2DB1" w:rsidRDefault="00FF2DB1" w:rsidP="00D3434D">
            <w:r>
              <w:t>ECE/TRANS/WP.15/AC.2/2018/35</w:t>
            </w:r>
          </w:p>
          <w:p w:rsidR="00FF2DB1" w:rsidRDefault="00FF2DB1" w:rsidP="00D3434D">
            <w:r>
              <w:t>Informal document INF.25 of the thirty-third session</w:t>
            </w:r>
          </w:p>
          <w:p w:rsidR="00FF2DB1" w:rsidRPr="003134DF" w:rsidRDefault="00FF2DB1" w:rsidP="00D3434D">
            <w:pPr>
              <w:spacing w:after="120"/>
            </w:pPr>
            <w:r>
              <w:t>ECE/TRANS/WP.15/AC.2/68 (Paragraphs 68-70)</w:t>
            </w:r>
          </w:p>
        </w:tc>
      </w:tr>
    </w:tbl>
    <w:p w:rsidR="00F1616D" w:rsidRPr="003B35B1" w:rsidRDefault="00EA6020" w:rsidP="00020A78">
      <w:pPr>
        <w:pStyle w:val="HChG"/>
      </w:pPr>
      <w:r>
        <w:lastRenderedPageBreak/>
        <w:tab/>
      </w:r>
      <w:r>
        <w:tab/>
      </w:r>
      <w:r w:rsidR="00F1616D" w:rsidRPr="003B35B1">
        <w:t>Introduction</w:t>
      </w:r>
    </w:p>
    <w:p w:rsidR="00FF2DB1" w:rsidRPr="00FF2DB1" w:rsidRDefault="00FF2DB1" w:rsidP="00FF2DB1">
      <w:pPr>
        <w:pStyle w:val="SingleTxtG"/>
      </w:pPr>
      <w:r w:rsidRPr="00FF2DB1">
        <w:t>1.</w:t>
      </w:r>
      <w:r w:rsidRPr="00FF2DB1">
        <w:tab/>
        <w:t xml:space="preserve">On 11-12 October 2018 the informal working group on </w:t>
      </w:r>
      <w:r w:rsidR="004D0D16">
        <w:t>m</w:t>
      </w:r>
      <w:r w:rsidRPr="00FF2DB1">
        <w:t xml:space="preserve">embrane </w:t>
      </w:r>
      <w:r w:rsidR="004D0D16">
        <w:t>t</w:t>
      </w:r>
      <w:r w:rsidRPr="00FF2DB1">
        <w:t>anks held its third meeting at the premises of the Ministry of Infrastructure and Water Management in The Hague, the Netherlands. The meeting was attended by delegates from Belgium, France, Germany and the Netherlands and by representatives from Bureau Veritas, industry and the Development Centre for Ship Technology and Transport Systems. Unfortunately, representatives of the shipping industry had to cancel their envisaged participation at short notice.</w:t>
      </w:r>
    </w:p>
    <w:p w:rsidR="00FF2DB1" w:rsidRPr="00FF2DB1" w:rsidRDefault="00FF2DB1" w:rsidP="00FF2DB1">
      <w:pPr>
        <w:pStyle w:val="SingleTxtG"/>
      </w:pPr>
      <w:r w:rsidRPr="00FF2DB1">
        <w:t>2.</w:t>
      </w:r>
      <w:r w:rsidRPr="00FF2DB1">
        <w:tab/>
        <w:t xml:space="preserve">At the beginning of the meeting, the representative of France summarized the presentation and discussion on membrane tanks at the last meeting of the ADN Safety Committee (ECE/TRANS/WP.15/AC.2/2018/35 and informal document INF.25). The working group took note of paragraphs 68-70 of the report </w:t>
      </w:r>
      <w:r w:rsidR="004D0D16">
        <w:t xml:space="preserve">of the ADN Safety Committee on its thirty-third session (ECE/TRANS/WP.15/AC.2/68) </w:t>
      </w:r>
      <w:r w:rsidRPr="00FF2DB1">
        <w:t>and concluded that this provides a clear mandate to continue its work.</w:t>
      </w:r>
    </w:p>
    <w:p w:rsidR="00FF2DB1" w:rsidRPr="00FF2DB1" w:rsidRDefault="00FF2DB1" w:rsidP="00FF2DB1">
      <w:pPr>
        <w:pStyle w:val="SingleTxtG"/>
      </w:pPr>
      <w:r w:rsidRPr="00FF2DB1">
        <w:t>3.</w:t>
      </w:r>
      <w:r w:rsidRPr="00FF2DB1">
        <w:tab/>
        <w:t>The participants agreed as well that this third meeting of the working group should be considered as an in-between meeting: the aim of the meeting is to conclude on the approach how to amend the Regulations annexed to ADN in order to facilitate the carriage of certain substances in membrane tanks and to have a clearer view on which substances would be suitable to be carried in membrane tanks on inland vessels. Only at the next meeting, the working group will start to draft actual amendments to ADN 2019.</w:t>
      </w:r>
    </w:p>
    <w:p w:rsidR="00FF2DB1" w:rsidRPr="00FF2DB1" w:rsidRDefault="00502FA3" w:rsidP="00502FA3">
      <w:pPr>
        <w:pStyle w:val="HChG"/>
      </w:pPr>
      <w:r>
        <w:tab/>
      </w:r>
      <w:r>
        <w:tab/>
      </w:r>
      <w:r w:rsidR="00FF2DB1" w:rsidRPr="00FF2DB1">
        <w:t>Market developments</w:t>
      </w:r>
    </w:p>
    <w:p w:rsidR="00FF2DB1" w:rsidRPr="00FF2DB1" w:rsidRDefault="00FF2DB1" w:rsidP="00FF2DB1">
      <w:pPr>
        <w:pStyle w:val="SingleTxtG"/>
      </w:pPr>
      <w:r w:rsidRPr="00FF2DB1">
        <w:t>4.</w:t>
      </w:r>
      <w:r w:rsidRPr="00FF2DB1">
        <w:tab/>
        <w:t xml:space="preserve">Regarding the request of the ADN Safety Committee to provide relevant information on the evolution of LNG and membrane tank market, the participants agreed in principle that it is the primary task of the ADN Safety Committee to ensure the safe carriage of dangerous goods. Questions on the economic desirability of possible carriage in membrane tanks will be answered by the market itself. The working group reiterates that in 2017, </w:t>
      </w:r>
      <w:r w:rsidR="004D0D16">
        <w:t>the European Barge Union (</w:t>
      </w:r>
      <w:r w:rsidRPr="00FF2DB1">
        <w:t>EBU</w:t>
      </w:r>
      <w:r w:rsidR="004D0D16">
        <w:t>)</w:t>
      </w:r>
      <w:r w:rsidRPr="00FF2DB1">
        <w:t xml:space="preserve"> has already requested the ADN Safety Committee to allow the use of membrane tanks for the carriage of certain substances.</w:t>
      </w:r>
    </w:p>
    <w:p w:rsidR="00FF2DB1" w:rsidRPr="00FF2DB1" w:rsidRDefault="00FF2DB1" w:rsidP="00FF2DB1">
      <w:pPr>
        <w:pStyle w:val="SingleTxtG"/>
      </w:pPr>
      <w:r w:rsidRPr="00FF2DB1">
        <w:t>5.</w:t>
      </w:r>
      <w:r w:rsidRPr="00FF2DB1">
        <w:tab/>
        <w:t>The representative of France stated that LNG is one of the only few viable alternatives to reduce the sulphur emission of the maritime industry (see Directive (EU) 2016/802). Because it is widely available, LNG plays a vital role to achieve alternative energy aims.</w:t>
      </w:r>
    </w:p>
    <w:p w:rsidR="00FF2DB1" w:rsidRPr="00FF2DB1" w:rsidRDefault="00FF2DB1" w:rsidP="00FF2DB1">
      <w:pPr>
        <w:pStyle w:val="SingleTxtG"/>
      </w:pPr>
      <w:r w:rsidRPr="00FF2DB1">
        <w:t>6.</w:t>
      </w:r>
      <w:r w:rsidRPr="00FF2DB1">
        <w:tab/>
        <w:t xml:space="preserve">However, since the use of membrane tanks could trigger a growth in the carriage of certain substances by tank vessels which could have an impact on the risk levels on European inland waterways, the working group examined some public accessible documents/leaflets from some major oil companies which provide information on the evolution and foreseeable trends regarding the carriage of LNG and the use of membrane </w:t>
      </w:r>
      <w:r w:rsidRPr="00FF2DB1">
        <w:lastRenderedPageBreak/>
        <w:t>tanks</w:t>
      </w:r>
      <w:r w:rsidRPr="00FF2DB1">
        <w:rPr>
          <w:vertAlign w:val="superscript"/>
        </w:rPr>
        <w:footnoteReference w:id="4"/>
      </w:r>
      <w:r w:rsidRPr="00FF2DB1">
        <w:t>. According to these leaflets, a steady growth of the demand for LNG can be expected especially for the generation of energy for households and industry.</w:t>
      </w:r>
    </w:p>
    <w:p w:rsidR="00FF2DB1" w:rsidRPr="00FF2DB1" w:rsidRDefault="00FF2DB1" w:rsidP="00FF2DB1">
      <w:pPr>
        <w:pStyle w:val="SingleTxtG"/>
      </w:pPr>
      <w:r w:rsidRPr="00FF2DB1">
        <w:t>7.</w:t>
      </w:r>
      <w:r w:rsidRPr="00FF2DB1">
        <w:tab/>
        <w:t>The participants agreed that the examined figures d</w:t>
      </w:r>
      <w:r w:rsidR="004D0D16">
        <w:t>o not</w:t>
      </w:r>
      <w:r w:rsidRPr="00FF2DB1">
        <w:t xml:space="preserve"> require the ADN Safety Committee to adopt amendments at its next meetings but nevertheless present a certain push and justification to adjust the Regulations annexed to ADN with the membrane tank technology to facilitate the expected growing trade in LNG and similar products.</w:t>
      </w:r>
    </w:p>
    <w:p w:rsidR="00FF2DB1" w:rsidRPr="00FF2DB1" w:rsidRDefault="00FF2DB1" w:rsidP="00FF2DB1">
      <w:pPr>
        <w:pStyle w:val="SingleTxtG"/>
      </w:pPr>
      <w:r w:rsidRPr="00FF2DB1">
        <w:t>8.</w:t>
      </w:r>
      <w:r w:rsidRPr="00FF2DB1">
        <w:tab/>
        <w:t xml:space="preserve">Lastly, the participants were requested to collect additional information regarding the developments of LNG and membrane tanks from a more nautical or environmentally point of view and, if desired, present this information during the next meeting of the working group.  </w:t>
      </w:r>
    </w:p>
    <w:p w:rsidR="00FF2DB1" w:rsidRPr="00FF2DB1" w:rsidRDefault="00502FA3" w:rsidP="00502FA3">
      <w:pPr>
        <w:pStyle w:val="HChG"/>
      </w:pPr>
      <w:r>
        <w:tab/>
      </w:r>
      <w:r>
        <w:tab/>
      </w:r>
      <w:r w:rsidR="00FF2DB1" w:rsidRPr="00FF2DB1">
        <w:t>List of substances suitable for carriage in membrane tanks</w:t>
      </w:r>
    </w:p>
    <w:p w:rsidR="00FF2DB1" w:rsidRPr="00FF2DB1" w:rsidRDefault="00FF2DB1" w:rsidP="00FF2DB1">
      <w:pPr>
        <w:pStyle w:val="SingleTxtG"/>
      </w:pPr>
      <w:r w:rsidRPr="00FF2DB1">
        <w:t>9.</w:t>
      </w:r>
      <w:r w:rsidRPr="00FF2DB1">
        <w:tab/>
        <w:t xml:space="preserve">The working group very extensively discussed a proper method to determine the list of substances suitable for carriage in membrane tanks. After a long discussion it was decided to use the International Code </w:t>
      </w:r>
      <w:r w:rsidR="004D0D16">
        <w:t>for</w:t>
      </w:r>
      <w:r w:rsidRPr="00FF2DB1">
        <w:t xml:space="preserve"> the Construction and Equipment of Ships </w:t>
      </w:r>
      <w:r w:rsidR="004D0D16">
        <w:t>c</w:t>
      </w:r>
      <w:r w:rsidRPr="00FF2DB1">
        <w:t xml:space="preserve">arrying Liquefied Gases in Bulk (IGC </w:t>
      </w:r>
      <w:r w:rsidR="004D0D16">
        <w:t>C</w:t>
      </w:r>
      <w:r w:rsidRPr="00FF2DB1">
        <w:t>ode) as a source to determine which substances in Table C of ADN are suitable for carriage in membrane tanks. This decision was taken because the IGC code provides in Chapter 19 a list of substances of which most are suitable for carriage in membrane tanks. This list has been established by a public international authority and has at the same time been proven to be suitable by the maritime industry: for many years these products have been carried safely in membrane tanks on sea going vessels.</w:t>
      </w:r>
    </w:p>
    <w:p w:rsidR="00FF2DB1" w:rsidRPr="00FF2DB1" w:rsidRDefault="00FF2DB1" w:rsidP="00FF2DB1">
      <w:pPr>
        <w:pStyle w:val="SingleTxtG"/>
      </w:pPr>
      <w:r w:rsidRPr="00FF2DB1">
        <w:t>10.</w:t>
      </w:r>
      <w:r w:rsidRPr="00FF2DB1">
        <w:tab/>
        <w:t xml:space="preserve"> The substances listed in Chapter 19 of the IGC code (and suitable for carriage in membrane tanks according to the IGC code) were compared to Table A and C of ADN. Only those substances that </w:t>
      </w:r>
      <w:proofErr w:type="gramStart"/>
      <w:r w:rsidRPr="00FF2DB1">
        <w:t>are allowed to</w:t>
      </w:r>
      <w:proofErr w:type="gramEnd"/>
      <w:r w:rsidRPr="00FF2DB1">
        <w:t xml:space="preserve"> be carried in tank vessels according to Table A and that should be carried in type G.1.1 tank vessels according to Table C were chosen to be included on the list of substances suitable for carriage in membrane tanks. This last criterion was chosen because the working group agreed on the principal point that the closed membrane tank should be considered as an alternative to the independent pressurized tank and certainly, not as a replacement:</w:t>
      </w:r>
    </w:p>
    <w:p w:rsidR="00FF2DB1" w:rsidRPr="00FF2DB1" w:rsidRDefault="00FF2DB1" w:rsidP="00FF2DB1">
      <w:pPr>
        <w:pStyle w:val="SingleTxtG"/>
        <w:numPr>
          <w:ilvl w:val="0"/>
          <w:numId w:val="24"/>
        </w:numPr>
      </w:pPr>
      <w:r w:rsidRPr="00FF2DB1">
        <w:t>UN 1005</w:t>
      </w:r>
      <w:r w:rsidRPr="00FF2DB1">
        <w:tab/>
        <w:t>AMMONIA, ANHYDROUS</w:t>
      </w:r>
    </w:p>
    <w:p w:rsidR="00FF2DB1" w:rsidRPr="00FF2DB1" w:rsidRDefault="00FF2DB1" w:rsidP="00FF2DB1">
      <w:pPr>
        <w:pStyle w:val="SingleTxtG"/>
        <w:numPr>
          <w:ilvl w:val="0"/>
          <w:numId w:val="24"/>
        </w:numPr>
      </w:pPr>
      <w:r w:rsidRPr="00FF2DB1">
        <w:t>UN 1010</w:t>
      </w:r>
      <w:r w:rsidRPr="00FF2DB1">
        <w:tab/>
        <w:t xml:space="preserve">BUTADIENES (four </w:t>
      </w:r>
      <w:r w:rsidR="004D0D16">
        <w:t>entries</w:t>
      </w:r>
      <w:r w:rsidRPr="00FF2DB1">
        <w:t>)</w:t>
      </w:r>
    </w:p>
    <w:p w:rsidR="00FF2DB1" w:rsidRPr="00FF2DB1" w:rsidRDefault="00FF2DB1" w:rsidP="00FF2DB1">
      <w:pPr>
        <w:pStyle w:val="SingleTxtG"/>
        <w:numPr>
          <w:ilvl w:val="0"/>
          <w:numId w:val="24"/>
        </w:numPr>
      </w:pPr>
      <w:r w:rsidRPr="00FF2DB1">
        <w:t>UN 1011</w:t>
      </w:r>
      <w:r w:rsidRPr="00FF2DB1">
        <w:tab/>
        <w:t xml:space="preserve">BUTANE (two </w:t>
      </w:r>
      <w:r w:rsidR="004D0D16">
        <w:t>entries</w:t>
      </w:r>
      <w:r w:rsidRPr="00FF2DB1">
        <w:t>)</w:t>
      </w:r>
    </w:p>
    <w:p w:rsidR="00FF2DB1" w:rsidRPr="00FF2DB1" w:rsidRDefault="00FF2DB1" w:rsidP="00FF2DB1">
      <w:pPr>
        <w:pStyle w:val="SingleTxtG"/>
        <w:numPr>
          <w:ilvl w:val="0"/>
          <w:numId w:val="24"/>
        </w:numPr>
      </w:pPr>
      <w:r w:rsidRPr="00FF2DB1">
        <w:t>UN 1012</w:t>
      </w:r>
      <w:r w:rsidRPr="00FF2DB1">
        <w:tab/>
        <w:t>1-BUTYLENE</w:t>
      </w:r>
    </w:p>
    <w:p w:rsidR="00FF2DB1" w:rsidRPr="00FF2DB1" w:rsidRDefault="00FF2DB1" w:rsidP="00FF2DB1">
      <w:pPr>
        <w:pStyle w:val="SingleTxtG"/>
        <w:numPr>
          <w:ilvl w:val="0"/>
          <w:numId w:val="24"/>
        </w:numPr>
      </w:pPr>
      <w:r w:rsidRPr="00FF2DB1">
        <w:t>UN 1020</w:t>
      </w:r>
      <w:r w:rsidRPr="00FF2DB1">
        <w:tab/>
        <w:t>CHLOROPENTAFLUOROETHANE (REFRIGERANT GAS R 115)</w:t>
      </w:r>
    </w:p>
    <w:p w:rsidR="00FF2DB1" w:rsidRPr="00FF2DB1" w:rsidRDefault="00FF2DB1" w:rsidP="00FF2DB1">
      <w:pPr>
        <w:pStyle w:val="SingleTxtG"/>
        <w:numPr>
          <w:ilvl w:val="0"/>
          <w:numId w:val="24"/>
        </w:numPr>
      </w:pPr>
      <w:r w:rsidRPr="00FF2DB1">
        <w:t>UN 1030</w:t>
      </w:r>
      <w:r w:rsidRPr="00FF2DB1">
        <w:tab/>
        <w:t>1.1-DIFLUOROETHANE (REFRIGERANT GAS R 152a)</w:t>
      </w:r>
    </w:p>
    <w:p w:rsidR="00FF2DB1" w:rsidRPr="00FF2DB1" w:rsidRDefault="00FF2DB1" w:rsidP="00FF2DB1">
      <w:pPr>
        <w:pStyle w:val="SingleTxtG"/>
        <w:numPr>
          <w:ilvl w:val="0"/>
          <w:numId w:val="24"/>
        </w:numPr>
      </w:pPr>
      <w:r w:rsidRPr="00FF2DB1">
        <w:t>UN 1033</w:t>
      </w:r>
      <w:r w:rsidRPr="00FF2DB1">
        <w:tab/>
        <w:t>DIMETHYL ETHER</w:t>
      </w:r>
    </w:p>
    <w:p w:rsidR="00FF2DB1" w:rsidRPr="00FF2DB1" w:rsidRDefault="00FF2DB1" w:rsidP="00FF2DB1">
      <w:pPr>
        <w:pStyle w:val="SingleTxtG"/>
        <w:numPr>
          <w:ilvl w:val="0"/>
          <w:numId w:val="24"/>
        </w:numPr>
      </w:pPr>
      <w:r w:rsidRPr="00FF2DB1">
        <w:t>UN 1038</w:t>
      </w:r>
      <w:r w:rsidRPr="00FF2DB1">
        <w:tab/>
        <w:t>ETHYLENE, REFRIGERATED LIQUID</w:t>
      </w:r>
    </w:p>
    <w:p w:rsidR="00FF2DB1" w:rsidRPr="00FF2DB1" w:rsidRDefault="00FF2DB1" w:rsidP="00FF2DB1">
      <w:pPr>
        <w:pStyle w:val="SingleTxtG"/>
        <w:numPr>
          <w:ilvl w:val="0"/>
          <w:numId w:val="24"/>
        </w:numPr>
      </w:pPr>
      <w:r w:rsidRPr="00FF2DB1">
        <w:t>UN 1055</w:t>
      </w:r>
      <w:r w:rsidRPr="00FF2DB1">
        <w:tab/>
        <w:t>ISOBUTYLENE</w:t>
      </w:r>
    </w:p>
    <w:p w:rsidR="00FF2DB1" w:rsidRPr="00FF2DB1" w:rsidRDefault="00FF2DB1" w:rsidP="00FF2DB1">
      <w:pPr>
        <w:pStyle w:val="SingleTxtG"/>
        <w:numPr>
          <w:ilvl w:val="0"/>
          <w:numId w:val="24"/>
        </w:numPr>
      </w:pPr>
      <w:r w:rsidRPr="00FF2DB1">
        <w:lastRenderedPageBreak/>
        <w:t>UN 1063</w:t>
      </w:r>
      <w:r w:rsidRPr="00FF2DB1">
        <w:tab/>
        <w:t>METHYL CHLORIDE (REFRIGERANT GAS R-40)</w:t>
      </w:r>
    </w:p>
    <w:p w:rsidR="00FF2DB1" w:rsidRPr="00FF2DB1" w:rsidRDefault="00FF2DB1" w:rsidP="00FF2DB1">
      <w:pPr>
        <w:pStyle w:val="SingleTxtG"/>
        <w:numPr>
          <w:ilvl w:val="0"/>
          <w:numId w:val="24"/>
        </w:numPr>
      </w:pPr>
      <w:r w:rsidRPr="00FF2DB1">
        <w:t>UN 1077</w:t>
      </w:r>
      <w:r w:rsidRPr="00FF2DB1">
        <w:tab/>
        <w:t>PROPYLENE</w:t>
      </w:r>
    </w:p>
    <w:p w:rsidR="00FF2DB1" w:rsidRPr="00FF2DB1" w:rsidRDefault="00FF2DB1" w:rsidP="00FF2DB1">
      <w:pPr>
        <w:pStyle w:val="SingleTxtG"/>
        <w:numPr>
          <w:ilvl w:val="0"/>
          <w:numId w:val="24"/>
        </w:numPr>
      </w:pPr>
      <w:r w:rsidRPr="00FF2DB1">
        <w:t>UN 1086</w:t>
      </w:r>
      <w:r w:rsidRPr="00FF2DB1">
        <w:tab/>
        <w:t>VINYL CHLORIDE, STABILIZED</w:t>
      </w:r>
    </w:p>
    <w:p w:rsidR="00FF2DB1" w:rsidRPr="004D0D16" w:rsidRDefault="00FF2DB1" w:rsidP="00502FA3">
      <w:pPr>
        <w:pStyle w:val="SingleTxtG"/>
        <w:numPr>
          <w:ilvl w:val="0"/>
          <w:numId w:val="24"/>
        </w:numPr>
        <w:ind w:left="2835" w:hanging="1341"/>
        <w:rPr>
          <w:lang w:val="fr-CH"/>
        </w:rPr>
      </w:pPr>
      <w:r w:rsidRPr="004D0D16">
        <w:rPr>
          <w:lang w:val="fr-CH"/>
        </w:rPr>
        <w:t>UN 1965</w:t>
      </w:r>
      <w:r w:rsidRPr="004D0D16">
        <w:rPr>
          <w:lang w:val="fr-CH"/>
        </w:rPr>
        <w:tab/>
        <w:t>HYDROCARBONS GAS MIXTURE, LIQUEFIED, N.O.S. (</w:t>
      </w:r>
      <w:proofErr w:type="spellStart"/>
      <w:r w:rsidRPr="004D0D16">
        <w:rPr>
          <w:lang w:val="fr-CH"/>
        </w:rPr>
        <w:t>nine</w:t>
      </w:r>
      <w:proofErr w:type="spellEnd"/>
      <w:r w:rsidRPr="004D0D16">
        <w:rPr>
          <w:lang w:val="fr-CH"/>
        </w:rPr>
        <w:t xml:space="preserve"> </w:t>
      </w:r>
      <w:r w:rsidR="002F62F6">
        <w:rPr>
          <w:lang w:val="fr-CH"/>
        </w:rPr>
        <w:t>entries</w:t>
      </w:r>
      <w:r w:rsidRPr="004D0D16">
        <w:rPr>
          <w:lang w:val="fr-CH"/>
        </w:rPr>
        <w:t>)</w:t>
      </w:r>
    </w:p>
    <w:p w:rsidR="00FF2DB1" w:rsidRPr="00FF2DB1" w:rsidRDefault="00FF2DB1" w:rsidP="00502FA3">
      <w:pPr>
        <w:pStyle w:val="SingleTxtG"/>
        <w:numPr>
          <w:ilvl w:val="0"/>
          <w:numId w:val="24"/>
        </w:numPr>
        <w:ind w:left="2835" w:hanging="1341"/>
      </w:pPr>
      <w:r w:rsidRPr="00FF2DB1">
        <w:t>UN 1972</w:t>
      </w:r>
      <w:r w:rsidRPr="00FF2DB1">
        <w:tab/>
        <w:t>METHANE, REFRIGERATED LIQUID or NATURAL GAS, REFRIGERATED LIQUID, with high methane content</w:t>
      </w:r>
    </w:p>
    <w:p w:rsidR="00FF2DB1" w:rsidRPr="00FF2DB1" w:rsidRDefault="00FF2DB1" w:rsidP="00FF2DB1">
      <w:pPr>
        <w:pStyle w:val="SingleTxtG"/>
        <w:numPr>
          <w:ilvl w:val="0"/>
          <w:numId w:val="24"/>
        </w:numPr>
      </w:pPr>
      <w:r w:rsidRPr="00FF2DB1">
        <w:t>UN 1978</w:t>
      </w:r>
      <w:r w:rsidRPr="00FF2DB1">
        <w:tab/>
        <w:t>PROPANE</w:t>
      </w:r>
    </w:p>
    <w:p w:rsidR="00FF2DB1" w:rsidRPr="00FF2DB1" w:rsidRDefault="00FF2DB1" w:rsidP="00FF2DB1">
      <w:pPr>
        <w:pStyle w:val="SingleTxtG"/>
        <w:numPr>
          <w:ilvl w:val="0"/>
          <w:numId w:val="24"/>
        </w:numPr>
      </w:pPr>
      <w:r w:rsidRPr="00FF2DB1">
        <w:t>UN 2187</w:t>
      </w:r>
      <w:r w:rsidRPr="00FF2DB1">
        <w:tab/>
        <w:t>CARBON DIOXIDE, REFRIGERATED LIQUID</w:t>
      </w:r>
    </w:p>
    <w:p w:rsidR="00FF2DB1" w:rsidRPr="00FF2DB1" w:rsidRDefault="00FF2DB1" w:rsidP="00FF2DB1">
      <w:pPr>
        <w:pStyle w:val="SingleTxtG"/>
      </w:pPr>
      <w:r w:rsidRPr="00FF2DB1">
        <w:t>11.</w:t>
      </w:r>
      <w:r w:rsidRPr="00FF2DB1">
        <w:tab/>
        <w:t>Other gases, listed in Chapter 19 of the IGC Code and suitable for carriage in membrane tanks, in relation to Table 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708"/>
        <w:gridCol w:w="2567"/>
        <w:gridCol w:w="2535"/>
      </w:tblGrid>
      <w:tr w:rsidR="00024DE8" w:rsidRPr="00024DE8" w:rsidTr="002F62F6">
        <w:trPr>
          <w:trHeight w:val="683"/>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3C1910" w:rsidRDefault="00FF2DB1" w:rsidP="002F62F6">
            <w:pPr>
              <w:suppressAutoHyphens w:val="0"/>
              <w:spacing w:before="80" w:after="80" w:line="200" w:lineRule="exact"/>
              <w:ind w:right="113"/>
              <w:jc w:val="center"/>
              <w:rPr>
                <w:b/>
                <w:bCs/>
                <w:iCs/>
              </w:rPr>
            </w:pPr>
            <w:r w:rsidRPr="003C1910">
              <w:rPr>
                <w:b/>
                <w:bCs/>
                <w:iCs/>
              </w:rPr>
              <w:t>IGC Code</w:t>
            </w:r>
          </w:p>
          <w:p w:rsidR="00FF2DB1" w:rsidRPr="00FF2DB1" w:rsidRDefault="00FF2DB1" w:rsidP="002F62F6">
            <w:pPr>
              <w:suppressAutoHyphens w:val="0"/>
              <w:spacing w:before="80" w:after="80" w:line="200" w:lineRule="exact"/>
              <w:ind w:right="113"/>
              <w:jc w:val="center"/>
              <w:rPr>
                <w:i/>
                <w:sz w:val="16"/>
                <w:szCs w:val="16"/>
              </w:rPr>
            </w:pPr>
            <w:r w:rsidRPr="003C1910">
              <w:rPr>
                <w:b/>
                <w:bCs/>
                <w:iCs/>
              </w:rPr>
              <w:t>Chapter 19</w:t>
            </w:r>
          </w:p>
        </w:tc>
        <w:tc>
          <w:tcPr>
            <w:tcW w:w="5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80" w:after="80" w:line="200" w:lineRule="exact"/>
              <w:ind w:right="113"/>
              <w:jc w:val="center"/>
              <w:rPr>
                <w:i/>
                <w:sz w:val="16"/>
                <w:szCs w:val="16"/>
              </w:rPr>
            </w:pPr>
            <w:r w:rsidRPr="003C1910">
              <w:rPr>
                <w:b/>
                <w:bCs/>
                <w:iCs/>
              </w:rPr>
              <w:t>ADN</w:t>
            </w:r>
          </w:p>
        </w:tc>
      </w:tr>
      <w:tr w:rsidR="00024DE8" w:rsidRPr="00024DE8" w:rsidTr="002F62F6">
        <w:trPr>
          <w:trHeight w:val="495"/>
          <w:tblHeader/>
        </w:trPr>
        <w:tc>
          <w:tcPr>
            <w:tcW w:w="1560" w:type="dxa"/>
            <w:tcBorders>
              <w:top w:val="single" w:sz="4" w:space="0" w:color="auto"/>
              <w:left w:val="single" w:sz="4" w:space="0" w:color="auto"/>
              <w:bottom w:val="single" w:sz="12" w:space="0" w:color="auto"/>
              <w:right w:val="single" w:sz="4" w:space="0" w:color="auto"/>
            </w:tcBorders>
            <w:shd w:val="clear" w:color="auto" w:fill="auto"/>
            <w:vAlign w:val="center"/>
          </w:tcPr>
          <w:p w:rsidR="00FF2DB1" w:rsidRPr="00FF2DB1" w:rsidRDefault="00FF2DB1" w:rsidP="002F62F6">
            <w:pPr>
              <w:suppressAutoHyphens w:val="0"/>
              <w:spacing w:before="80" w:after="80" w:line="200" w:lineRule="exact"/>
              <w:ind w:right="113"/>
              <w:jc w:val="center"/>
              <w:rPr>
                <w:sz w:val="16"/>
                <w:szCs w:val="16"/>
              </w:rPr>
            </w:pPr>
          </w:p>
        </w:tc>
        <w:tc>
          <w:tcPr>
            <w:tcW w:w="708" w:type="dxa"/>
            <w:tcBorders>
              <w:top w:val="single" w:sz="4" w:space="0" w:color="auto"/>
              <w:left w:val="single" w:sz="4" w:space="0" w:color="auto"/>
              <w:bottom w:val="single" w:sz="12" w:space="0" w:color="auto"/>
            </w:tcBorders>
            <w:shd w:val="clear" w:color="auto" w:fill="auto"/>
            <w:vAlign w:val="center"/>
          </w:tcPr>
          <w:p w:rsidR="00FF2DB1" w:rsidRPr="00FF2DB1" w:rsidRDefault="00FF2DB1" w:rsidP="002F62F6">
            <w:pPr>
              <w:suppressAutoHyphens w:val="0"/>
              <w:spacing w:before="80" w:after="80" w:line="200" w:lineRule="exact"/>
              <w:ind w:right="113"/>
              <w:jc w:val="center"/>
              <w:rPr>
                <w:i/>
                <w:sz w:val="16"/>
                <w:szCs w:val="16"/>
              </w:rPr>
            </w:pPr>
            <w:r w:rsidRPr="00FF2DB1">
              <w:rPr>
                <w:i/>
                <w:sz w:val="16"/>
                <w:szCs w:val="16"/>
              </w:rPr>
              <w:t>UN Number</w:t>
            </w:r>
          </w:p>
        </w:tc>
        <w:tc>
          <w:tcPr>
            <w:tcW w:w="2567" w:type="dxa"/>
            <w:tcBorders>
              <w:top w:val="single" w:sz="4" w:space="0" w:color="auto"/>
              <w:bottom w:val="single" w:sz="12" w:space="0" w:color="auto"/>
            </w:tcBorders>
            <w:shd w:val="clear" w:color="auto" w:fill="auto"/>
            <w:vAlign w:val="center"/>
          </w:tcPr>
          <w:p w:rsidR="00FF2DB1" w:rsidRPr="00FF2DB1" w:rsidRDefault="00FF2DB1" w:rsidP="002F62F6">
            <w:pPr>
              <w:suppressAutoHyphens w:val="0"/>
              <w:spacing w:before="80" w:after="80" w:line="200" w:lineRule="exact"/>
              <w:ind w:right="113"/>
              <w:jc w:val="center"/>
              <w:rPr>
                <w:i/>
                <w:sz w:val="16"/>
                <w:szCs w:val="16"/>
              </w:rPr>
            </w:pPr>
            <w:r w:rsidRPr="00FF2DB1">
              <w:rPr>
                <w:i/>
                <w:sz w:val="16"/>
                <w:szCs w:val="16"/>
              </w:rPr>
              <w:t>Name and Description</w:t>
            </w:r>
          </w:p>
        </w:tc>
        <w:tc>
          <w:tcPr>
            <w:tcW w:w="2535" w:type="dxa"/>
            <w:tcBorders>
              <w:top w:val="single" w:sz="4" w:space="0" w:color="auto"/>
              <w:bottom w:val="single" w:sz="12" w:space="0" w:color="auto"/>
              <w:right w:val="single" w:sz="4" w:space="0" w:color="auto"/>
            </w:tcBorders>
            <w:shd w:val="clear" w:color="auto" w:fill="auto"/>
            <w:vAlign w:val="center"/>
          </w:tcPr>
          <w:p w:rsidR="00FF2DB1" w:rsidRPr="00FF2DB1" w:rsidRDefault="00FF2DB1" w:rsidP="002F62F6">
            <w:pPr>
              <w:suppressAutoHyphens w:val="0"/>
              <w:spacing w:before="80" w:after="80" w:line="200" w:lineRule="exact"/>
              <w:ind w:right="113"/>
              <w:jc w:val="center"/>
              <w:rPr>
                <w:i/>
                <w:sz w:val="16"/>
                <w:szCs w:val="16"/>
              </w:rPr>
            </w:pPr>
            <w:r w:rsidRPr="00FF2DB1">
              <w:rPr>
                <w:i/>
                <w:sz w:val="16"/>
                <w:szCs w:val="16"/>
              </w:rPr>
              <w:t>Comments</w:t>
            </w:r>
          </w:p>
        </w:tc>
      </w:tr>
      <w:tr w:rsidR="00024DE8" w:rsidRPr="00024DE8" w:rsidTr="002F62F6">
        <w:tc>
          <w:tcPr>
            <w:tcW w:w="1560" w:type="dxa"/>
            <w:tcBorders>
              <w:top w:val="single" w:sz="12"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Acetaldehyde</w:t>
            </w:r>
          </w:p>
        </w:tc>
        <w:tc>
          <w:tcPr>
            <w:tcW w:w="708" w:type="dxa"/>
            <w:tcBorders>
              <w:top w:val="single" w:sz="12"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1089</w:t>
            </w:r>
          </w:p>
        </w:tc>
        <w:tc>
          <w:tcPr>
            <w:tcW w:w="2567" w:type="dxa"/>
            <w:tcBorders>
              <w:top w:val="single" w:sz="12"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rFonts w:eastAsia="MS Mincho"/>
                <w:szCs w:val="18"/>
                <w:lang w:eastAsia="ja-JP"/>
              </w:rPr>
              <w:t>ACETALDEHYDE (ethanal)</w:t>
            </w:r>
          </w:p>
        </w:tc>
        <w:tc>
          <w:tcPr>
            <w:tcW w:w="2535" w:type="dxa"/>
            <w:tcBorders>
              <w:top w:val="single" w:sz="12"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Carriage in Type C tank vessels</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Butane-propane mixture</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Not listed in ADN Tables A or C</w:t>
            </w:r>
          </w:p>
          <w:p w:rsidR="00FF2DB1" w:rsidRPr="00FF2DB1" w:rsidRDefault="00FF2DB1" w:rsidP="002F62F6">
            <w:pPr>
              <w:suppressAutoHyphens w:val="0"/>
              <w:spacing w:before="40" w:after="120" w:line="220" w:lineRule="exact"/>
              <w:ind w:right="113"/>
              <w:jc w:val="center"/>
              <w:rPr>
                <w:szCs w:val="18"/>
              </w:rPr>
            </w:pPr>
            <w:r w:rsidRPr="00FF2DB1">
              <w:rPr>
                <w:szCs w:val="18"/>
              </w:rPr>
              <w:t>To be treated under ADN Chapter 2.1</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Diethyl ether</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1155</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rFonts w:eastAsia="MS Mincho"/>
                <w:szCs w:val="18"/>
                <w:lang w:val="fr-FR" w:eastAsia="ja-JP"/>
              </w:rPr>
              <w:t>DIETHYL ETHER</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Carriage in Type C tank vessels</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Dimethylamine</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1160</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rFonts w:eastAsia="MS Mincho"/>
                <w:szCs w:val="18"/>
                <w:lang w:val="fr-FR" w:eastAsia="ja-JP"/>
              </w:rPr>
              <w:t>DIMETHYLAMINE AQUEOUS SOLUTION</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Carriage in Type C tank vessels</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Ethane</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1035</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rFonts w:eastAsia="MS Mincho"/>
                <w:szCs w:val="18"/>
                <w:lang w:val="fr-FR" w:eastAsia="ja-JP"/>
              </w:rPr>
              <w:t>ETHANE</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Not allowed in tank vessels in ADN</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Ethyl Chloride</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1037</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val="fr-FR" w:eastAsia="ja-JP"/>
              </w:rPr>
            </w:pPr>
            <w:r w:rsidRPr="00FF2DB1">
              <w:rPr>
                <w:rFonts w:eastAsia="MS Mincho"/>
                <w:szCs w:val="18"/>
                <w:lang w:val="fr-FR" w:eastAsia="ja-JP"/>
              </w:rPr>
              <w:t>ETHYL CHLORIDE</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Not allowed in tank vessels in ADN</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Ethylene oxide-propylene oxide mixtures with ethylene oxide content of not more than 30% by weight</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2983</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eastAsia="ja-JP"/>
              </w:rPr>
              <w:t>ETHYLENE OXIDE AND PROPYLENE OXIDE MIXTURE, not more than 30% ethylene oxide</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Carriage in Type C tank vessels</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Isoprene (all isomers)</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1218</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val="fr-FR" w:eastAsia="ja-JP"/>
              </w:rPr>
              <w:t>ISOPRENE, STABILIZED</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Carriage in Type N tank vessels</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Isoprene (part refined)</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1218</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val="fr-FR" w:eastAsia="ja-JP"/>
              </w:rPr>
              <w:t>ISOPRENE, STABILIZED</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Carriage in Type N tank vessels</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proofErr w:type="spellStart"/>
            <w:r w:rsidRPr="00FF2DB1">
              <w:rPr>
                <w:szCs w:val="18"/>
              </w:rPr>
              <w:t>Isopropylamine</w:t>
            </w:r>
            <w:proofErr w:type="spellEnd"/>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1221</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val="fr-FR" w:eastAsia="ja-JP"/>
              </w:rPr>
            </w:pPr>
            <w:r w:rsidRPr="00FF2DB1">
              <w:rPr>
                <w:rFonts w:eastAsia="MS Mincho"/>
                <w:szCs w:val="18"/>
                <w:lang w:val="fr-FR" w:eastAsia="ja-JP"/>
              </w:rPr>
              <w:t>ISOPROPYLAMINE</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Carriage in Type C tank vessels</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lastRenderedPageBreak/>
              <w:t>Methyl acetylene-</w:t>
            </w:r>
            <w:proofErr w:type="spellStart"/>
            <w:r w:rsidRPr="00FF2DB1">
              <w:rPr>
                <w:szCs w:val="18"/>
              </w:rPr>
              <w:t>propadiene</w:t>
            </w:r>
            <w:proofErr w:type="spellEnd"/>
            <w:r w:rsidRPr="00FF2DB1">
              <w:rPr>
                <w:szCs w:val="18"/>
              </w:rPr>
              <w:t xml:space="preserve"> mixtures</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1060</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eastAsia="ja-JP"/>
              </w:rPr>
              <w:t>METHYLACETYLENE AND PROPADIENE MIXTURE, STABILIZED such as mixture P1 or mixture P2</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Not allowed in tank vessels in ADN</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Mixed C4 Cargoes</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Not listed in ADN Table A or Table C</w:t>
            </w:r>
          </w:p>
          <w:p w:rsidR="00FF2DB1" w:rsidRPr="00FF2DB1" w:rsidRDefault="00FF2DB1" w:rsidP="002F62F6">
            <w:pPr>
              <w:suppressAutoHyphens w:val="0"/>
              <w:spacing w:before="40" w:after="120" w:line="220" w:lineRule="exact"/>
              <w:ind w:right="113"/>
              <w:jc w:val="center"/>
              <w:rPr>
                <w:szCs w:val="18"/>
              </w:rPr>
            </w:pPr>
            <w:r w:rsidRPr="00FF2DB1">
              <w:rPr>
                <w:szCs w:val="18"/>
              </w:rPr>
              <w:t>May be to be treated under ADN Chapter 2.1</w:t>
            </w:r>
          </w:p>
          <w:p w:rsidR="00FF2DB1" w:rsidRPr="00FF2DB1" w:rsidRDefault="00FF2DB1" w:rsidP="002F62F6">
            <w:pPr>
              <w:suppressAutoHyphens w:val="0"/>
              <w:spacing w:before="40" w:after="120" w:line="220" w:lineRule="exact"/>
              <w:ind w:right="113"/>
              <w:jc w:val="center"/>
              <w:rPr>
                <w:szCs w:val="18"/>
              </w:rPr>
            </w:pPr>
            <w:proofErr w:type="spellStart"/>
            <w:r w:rsidRPr="00FF2DB1">
              <w:rPr>
                <w:szCs w:val="18"/>
              </w:rPr>
              <w:t>Refer</w:t>
            </w:r>
            <w:r w:rsidR="002F62F6">
              <w:rPr>
                <w:szCs w:val="18"/>
              </w:rPr>
              <w:t>ed</w:t>
            </w:r>
            <w:proofErr w:type="spellEnd"/>
            <w:r w:rsidRPr="00FF2DB1">
              <w:rPr>
                <w:szCs w:val="18"/>
              </w:rPr>
              <w:t xml:space="preserve"> to in IMO documents BLG 15/10/3 and BLG.1/Circ.32</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proofErr w:type="spellStart"/>
            <w:r w:rsidRPr="00FF2DB1">
              <w:rPr>
                <w:szCs w:val="18"/>
              </w:rPr>
              <w:t>Monoethylamine</w:t>
            </w:r>
            <w:proofErr w:type="spellEnd"/>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1036</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eastAsia="ja-JP"/>
              </w:rPr>
              <w:t>ETHYLAMINE</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proofErr w:type="spellStart"/>
            <w:r w:rsidRPr="00FF2DB1">
              <w:rPr>
                <w:szCs w:val="18"/>
              </w:rPr>
              <w:t>Monoethylamine</w:t>
            </w:r>
            <w:proofErr w:type="spellEnd"/>
            <w:r w:rsidRPr="00FF2DB1">
              <w:rPr>
                <w:szCs w:val="18"/>
              </w:rPr>
              <w:t xml:space="preserve"> is listed in ADN Table B as a synonym</w:t>
            </w:r>
          </w:p>
          <w:p w:rsidR="00FF2DB1" w:rsidRPr="00FF2DB1" w:rsidRDefault="00FF2DB1" w:rsidP="002F62F6">
            <w:pPr>
              <w:suppressAutoHyphens w:val="0"/>
              <w:spacing w:before="40" w:after="120" w:line="220" w:lineRule="exact"/>
              <w:ind w:right="113"/>
              <w:jc w:val="center"/>
              <w:rPr>
                <w:szCs w:val="18"/>
              </w:rPr>
            </w:pPr>
            <w:r w:rsidRPr="00FF2DB1">
              <w:rPr>
                <w:szCs w:val="18"/>
              </w:rPr>
              <w:t>Not allowed in tank vessels in ADN</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Nitrogen</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1977</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val="fr-FR" w:eastAsia="ja-JP"/>
              </w:rPr>
              <w:t>NITROGEN, REFRIGERATED LIQUID</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Not allowed in tank vessels in ADN</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Pentane (all isomers)</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1265</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eastAsia="ja-JP"/>
              </w:rPr>
              <w:t>PENTANES, liquid</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 xml:space="preserve">5 </w:t>
            </w:r>
            <w:r w:rsidR="002F62F6">
              <w:rPr>
                <w:szCs w:val="18"/>
              </w:rPr>
              <w:t>entries</w:t>
            </w:r>
            <w:r w:rsidRPr="00FF2DB1">
              <w:rPr>
                <w:szCs w:val="18"/>
              </w:rPr>
              <w:t xml:space="preserve"> in ADN Table C</w:t>
            </w:r>
          </w:p>
          <w:p w:rsidR="00FF2DB1" w:rsidRPr="00FF2DB1" w:rsidRDefault="00FF2DB1" w:rsidP="002F62F6">
            <w:pPr>
              <w:suppressAutoHyphens w:val="0"/>
              <w:spacing w:before="40" w:after="120" w:line="220" w:lineRule="exact"/>
              <w:ind w:right="113"/>
              <w:jc w:val="center"/>
              <w:rPr>
                <w:szCs w:val="18"/>
              </w:rPr>
            </w:pPr>
            <w:r w:rsidRPr="00FF2DB1">
              <w:rPr>
                <w:szCs w:val="18"/>
              </w:rPr>
              <w:t>Carriage in Type N tank vessels, or Flowchart (ADN 3.2.3.3)</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Pentene (all isomers)</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1108</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eastAsia="ja-JP"/>
              </w:rPr>
              <w:t>1-PENTENE (n-AMYLENE)</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Carriage in Type N tank vessels</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Propylene oxide</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1280</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val="fr-FR" w:eastAsia="ja-JP"/>
              </w:rPr>
              <w:t>PROPYLENE OXIDE</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Carriage in Type C tank vessels</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Refrigerant gases</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1009</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val="fr-FR" w:eastAsia="ja-JP"/>
              </w:rPr>
              <w:t>BROMOTRIFLUORO</w:t>
            </w:r>
            <w:r w:rsidR="002F62F6">
              <w:rPr>
                <w:rFonts w:eastAsia="MS Mincho"/>
                <w:szCs w:val="18"/>
                <w:lang w:val="fr-FR" w:eastAsia="ja-JP"/>
              </w:rPr>
              <w:t>-</w:t>
            </w:r>
            <w:r w:rsidRPr="00FF2DB1">
              <w:rPr>
                <w:rFonts w:eastAsia="MS Mincho"/>
                <w:szCs w:val="18"/>
                <w:lang w:val="fr-FR" w:eastAsia="ja-JP"/>
              </w:rPr>
              <w:t>METHANE (REFRIGERANT GAS R 13B1)</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Not allowed in tank vessels in ADN</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Refrigerant gases</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1018</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val="fr-FR" w:eastAsia="ja-JP"/>
              </w:rPr>
              <w:t>CHLORODIFLUORO</w:t>
            </w:r>
            <w:r w:rsidR="002F62F6">
              <w:rPr>
                <w:rFonts w:eastAsia="MS Mincho"/>
                <w:szCs w:val="18"/>
                <w:lang w:val="fr-FR" w:eastAsia="ja-JP"/>
              </w:rPr>
              <w:t>-</w:t>
            </w:r>
            <w:r w:rsidRPr="00FF2DB1">
              <w:rPr>
                <w:rFonts w:eastAsia="MS Mincho"/>
                <w:szCs w:val="18"/>
                <w:lang w:val="fr-FR" w:eastAsia="ja-JP"/>
              </w:rPr>
              <w:t>METHANE (REFRIGERANT GAS R 22)</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Not allowed in tank vessels in ADN</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Refrigerant gases</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1021</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eastAsia="ja-JP"/>
              </w:rPr>
              <w:t>1-CHLORO-1,2,2,2-TETRAFLUORO</w:t>
            </w:r>
            <w:r w:rsidR="002F62F6">
              <w:rPr>
                <w:rFonts w:eastAsia="MS Mincho"/>
                <w:szCs w:val="18"/>
                <w:lang w:eastAsia="ja-JP"/>
              </w:rPr>
              <w:t>-</w:t>
            </w:r>
            <w:r w:rsidRPr="00FF2DB1">
              <w:rPr>
                <w:rFonts w:eastAsia="MS Mincho"/>
                <w:szCs w:val="18"/>
                <w:lang w:eastAsia="ja-JP"/>
              </w:rPr>
              <w:t>ETHANE (REFRIGERANT GAS R 124)</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Not allowed in tank vessels in ADN</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Refrigerant gases</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1022</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val="fr-FR" w:eastAsia="ja-JP"/>
              </w:rPr>
              <w:t>CHLOROTRIFLUORO</w:t>
            </w:r>
            <w:r w:rsidR="002F62F6">
              <w:rPr>
                <w:rFonts w:eastAsia="MS Mincho"/>
                <w:szCs w:val="18"/>
                <w:lang w:val="fr-FR" w:eastAsia="ja-JP"/>
              </w:rPr>
              <w:t>-</w:t>
            </w:r>
            <w:r w:rsidRPr="00FF2DB1">
              <w:rPr>
                <w:rFonts w:eastAsia="MS Mincho"/>
                <w:szCs w:val="18"/>
                <w:lang w:val="fr-FR" w:eastAsia="ja-JP"/>
              </w:rPr>
              <w:t>METHANE (REFRIGERANT GAS R 13)</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Not allowed in tank vessels in ADN</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Refrigerant gases</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1028</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val="fr-FR" w:eastAsia="ja-JP"/>
              </w:rPr>
              <w:t>DICHLORODIFLUORO-</w:t>
            </w:r>
            <w:r w:rsidRPr="00FF2DB1">
              <w:rPr>
                <w:rFonts w:eastAsia="MS Mincho"/>
                <w:szCs w:val="18"/>
                <w:lang w:val="fr-FR" w:eastAsia="ja-JP"/>
              </w:rPr>
              <w:lastRenderedPageBreak/>
              <w:t>METHANE (REFRIGERANT GAS R 12)</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lastRenderedPageBreak/>
              <w:t xml:space="preserve">Not allowed in tank vessels in </w:t>
            </w:r>
            <w:r w:rsidRPr="00FF2DB1">
              <w:rPr>
                <w:szCs w:val="18"/>
              </w:rPr>
              <w:lastRenderedPageBreak/>
              <w:t>ADN</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lastRenderedPageBreak/>
              <w:t>Refrigerant gases</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1029</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val="fr-FR" w:eastAsia="ja-JP"/>
              </w:rPr>
              <w:t>DICHLOROFLUORO-METHANE (REFRIGERANT GAS R 21)</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Not allowed in tank vessels in ADN</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Refrigerant gases</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1078</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eastAsia="ja-JP"/>
              </w:rPr>
              <w:t>REFRIGERANT GAS, N.O.S., such as mixture F1, mixture F2 or mixture F3</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Not allowed in tank vessels in ADN</w:t>
            </w:r>
          </w:p>
        </w:tc>
      </w:tr>
      <w:tr w:rsidR="00024DE8" w:rsidRPr="00024DE8" w:rsidTr="002F62F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Vinyl ethyl ether</w:t>
            </w:r>
          </w:p>
        </w:tc>
        <w:tc>
          <w:tcPr>
            <w:tcW w:w="708" w:type="dxa"/>
            <w:tcBorders>
              <w:top w:val="single" w:sz="4" w:space="0" w:color="auto"/>
              <w:left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1302</w:t>
            </w:r>
          </w:p>
        </w:tc>
        <w:tc>
          <w:tcPr>
            <w:tcW w:w="2567" w:type="dxa"/>
            <w:tcBorders>
              <w:top w:val="single" w:sz="4" w:space="0" w:color="auto"/>
              <w:bottom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val="fr-FR" w:eastAsia="ja-JP"/>
              </w:rPr>
              <w:t>VINYL ETHYL ETHER, STABILIZED</w:t>
            </w:r>
          </w:p>
        </w:tc>
        <w:tc>
          <w:tcPr>
            <w:tcW w:w="2535" w:type="dxa"/>
            <w:tcBorders>
              <w:top w:val="single" w:sz="4" w:space="0" w:color="auto"/>
              <w:bottom w:val="single" w:sz="4"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Not allowed in tank vessels in ADN</w:t>
            </w:r>
          </w:p>
        </w:tc>
      </w:tr>
      <w:tr w:rsidR="00024DE8" w:rsidRPr="00024DE8" w:rsidTr="002F62F6">
        <w:tc>
          <w:tcPr>
            <w:tcW w:w="1560" w:type="dxa"/>
            <w:tcBorders>
              <w:top w:val="single" w:sz="4" w:space="0" w:color="auto"/>
              <w:left w:val="single" w:sz="4" w:space="0" w:color="auto"/>
              <w:bottom w:val="single" w:sz="12"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Vinylidene chloride</w:t>
            </w:r>
          </w:p>
        </w:tc>
        <w:tc>
          <w:tcPr>
            <w:tcW w:w="708" w:type="dxa"/>
            <w:tcBorders>
              <w:top w:val="single" w:sz="4" w:space="0" w:color="auto"/>
              <w:left w:val="single" w:sz="4" w:space="0" w:color="auto"/>
              <w:bottom w:val="single" w:sz="12"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1303</w:t>
            </w:r>
          </w:p>
        </w:tc>
        <w:tc>
          <w:tcPr>
            <w:tcW w:w="2567" w:type="dxa"/>
            <w:tcBorders>
              <w:top w:val="single" w:sz="4" w:space="0" w:color="auto"/>
              <w:bottom w:val="single" w:sz="12"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rFonts w:eastAsia="MS Mincho"/>
                <w:szCs w:val="18"/>
                <w:lang w:eastAsia="ja-JP"/>
              </w:rPr>
            </w:pPr>
            <w:r w:rsidRPr="00FF2DB1">
              <w:rPr>
                <w:rFonts w:eastAsia="MS Mincho"/>
                <w:szCs w:val="18"/>
                <w:lang w:val="fr-FR" w:eastAsia="ja-JP"/>
              </w:rPr>
              <w:t>VINYLIDENE CHLORIDE, STABILIZED</w:t>
            </w:r>
          </w:p>
        </w:tc>
        <w:tc>
          <w:tcPr>
            <w:tcW w:w="2535" w:type="dxa"/>
            <w:tcBorders>
              <w:top w:val="single" w:sz="4" w:space="0" w:color="auto"/>
              <w:bottom w:val="single" w:sz="12" w:space="0" w:color="auto"/>
              <w:right w:val="single" w:sz="4" w:space="0" w:color="auto"/>
            </w:tcBorders>
            <w:shd w:val="clear" w:color="auto" w:fill="auto"/>
            <w:vAlign w:val="center"/>
          </w:tcPr>
          <w:p w:rsidR="00FF2DB1" w:rsidRPr="00FF2DB1" w:rsidRDefault="00FF2DB1" w:rsidP="002F62F6">
            <w:pPr>
              <w:suppressAutoHyphens w:val="0"/>
              <w:spacing w:before="40" w:after="120" w:line="220" w:lineRule="exact"/>
              <w:ind w:right="113"/>
              <w:jc w:val="center"/>
              <w:rPr>
                <w:szCs w:val="18"/>
              </w:rPr>
            </w:pPr>
            <w:r w:rsidRPr="00FF2DB1">
              <w:rPr>
                <w:szCs w:val="18"/>
              </w:rPr>
              <w:t>Not allowed in tank vessels in ADN</w:t>
            </w:r>
          </w:p>
        </w:tc>
      </w:tr>
    </w:tbl>
    <w:p w:rsidR="00FF2DB1" w:rsidRPr="00FF2DB1" w:rsidRDefault="00FF2DB1" w:rsidP="00024DE8">
      <w:pPr>
        <w:pStyle w:val="SingleTxtG"/>
        <w:spacing w:before="120"/>
      </w:pPr>
      <w:r w:rsidRPr="00FF2DB1">
        <w:t>12.</w:t>
      </w:r>
      <w:r w:rsidRPr="00FF2DB1">
        <w:tab/>
        <w:t xml:space="preserve">The participants however concluded that the list of substances in paragraph 10 requires additional evaluation, primary to check whether other prescribed carriage conditions in Table C and the remarks in Column 20 of Table C and the special requirements in Column </w:t>
      </w:r>
      <w:proofErr w:type="spellStart"/>
      <w:r w:rsidRPr="00FF2DB1">
        <w:t>i</w:t>
      </w:r>
      <w:proofErr w:type="spellEnd"/>
      <w:r w:rsidRPr="00FF2DB1">
        <w:t xml:space="preserve"> of Chapter 19 of the IGC code, do not contain provisions which block the use of membrane tanks for the carriage of these substances. Among others, the question was raised in how far substances, which in accordance with ADN shall be carried stabilized and not just under temperature control, are suitable for membrane tanks as experienced by seagoing vessels. This evaluation will take place during the next meeting of the working group. The working group agreed to request the informal working group on Substances to verify the provisional list of substances, suitable for carriage in membrane tanks. </w:t>
      </w:r>
    </w:p>
    <w:p w:rsidR="00FF2DB1" w:rsidRPr="00FF2DB1" w:rsidRDefault="00024DE8" w:rsidP="00024DE8">
      <w:pPr>
        <w:pStyle w:val="HChG"/>
      </w:pPr>
      <w:r>
        <w:tab/>
      </w:r>
      <w:r>
        <w:tab/>
      </w:r>
      <w:r w:rsidR="00FF2DB1" w:rsidRPr="00FF2DB1">
        <w:t>Amendments for ADN 2019</w:t>
      </w:r>
    </w:p>
    <w:p w:rsidR="00FF2DB1" w:rsidRPr="00FF2DB1" w:rsidRDefault="00FF2DB1" w:rsidP="00024DE8">
      <w:pPr>
        <w:pStyle w:val="SingleTxtG"/>
      </w:pPr>
      <w:r w:rsidRPr="00FF2DB1">
        <w:t>13.</w:t>
      </w:r>
      <w:r w:rsidRPr="00FF2DB1">
        <w:tab/>
        <w:t>After determining the provisional list of substances suitable for carriage in membrane tanks, the working group discussed the preferable approach to regulate membrane tanks in the Regulations annexed to ADN. The participants supported a proposal made by the delegate from France to add lines to Table C with alternative carriage requirements (membrane tanks) for the identified relevant substances. This approach makes it very clear that carriage in membrane tank is for some substances an alternative to carriage in independent pressure tanks.</w:t>
      </w:r>
    </w:p>
    <w:p w:rsidR="00FF2DB1" w:rsidRPr="00FF2DB1" w:rsidRDefault="00FF2DB1" w:rsidP="00024DE8">
      <w:pPr>
        <w:pStyle w:val="SingleTxtG"/>
      </w:pPr>
      <w:r w:rsidRPr="00FF2DB1">
        <w:t>14.</w:t>
      </w:r>
      <w:r w:rsidRPr="00FF2DB1">
        <w:tab/>
        <w:t>If the ADN Safety Committee supports the approach described in paragraph 13, the working group identified in a preliminary inventory the following articles requiring further research and possible amendment: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24"/>
        <w:gridCol w:w="3352"/>
        <w:gridCol w:w="2794"/>
      </w:tblGrid>
      <w:tr w:rsidR="00024DE8" w:rsidRPr="00FF2DB1" w:rsidTr="00024DE8">
        <w:trPr>
          <w:tblHeader/>
        </w:trPr>
        <w:tc>
          <w:tcPr>
            <w:tcW w:w="1224" w:type="dxa"/>
            <w:tcBorders>
              <w:top w:val="single" w:sz="4" w:space="0" w:color="auto"/>
              <w:bottom w:val="single" w:sz="12" w:space="0" w:color="auto"/>
            </w:tcBorders>
            <w:shd w:val="clear" w:color="auto" w:fill="auto"/>
            <w:vAlign w:val="bottom"/>
          </w:tcPr>
          <w:p w:rsidR="00FF2DB1" w:rsidRPr="00FF2DB1" w:rsidRDefault="00FF2DB1" w:rsidP="00024DE8">
            <w:pPr>
              <w:suppressAutoHyphens w:val="0"/>
              <w:spacing w:before="80" w:after="80" w:line="200" w:lineRule="exact"/>
              <w:ind w:right="113"/>
              <w:rPr>
                <w:i/>
                <w:sz w:val="16"/>
              </w:rPr>
            </w:pPr>
            <w:r w:rsidRPr="00FF2DB1">
              <w:rPr>
                <w:i/>
                <w:sz w:val="16"/>
              </w:rPr>
              <w:t>Article</w:t>
            </w:r>
          </w:p>
        </w:tc>
        <w:tc>
          <w:tcPr>
            <w:tcW w:w="3352" w:type="dxa"/>
            <w:tcBorders>
              <w:top w:val="single" w:sz="4" w:space="0" w:color="auto"/>
              <w:bottom w:val="single" w:sz="12" w:space="0" w:color="auto"/>
            </w:tcBorders>
            <w:shd w:val="clear" w:color="auto" w:fill="auto"/>
            <w:vAlign w:val="bottom"/>
          </w:tcPr>
          <w:p w:rsidR="00FF2DB1" w:rsidRPr="00FF2DB1" w:rsidRDefault="00FF2DB1" w:rsidP="00024DE8">
            <w:pPr>
              <w:suppressAutoHyphens w:val="0"/>
              <w:spacing w:before="80" w:after="80" w:line="200" w:lineRule="exact"/>
              <w:ind w:right="113"/>
              <w:rPr>
                <w:i/>
                <w:sz w:val="16"/>
              </w:rPr>
            </w:pPr>
            <w:r w:rsidRPr="00FF2DB1">
              <w:rPr>
                <w:i/>
                <w:sz w:val="16"/>
              </w:rPr>
              <w:t>Subject</w:t>
            </w:r>
          </w:p>
        </w:tc>
        <w:tc>
          <w:tcPr>
            <w:tcW w:w="2794" w:type="dxa"/>
            <w:tcBorders>
              <w:top w:val="single" w:sz="4" w:space="0" w:color="auto"/>
              <w:bottom w:val="single" w:sz="12" w:space="0" w:color="auto"/>
            </w:tcBorders>
            <w:shd w:val="clear" w:color="auto" w:fill="auto"/>
            <w:vAlign w:val="bottom"/>
          </w:tcPr>
          <w:p w:rsidR="00FF2DB1" w:rsidRPr="00FF2DB1" w:rsidRDefault="00FF2DB1" w:rsidP="00024DE8">
            <w:pPr>
              <w:suppressAutoHyphens w:val="0"/>
              <w:spacing w:before="80" w:after="80" w:line="200" w:lineRule="exact"/>
              <w:ind w:right="113"/>
              <w:rPr>
                <w:i/>
                <w:sz w:val="16"/>
              </w:rPr>
            </w:pPr>
            <w:r w:rsidRPr="00FF2DB1">
              <w:rPr>
                <w:i/>
                <w:sz w:val="16"/>
              </w:rPr>
              <w:t>Additional comments</w:t>
            </w:r>
          </w:p>
        </w:tc>
      </w:tr>
      <w:tr w:rsidR="00FF2DB1" w:rsidRPr="00FF2DB1" w:rsidTr="00024DE8">
        <w:tc>
          <w:tcPr>
            <w:tcW w:w="1224" w:type="dxa"/>
            <w:tcBorders>
              <w:top w:val="single" w:sz="12" w:space="0" w:color="auto"/>
            </w:tcBorders>
            <w:shd w:val="clear" w:color="auto" w:fill="auto"/>
          </w:tcPr>
          <w:p w:rsidR="00FF2DB1" w:rsidRPr="00FF2DB1" w:rsidRDefault="00FF2DB1" w:rsidP="00024DE8">
            <w:pPr>
              <w:suppressAutoHyphens w:val="0"/>
              <w:spacing w:before="40" w:after="120" w:line="220" w:lineRule="exact"/>
              <w:ind w:right="113"/>
            </w:pPr>
            <w:r w:rsidRPr="00FF2DB1">
              <w:t>1.2.1</w:t>
            </w:r>
          </w:p>
        </w:tc>
        <w:tc>
          <w:tcPr>
            <w:tcW w:w="3352" w:type="dxa"/>
            <w:tcBorders>
              <w:top w:val="single" w:sz="12" w:space="0" w:color="auto"/>
            </w:tcBorders>
            <w:shd w:val="clear" w:color="auto" w:fill="auto"/>
          </w:tcPr>
          <w:p w:rsidR="00FF2DB1" w:rsidRPr="00FF2DB1" w:rsidRDefault="00FF2DB1" w:rsidP="00024DE8">
            <w:pPr>
              <w:suppressAutoHyphens w:val="0"/>
              <w:spacing w:before="40" w:after="120" w:line="220" w:lineRule="exact"/>
              <w:ind w:right="113"/>
            </w:pPr>
            <w:r w:rsidRPr="00FF2DB1">
              <w:t xml:space="preserve">Definition of membrane tank as fourth </w:t>
            </w:r>
            <w:r w:rsidRPr="00FF2DB1">
              <w:rPr>
                <w:i/>
              </w:rPr>
              <w:t>Cargo tank type</w:t>
            </w:r>
          </w:p>
        </w:tc>
        <w:tc>
          <w:tcPr>
            <w:tcW w:w="2794" w:type="dxa"/>
            <w:tcBorders>
              <w:top w:val="single" w:sz="12" w:space="0" w:color="auto"/>
            </w:tcBorders>
            <w:shd w:val="clear" w:color="auto" w:fill="auto"/>
          </w:tcPr>
          <w:p w:rsidR="00FF2DB1" w:rsidRPr="00FF2DB1" w:rsidRDefault="00FF2DB1" w:rsidP="00024DE8">
            <w:pPr>
              <w:suppressAutoHyphens w:val="0"/>
              <w:spacing w:before="40" w:after="120" w:line="220" w:lineRule="exact"/>
              <w:ind w:right="113"/>
            </w:pPr>
            <w:r w:rsidRPr="00FF2DB1">
              <w:t>See IGC Code 4.1.5, 4.24.1.1, 4.24.1.3, 4.24.1.4 and 4.24.1.7</w:t>
            </w:r>
          </w:p>
        </w:tc>
      </w:tr>
      <w:tr w:rsidR="00FF2DB1" w:rsidRPr="00FF2DB1" w:rsidTr="00024DE8">
        <w:tc>
          <w:tcPr>
            <w:tcW w:w="1224" w:type="dxa"/>
            <w:shd w:val="clear" w:color="auto" w:fill="auto"/>
          </w:tcPr>
          <w:p w:rsidR="00FF2DB1" w:rsidRPr="00FF2DB1" w:rsidRDefault="00FF2DB1" w:rsidP="00024DE8">
            <w:pPr>
              <w:suppressAutoHyphens w:val="0"/>
              <w:spacing w:before="40" w:after="120" w:line="220" w:lineRule="exact"/>
              <w:ind w:right="113"/>
            </w:pPr>
            <w:r w:rsidRPr="00FF2DB1">
              <w:t>1.2.1</w:t>
            </w:r>
          </w:p>
        </w:tc>
        <w:tc>
          <w:tcPr>
            <w:tcW w:w="3352" w:type="dxa"/>
            <w:shd w:val="clear" w:color="auto" w:fill="auto"/>
          </w:tcPr>
          <w:p w:rsidR="00FF2DB1" w:rsidRPr="00FF2DB1" w:rsidRDefault="00FF2DB1" w:rsidP="00024DE8">
            <w:pPr>
              <w:suppressAutoHyphens w:val="0"/>
              <w:spacing w:before="40" w:after="120" w:line="220" w:lineRule="exact"/>
              <w:ind w:right="113"/>
            </w:pPr>
            <w:r w:rsidRPr="00FF2DB1">
              <w:t>Definition of IGC Code</w:t>
            </w:r>
          </w:p>
        </w:tc>
        <w:tc>
          <w:tcPr>
            <w:tcW w:w="2794" w:type="dxa"/>
            <w:shd w:val="clear" w:color="auto" w:fill="auto"/>
          </w:tcPr>
          <w:p w:rsidR="00FF2DB1" w:rsidRPr="00FF2DB1" w:rsidRDefault="00FF2DB1" w:rsidP="00024DE8">
            <w:pPr>
              <w:suppressAutoHyphens w:val="0"/>
              <w:spacing w:before="40" w:after="120" w:line="220" w:lineRule="exact"/>
              <w:ind w:right="113"/>
            </w:pPr>
            <w:r w:rsidRPr="00FF2DB1">
              <w:t xml:space="preserve">IGC Code means the International Code for the Construction and Equipment of </w:t>
            </w:r>
            <w:r w:rsidRPr="00FF2DB1">
              <w:lastRenderedPageBreak/>
              <w:t>Ships carrying Liquefied Gases in Bulk, published by the International Maritime Organization (IMO)</w:t>
            </w:r>
          </w:p>
        </w:tc>
      </w:tr>
      <w:tr w:rsidR="00FF2DB1" w:rsidRPr="00FF2DB1" w:rsidTr="00024DE8">
        <w:tc>
          <w:tcPr>
            <w:tcW w:w="1224" w:type="dxa"/>
            <w:shd w:val="clear" w:color="auto" w:fill="auto"/>
          </w:tcPr>
          <w:p w:rsidR="00FF2DB1" w:rsidRPr="00FF2DB1" w:rsidRDefault="00FF2DB1" w:rsidP="00024DE8">
            <w:pPr>
              <w:suppressAutoHyphens w:val="0"/>
              <w:spacing w:before="40" w:after="120" w:line="220" w:lineRule="exact"/>
              <w:ind w:right="113"/>
            </w:pPr>
            <w:r w:rsidRPr="00FF2DB1">
              <w:lastRenderedPageBreak/>
              <w:t>1.2.1</w:t>
            </w:r>
          </w:p>
        </w:tc>
        <w:tc>
          <w:tcPr>
            <w:tcW w:w="3352" w:type="dxa"/>
            <w:shd w:val="clear" w:color="auto" w:fill="auto"/>
          </w:tcPr>
          <w:p w:rsidR="00FF2DB1" w:rsidRPr="00FF2DB1" w:rsidRDefault="00FF2DB1" w:rsidP="00024DE8">
            <w:pPr>
              <w:suppressAutoHyphens w:val="0"/>
              <w:spacing w:before="40" w:after="120" w:line="220" w:lineRule="exact"/>
              <w:ind w:right="113"/>
              <w:rPr>
                <w:i/>
              </w:rPr>
            </w:pPr>
            <w:r w:rsidRPr="00FF2DB1">
              <w:t xml:space="preserve">Add G.2.4 as alternative </w:t>
            </w:r>
            <w:r w:rsidRPr="00FF2DB1">
              <w:rPr>
                <w:i/>
              </w:rPr>
              <w:t>Type of vessel, Type G</w:t>
            </w:r>
          </w:p>
        </w:tc>
        <w:tc>
          <w:tcPr>
            <w:tcW w:w="2794" w:type="dxa"/>
            <w:shd w:val="clear" w:color="auto" w:fill="auto"/>
          </w:tcPr>
          <w:p w:rsidR="00FF2DB1" w:rsidRPr="00FF2DB1" w:rsidRDefault="00FF2DB1" w:rsidP="00024DE8">
            <w:pPr>
              <w:suppressAutoHyphens w:val="0"/>
              <w:spacing w:before="40" w:after="120" w:line="220" w:lineRule="exact"/>
              <w:ind w:right="113"/>
            </w:pPr>
            <w:r w:rsidRPr="00FF2DB1">
              <w:t>Add Drawing of Type G, Cargo tank design 2, Type of cargo tank 4 (membrane tank)</w:t>
            </w:r>
          </w:p>
        </w:tc>
      </w:tr>
      <w:tr w:rsidR="00FF2DB1" w:rsidRPr="00FF2DB1" w:rsidTr="00024DE8">
        <w:tc>
          <w:tcPr>
            <w:tcW w:w="1224" w:type="dxa"/>
            <w:shd w:val="clear" w:color="auto" w:fill="auto"/>
          </w:tcPr>
          <w:p w:rsidR="00FF2DB1" w:rsidRPr="00FF2DB1" w:rsidRDefault="00FF2DB1" w:rsidP="00024DE8">
            <w:pPr>
              <w:suppressAutoHyphens w:val="0"/>
              <w:spacing w:before="40" w:after="120" w:line="220" w:lineRule="exact"/>
              <w:ind w:right="113"/>
            </w:pPr>
            <w:r w:rsidRPr="00FF2DB1">
              <w:t>3.2</w:t>
            </w:r>
          </w:p>
        </w:tc>
        <w:tc>
          <w:tcPr>
            <w:tcW w:w="3352" w:type="dxa"/>
            <w:shd w:val="clear" w:color="auto" w:fill="auto"/>
          </w:tcPr>
          <w:p w:rsidR="00FF2DB1" w:rsidRPr="00FF2DB1" w:rsidRDefault="00FF2DB1" w:rsidP="00024DE8">
            <w:pPr>
              <w:suppressAutoHyphens w:val="0"/>
              <w:spacing w:before="40" w:after="120" w:line="220" w:lineRule="exact"/>
              <w:ind w:right="113"/>
            </w:pPr>
            <w:r w:rsidRPr="00FF2DB1">
              <w:t>Add additional lines to certain UN numbers in Table C</w:t>
            </w:r>
          </w:p>
        </w:tc>
        <w:tc>
          <w:tcPr>
            <w:tcW w:w="2794" w:type="dxa"/>
            <w:shd w:val="clear" w:color="auto" w:fill="auto"/>
          </w:tcPr>
          <w:p w:rsidR="00FF2DB1" w:rsidRPr="00FF2DB1" w:rsidRDefault="00FF2DB1" w:rsidP="00024DE8">
            <w:pPr>
              <w:suppressAutoHyphens w:val="0"/>
              <w:spacing w:before="40" w:after="120" w:line="220" w:lineRule="exact"/>
              <w:ind w:right="113"/>
            </w:pPr>
          </w:p>
        </w:tc>
      </w:tr>
      <w:tr w:rsidR="00FF2DB1" w:rsidRPr="00FF2DB1" w:rsidTr="00024DE8">
        <w:tc>
          <w:tcPr>
            <w:tcW w:w="1224" w:type="dxa"/>
            <w:shd w:val="clear" w:color="auto" w:fill="auto"/>
          </w:tcPr>
          <w:p w:rsidR="00FF2DB1" w:rsidRPr="00FF2DB1" w:rsidRDefault="00FF2DB1" w:rsidP="00024DE8">
            <w:pPr>
              <w:suppressAutoHyphens w:val="0"/>
              <w:spacing w:before="40" w:after="120" w:line="220" w:lineRule="exact"/>
              <w:ind w:right="113"/>
            </w:pPr>
            <w:r w:rsidRPr="00FF2DB1">
              <w:t>7.2 (general)</w:t>
            </w:r>
          </w:p>
        </w:tc>
        <w:tc>
          <w:tcPr>
            <w:tcW w:w="3352" w:type="dxa"/>
            <w:shd w:val="clear" w:color="auto" w:fill="auto"/>
          </w:tcPr>
          <w:p w:rsidR="00FF2DB1" w:rsidRPr="00FF2DB1" w:rsidRDefault="00FF2DB1" w:rsidP="00024DE8">
            <w:pPr>
              <w:suppressAutoHyphens w:val="0"/>
              <w:spacing w:before="40" w:after="120" w:line="220" w:lineRule="exact"/>
              <w:ind w:right="113"/>
            </w:pPr>
            <w:r w:rsidRPr="00FF2DB1">
              <w:t xml:space="preserve">Check which requirements concerning loading, carriage, unloading and handling of the cargo apply to the carriage in membrane tanks and/or </w:t>
            </w:r>
            <w:proofErr w:type="gramStart"/>
            <w:r w:rsidRPr="00FF2DB1">
              <w:t>have to</w:t>
            </w:r>
            <w:proofErr w:type="gramEnd"/>
            <w:r w:rsidRPr="00FF2DB1">
              <w:t xml:space="preserve"> be adjustment </w:t>
            </w:r>
          </w:p>
        </w:tc>
        <w:tc>
          <w:tcPr>
            <w:tcW w:w="2794" w:type="dxa"/>
            <w:shd w:val="clear" w:color="auto" w:fill="auto"/>
          </w:tcPr>
          <w:p w:rsidR="00FF2DB1" w:rsidRPr="00FF2DB1" w:rsidRDefault="00FF2DB1" w:rsidP="00024DE8">
            <w:pPr>
              <w:suppressAutoHyphens w:val="0"/>
              <w:spacing w:before="40" w:after="120" w:line="220" w:lineRule="exact"/>
              <w:ind w:right="113"/>
            </w:pPr>
            <w:r w:rsidRPr="00FF2DB1">
              <w:t xml:space="preserve">For </w:t>
            </w:r>
            <w:proofErr w:type="gramStart"/>
            <w:r w:rsidRPr="00FF2DB1">
              <w:t>example</w:t>
            </w:r>
            <w:proofErr w:type="gramEnd"/>
            <w:r w:rsidRPr="00FF2DB1">
              <w:t xml:space="preserve"> filling conditions</w:t>
            </w:r>
          </w:p>
        </w:tc>
      </w:tr>
      <w:tr w:rsidR="00FF2DB1" w:rsidRPr="00FF2DB1" w:rsidTr="00024DE8">
        <w:tc>
          <w:tcPr>
            <w:tcW w:w="1224" w:type="dxa"/>
            <w:shd w:val="clear" w:color="auto" w:fill="auto"/>
          </w:tcPr>
          <w:p w:rsidR="00FF2DB1" w:rsidRPr="00FF2DB1" w:rsidRDefault="00FF2DB1" w:rsidP="00024DE8">
            <w:pPr>
              <w:suppressAutoHyphens w:val="0"/>
              <w:spacing w:before="40" w:after="120" w:line="220" w:lineRule="exact"/>
              <w:ind w:right="113"/>
            </w:pPr>
            <w:r w:rsidRPr="00FF2DB1">
              <w:t>7.2.1.21</w:t>
            </w:r>
          </w:p>
        </w:tc>
        <w:tc>
          <w:tcPr>
            <w:tcW w:w="3352" w:type="dxa"/>
            <w:shd w:val="clear" w:color="auto" w:fill="auto"/>
          </w:tcPr>
          <w:p w:rsidR="00FF2DB1" w:rsidRPr="00FF2DB1" w:rsidRDefault="00FF2DB1" w:rsidP="00024DE8">
            <w:pPr>
              <w:suppressAutoHyphens w:val="0"/>
              <w:spacing w:before="40" w:after="120" w:line="220" w:lineRule="exact"/>
              <w:ind w:right="113"/>
            </w:pPr>
            <w:r w:rsidRPr="00FF2DB1">
              <w:t>State that membrane tanks are only an alternative for certain substances which are currently carried in G.1.1 tank vessels</w:t>
            </w:r>
          </w:p>
        </w:tc>
        <w:tc>
          <w:tcPr>
            <w:tcW w:w="2794" w:type="dxa"/>
            <w:shd w:val="clear" w:color="auto" w:fill="auto"/>
          </w:tcPr>
          <w:p w:rsidR="00FF2DB1" w:rsidRPr="00FF2DB1" w:rsidRDefault="00FF2DB1" w:rsidP="00024DE8">
            <w:pPr>
              <w:suppressAutoHyphens w:val="0"/>
              <w:spacing w:before="40" w:after="120" w:line="220" w:lineRule="exact"/>
              <w:ind w:right="113"/>
            </w:pPr>
          </w:p>
        </w:tc>
      </w:tr>
      <w:tr w:rsidR="00FF2DB1" w:rsidRPr="00FF2DB1" w:rsidTr="00024DE8">
        <w:tc>
          <w:tcPr>
            <w:tcW w:w="1224" w:type="dxa"/>
            <w:shd w:val="clear" w:color="auto" w:fill="auto"/>
          </w:tcPr>
          <w:p w:rsidR="00FF2DB1" w:rsidRPr="00FF2DB1" w:rsidRDefault="00FF2DB1" w:rsidP="00024DE8">
            <w:pPr>
              <w:suppressAutoHyphens w:val="0"/>
              <w:spacing w:before="40" w:after="120" w:line="220" w:lineRule="exact"/>
              <w:ind w:right="113"/>
            </w:pPr>
            <w:r w:rsidRPr="00FF2DB1">
              <w:t xml:space="preserve">7.2.4.16.16 </w:t>
            </w:r>
          </w:p>
        </w:tc>
        <w:tc>
          <w:tcPr>
            <w:tcW w:w="3352" w:type="dxa"/>
            <w:shd w:val="clear" w:color="auto" w:fill="auto"/>
          </w:tcPr>
          <w:p w:rsidR="00FF2DB1" w:rsidRPr="00FF2DB1" w:rsidRDefault="00FF2DB1" w:rsidP="00024DE8">
            <w:pPr>
              <w:suppressAutoHyphens w:val="0"/>
              <w:spacing w:before="40" w:after="120" w:line="220" w:lineRule="exact"/>
              <w:ind w:right="113"/>
            </w:pPr>
            <w:r w:rsidRPr="00FF2DB1">
              <w:t>Measures to be taken before loading refrigerated liquefied gases</w:t>
            </w:r>
          </w:p>
        </w:tc>
        <w:tc>
          <w:tcPr>
            <w:tcW w:w="2794" w:type="dxa"/>
            <w:shd w:val="clear" w:color="auto" w:fill="auto"/>
          </w:tcPr>
          <w:p w:rsidR="00FF2DB1" w:rsidRPr="00FF2DB1" w:rsidRDefault="00FF2DB1" w:rsidP="00024DE8">
            <w:pPr>
              <w:suppressAutoHyphens w:val="0"/>
              <w:spacing w:before="40" w:after="120" w:line="220" w:lineRule="exact"/>
              <w:ind w:right="113"/>
            </w:pPr>
          </w:p>
        </w:tc>
      </w:tr>
      <w:tr w:rsidR="00FF2DB1" w:rsidRPr="00FF2DB1" w:rsidTr="00024DE8">
        <w:tc>
          <w:tcPr>
            <w:tcW w:w="1224" w:type="dxa"/>
            <w:shd w:val="clear" w:color="auto" w:fill="auto"/>
          </w:tcPr>
          <w:p w:rsidR="00FF2DB1" w:rsidRPr="00FF2DB1" w:rsidRDefault="00FF2DB1" w:rsidP="00024DE8">
            <w:pPr>
              <w:suppressAutoHyphens w:val="0"/>
              <w:spacing w:before="40" w:after="120" w:line="220" w:lineRule="exact"/>
              <w:ind w:right="113"/>
            </w:pPr>
            <w:r w:rsidRPr="00FF2DB1">
              <w:t>7.2.4.16.17</w:t>
            </w:r>
          </w:p>
        </w:tc>
        <w:tc>
          <w:tcPr>
            <w:tcW w:w="3352" w:type="dxa"/>
            <w:shd w:val="clear" w:color="auto" w:fill="auto"/>
          </w:tcPr>
          <w:p w:rsidR="00FF2DB1" w:rsidRPr="00FF2DB1" w:rsidRDefault="00FF2DB1" w:rsidP="00024DE8">
            <w:pPr>
              <w:suppressAutoHyphens w:val="0"/>
              <w:spacing w:before="40" w:after="120" w:line="220" w:lineRule="exact"/>
              <w:ind w:right="113"/>
            </w:pPr>
            <w:r w:rsidRPr="00FF2DB1">
              <w:t>Determination of holding time</w:t>
            </w:r>
          </w:p>
        </w:tc>
        <w:tc>
          <w:tcPr>
            <w:tcW w:w="2794" w:type="dxa"/>
            <w:shd w:val="clear" w:color="auto" w:fill="auto"/>
          </w:tcPr>
          <w:p w:rsidR="00FF2DB1" w:rsidRPr="00FF2DB1" w:rsidRDefault="00FF2DB1" w:rsidP="00024DE8">
            <w:pPr>
              <w:suppressAutoHyphens w:val="0"/>
              <w:spacing w:before="40" w:after="120" w:line="220" w:lineRule="exact"/>
              <w:ind w:right="113"/>
            </w:pPr>
          </w:p>
        </w:tc>
      </w:tr>
      <w:tr w:rsidR="00FF2DB1" w:rsidRPr="00FF2DB1" w:rsidTr="00024DE8">
        <w:tc>
          <w:tcPr>
            <w:tcW w:w="1224" w:type="dxa"/>
            <w:shd w:val="clear" w:color="auto" w:fill="auto"/>
          </w:tcPr>
          <w:p w:rsidR="00FF2DB1" w:rsidRPr="00FF2DB1" w:rsidRDefault="00FF2DB1" w:rsidP="00024DE8">
            <w:pPr>
              <w:suppressAutoHyphens w:val="0"/>
              <w:spacing w:before="40" w:after="120" w:line="220" w:lineRule="exact"/>
              <w:ind w:right="113"/>
            </w:pPr>
            <w:r w:rsidRPr="00FF2DB1">
              <w:t>8.2.2.3.3.1</w:t>
            </w:r>
          </w:p>
        </w:tc>
        <w:tc>
          <w:tcPr>
            <w:tcW w:w="3352" w:type="dxa"/>
            <w:shd w:val="clear" w:color="auto" w:fill="auto"/>
          </w:tcPr>
          <w:p w:rsidR="00FF2DB1" w:rsidRPr="00FF2DB1" w:rsidRDefault="00FF2DB1" w:rsidP="00024DE8">
            <w:pPr>
              <w:suppressAutoHyphens w:val="0"/>
              <w:spacing w:before="40" w:after="120" w:line="220" w:lineRule="exact"/>
              <w:ind w:right="113"/>
            </w:pPr>
            <w:r w:rsidRPr="00FF2DB1">
              <w:t>Add knowledge of membrane tanks to the objectives of the specialized course on gases</w:t>
            </w:r>
          </w:p>
        </w:tc>
        <w:tc>
          <w:tcPr>
            <w:tcW w:w="2794" w:type="dxa"/>
            <w:shd w:val="clear" w:color="auto" w:fill="auto"/>
          </w:tcPr>
          <w:p w:rsidR="00FF2DB1" w:rsidRPr="00FF2DB1" w:rsidRDefault="00FF2DB1" w:rsidP="00024DE8">
            <w:pPr>
              <w:suppressAutoHyphens w:val="0"/>
              <w:spacing w:before="40" w:after="120" w:line="220" w:lineRule="exact"/>
              <w:ind w:right="113"/>
            </w:pPr>
          </w:p>
        </w:tc>
      </w:tr>
      <w:tr w:rsidR="00FF2DB1" w:rsidRPr="00FF2DB1" w:rsidTr="00024DE8">
        <w:tc>
          <w:tcPr>
            <w:tcW w:w="1224" w:type="dxa"/>
            <w:shd w:val="clear" w:color="auto" w:fill="auto"/>
          </w:tcPr>
          <w:p w:rsidR="00FF2DB1" w:rsidRPr="00FF2DB1" w:rsidRDefault="00FF2DB1" w:rsidP="00024DE8">
            <w:pPr>
              <w:suppressAutoHyphens w:val="0"/>
              <w:spacing w:before="40" w:after="120" w:line="220" w:lineRule="exact"/>
              <w:ind w:right="113"/>
            </w:pPr>
            <w:r w:rsidRPr="00FF2DB1">
              <w:t>9.3.1 (general)</w:t>
            </w:r>
          </w:p>
        </w:tc>
        <w:tc>
          <w:tcPr>
            <w:tcW w:w="3352" w:type="dxa"/>
            <w:shd w:val="clear" w:color="auto" w:fill="auto"/>
          </w:tcPr>
          <w:p w:rsidR="00FF2DB1" w:rsidRPr="00FF2DB1" w:rsidRDefault="00FF2DB1" w:rsidP="00024DE8">
            <w:pPr>
              <w:suppressAutoHyphens w:val="0"/>
              <w:spacing w:before="40" w:after="120" w:line="220" w:lineRule="exact"/>
              <w:ind w:right="113"/>
            </w:pPr>
            <w:r w:rsidRPr="00FF2DB1">
              <w:t>Check which requirements concerning construction require amendment for the introduction of membrane tanks</w:t>
            </w:r>
          </w:p>
        </w:tc>
        <w:tc>
          <w:tcPr>
            <w:tcW w:w="2794" w:type="dxa"/>
            <w:shd w:val="clear" w:color="auto" w:fill="auto"/>
          </w:tcPr>
          <w:p w:rsidR="00FF2DB1" w:rsidRPr="00FF2DB1" w:rsidRDefault="00FF2DB1" w:rsidP="00024DE8">
            <w:pPr>
              <w:suppressAutoHyphens w:val="0"/>
              <w:spacing w:before="40" w:after="120" w:line="220" w:lineRule="exact"/>
              <w:ind w:right="113"/>
            </w:pPr>
            <w:r w:rsidRPr="00FF2DB1">
              <w:t xml:space="preserve">For </w:t>
            </w:r>
            <w:proofErr w:type="gramStart"/>
            <w:r w:rsidRPr="00FF2DB1">
              <w:t>example</w:t>
            </w:r>
            <w:proofErr w:type="gramEnd"/>
            <w:r w:rsidRPr="00FF2DB1">
              <w:t xml:space="preserve"> stability, boil off, sloshing</w:t>
            </w:r>
          </w:p>
        </w:tc>
      </w:tr>
      <w:tr w:rsidR="00FF2DB1" w:rsidRPr="00FF2DB1" w:rsidTr="00024DE8">
        <w:tc>
          <w:tcPr>
            <w:tcW w:w="1224" w:type="dxa"/>
            <w:shd w:val="clear" w:color="auto" w:fill="auto"/>
          </w:tcPr>
          <w:p w:rsidR="00FF2DB1" w:rsidRPr="00FF2DB1" w:rsidRDefault="00FF2DB1" w:rsidP="00024DE8">
            <w:pPr>
              <w:suppressAutoHyphens w:val="0"/>
              <w:spacing w:before="40" w:after="120" w:line="220" w:lineRule="exact"/>
              <w:ind w:right="113"/>
            </w:pPr>
            <w:r w:rsidRPr="00FF2DB1">
              <w:t>9.3.1.0</w:t>
            </w:r>
          </w:p>
        </w:tc>
        <w:tc>
          <w:tcPr>
            <w:tcW w:w="3352" w:type="dxa"/>
            <w:shd w:val="clear" w:color="auto" w:fill="auto"/>
          </w:tcPr>
          <w:p w:rsidR="00FF2DB1" w:rsidRPr="00FF2DB1" w:rsidRDefault="00FF2DB1" w:rsidP="00024DE8">
            <w:pPr>
              <w:suppressAutoHyphens w:val="0"/>
              <w:spacing w:before="40" w:after="120" w:line="220" w:lineRule="exact"/>
              <w:ind w:right="113"/>
            </w:pPr>
            <w:r w:rsidRPr="00FF2DB1">
              <w:t>Materials of construction</w:t>
            </w:r>
          </w:p>
        </w:tc>
        <w:tc>
          <w:tcPr>
            <w:tcW w:w="2794" w:type="dxa"/>
            <w:shd w:val="clear" w:color="auto" w:fill="auto"/>
          </w:tcPr>
          <w:p w:rsidR="00FF2DB1" w:rsidRPr="00FF2DB1" w:rsidRDefault="00FF2DB1" w:rsidP="00024DE8">
            <w:pPr>
              <w:suppressAutoHyphens w:val="0"/>
              <w:spacing w:before="40" w:after="120" w:line="220" w:lineRule="exact"/>
              <w:ind w:right="113"/>
            </w:pPr>
            <w:r w:rsidRPr="00FF2DB1">
              <w:t>Check whether all materials in membrane tanks are in conformity with ADN</w:t>
            </w:r>
          </w:p>
        </w:tc>
      </w:tr>
      <w:tr w:rsidR="00FF2DB1" w:rsidRPr="00FF2DB1" w:rsidTr="00024DE8">
        <w:tc>
          <w:tcPr>
            <w:tcW w:w="1224" w:type="dxa"/>
            <w:shd w:val="clear" w:color="auto" w:fill="auto"/>
          </w:tcPr>
          <w:p w:rsidR="00FF2DB1" w:rsidRPr="00FF2DB1" w:rsidRDefault="00FF2DB1" w:rsidP="00024DE8">
            <w:pPr>
              <w:suppressAutoHyphens w:val="0"/>
              <w:spacing w:before="40" w:after="120" w:line="220" w:lineRule="exact"/>
              <w:ind w:right="113"/>
            </w:pPr>
            <w:r w:rsidRPr="00FF2DB1">
              <w:t>9.3.1.21</w:t>
            </w:r>
          </w:p>
        </w:tc>
        <w:tc>
          <w:tcPr>
            <w:tcW w:w="3352" w:type="dxa"/>
            <w:shd w:val="clear" w:color="auto" w:fill="auto"/>
          </w:tcPr>
          <w:p w:rsidR="00FF2DB1" w:rsidRPr="00FF2DB1" w:rsidRDefault="00FF2DB1" w:rsidP="00024DE8">
            <w:pPr>
              <w:suppressAutoHyphens w:val="0"/>
              <w:spacing w:before="40" w:after="120" w:line="220" w:lineRule="exact"/>
              <w:ind w:right="113"/>
            </w:pPr>
            <w:r w:rsidRPr="00FF2DB1">
              <w:t>Safety and control installations</w:t>
            </w:r>
          </w:p>
        </w:tc>
        <w:tc>
          <w:tcPr>
            <w:tcW w:w="2794" w:type="dxa"/>
            <w:shd w:val="clear" w:color="auto" w:fill="auto"/>
          </w:tcPr>
          <w:p w:rsidR="00FF2DB1" w:rsidRPr="00FF2DB1" w:rsidRDefault="00FF2DB1" w:rsidP="00024DE8">
            <w:pPr>
              <w:suppressAutoHyphens w:val="0"/>
              <w:spacing w:before="40" w:after="120" w:line="220" w:lineRule="exact"/>
              <w:ind w:right="113"/>
            </w:pPr>
            <w:r w:rsidRPr="00FF2DB1">
              <w:t>Check whether all safety equipment in membrane tanks are prescribed</w:t>
            </w:r>
          </w:p>
        </w:tc>
      </w:tr>
    </w:tbl>
    <w:p w:rsidR="00FF2DB1" w:rsidRPr="00FF2DB1" w:rsidRDefault="00FF2DB1" w:rsidP="0038053B">
      <w:pPr>
        <w:pStyle w:val="SingleTxtG"/>
        <w:spacing w:before="120"/>
      </w:pPr>
      <w:r w:rsidRPr="00FF2DB1">
        <w:t>15.</w:t>
      </w:r>
      <w:r w:rsidRPr="00FF2DB1">
        <w:tab/>
        <w:t xml:space="preserve">The ADN Safety Committee is requested to comment on this preliminary inventory and to add articles/subjects it deems relevant. This input and comments will guide the informal working group </w:t>
      </w:r>
      <w:r w:rsidR="002F62F6">
        <w:t xml:space="preserve">into the next phase of the work </w:t>
      </w:r>
      <w:r w:rsidR="005E52DA">
        <w:t>i.e.</w:t>
      </w:r>
      <w:r w:rsidR="002F62F6">
        <w:t>:</w:t>
      </w:r>
      <w:r w:rsidRPr="00FF2DB1">
        <w:t xml:space="preserve"> drafting actual amendments to the ADN 2019. </w:t>
      </w:r>
    </w:p>
    <w:p w:rsidR="00FF2DB1" w:rsidRPr="00FF2DB1" w:rsidRDefault="0038053B" w:rsidP="0038053B">
      <w:pPr>
        <w:pStyle w:val="HChG"/>
      </w:pPr>
      <w:r>
        <w:tab/>
      </w:r>
      <w:r>
        <w:tab/>
      </w:r>
      <w:r w:rsidR="00FF2DB1" w:rsidRPr="00FF2DB1">
        <w:t>Other</w:t>
      </w:r>
    </w:p>
    <w:p w:rsidR="00ED16F3" w:rsidRPr="00D21077" w:rsidRDefault="00FF2DB1" w:rsidP="0038053B">
      <w:pPr>
        <w:pStyle w:val="SingleTxtG"/>
        <w:rPr>
          <w:lang w:val="en-US"/>
        </w:rPr>
      </w:pPr>
      <w:r w:rsidRPr="00FF2DB1">
        <w:t>16.</w:t>
      </w:r>
      <w:r w:rsidRPr="00FF2DB1">
        <w:tab/>
        <w:t>The next meeting of the informal working group is scheduled for Wednesday 24 and Thursday 25 April in Paris, France. All other interested parties are cordially invited to participate.</w:t>
      </w:r>
    </w:p>
    <w:p w:rsidR="000F2AA3" w:rsidRPr="003134DF" w:rsidRDefault="000F2AA3" w:rsidP="005B3EFE">
      <w:pPr>
        <w:spacing w:before="120"/>
        <w:jc w:val="center"/>
        <w:rPr>
          <w:u w:val="single"/>
        </w:rPr>
      </w:pPr>
      <w:r w:rsidRPr="003134DF">
        <w:rPr>
          <w:u w:val="single"/>
        </w:rPr>
        <w:tab/>
      </w:r>
      <w:r w:rsidRPr="003134DF">
        <w:rPr>
          <w:u w:val="single"/>
        </w:rPr>
        <w:tab/>
      </w:r>
      <w:r w:rsidRPr="003134DF">
        <w:rPr>
          <w:u w:val="single"/>
        </w:rPr>
        <w:tab/>
      </w:r>
    </w:p>
    <w:sectPr w:rsidR="000F2AA3" w:rsidRPr="003134DF" w:rsidSect="00FF2DB1">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014" w:rsidRDefault="00E87014"/>
  </w:endnote>
  <w:endnote w:type="continuationSeparator" w:id="0">
    <w:p w:rsidR="00E87014" w:rsidRDefault="00E87014"/>
  </w:endnote>
  <w:endnote w:type="continuationNotice" w:id="1">
    <w:p w:rsidR="00E87014" w:rsidRDefault="00E87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A78" w:rsidRDefault="00020A78" w:rsidP="00020A78">
    <w:pPr>
      <w:pStyle w:val="Footer"/>
    </w:pPr>
    <w:r w:rsidRPr="009F5EED">
      <w:rPr>
        <w:b/>
        <w:bCs/>
        <w:sz w:val="18"/>
      </w:rPr>
      <w:fldChar w:fldCharType="begin"/>
    </w:r>
    <w:r w:rsidRPr="009F5EED">
      <w:rPr>
        <w:b/>
        <w:bCs/>
        <w:sz w:val="18"/>
      </w:rPr>
      <w:instrText xml:space="preserve"> PAGE  \* MERGEFORMAT </w:instrText>
    </w:r>
    <w:r w:rsidRPr="009F5EED">
      <w:rPr>
        <w:b/>
        <w:bCs/>
        <w:sz w:val="18"/>
      </w:rPr>
      <w:fldChar w:fldCharType="separate"/>
    </w:r>
    <w:r>
      <w:rPr>
        <w:b/>
        <w:bCs/>
        <w:sz w:val="18"/>
      </w:rPr>
      <w:t>2</w:t>
    </w:r>
    <w:r w:rsidRPr="009F5EED">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DB1" w:rsidRDefault="00FF2DB1" w:rsidP="00FF2DB1">
    <w:pPr>
      <w:pStyle w:val="Footer"/>
      <w:jc w:val="right"/>
    </w:pPr>
    <w:r w:rsidRPr="009F5EED">
      <w:rPr>
        <w:b/>
        <w:bCs/>
        <w:sz w:val="18"/>
      </w:rPr>
      <w:fldChar w:fldCharType="begin"/>
    </w:r>
    <w:r w:rsidRPr="009F5EED">
      <w:rPr>
        <w:b/>
        <w:bCs/>
        <w:sz w:val="18"/>
      </w:rPr>
      <w:instrText xml:space="preserve"> PAGE  \* MERGEFORMAT </w:instrText>
    </w:r>
    <w:r w:rsidRPr="009F5EED">
      <w:rPr>
        <w:b/>
        <w:bCs/>
        <w:sz w:val="18"/>
      </w:rPr>
      <w:fldChar w:fldCharType="separate"/>
    </w:r>
    <w:r>
      <w:rPr>
        <w:b/>
        <w:bCs/>
        <w:sz w:val="18"/>
      </w:rPr>
      <w:t>2</w:t>
    </w:r>
    <w:r w:rsidRPr="009F5EE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014" w:rsidRDefault="00E87014">
      <w:pPr>
        <w:tabs>
          <w:tab w:val="right" w:pos="2155"/>
        </w:tabs>
        <w:spacing w:after="80"/>
        <w:ind w:left="680"/>
        <w:rPr>
          <w:u w:val="single"/>
        </w:rPr>
      </w:pPr>
      <w:r>
        <w:rPr>
          <w:u w:val="single"/>
        </w:rPr>
        <w:tab/>
      </w:r>
    </w:p>
  </w:footnote>
  <w:footnote w:type="continuationSeparator" w:id="0">
    <w:p w:rsidR="00E87014" w:rsidRDefault="00E87014">
      <w:pPr>
        <w:tabs>
          <w:tab w:val="left" w:pos="2155"/>
        </w:tabs>
        <w:spacing w:after="80"/>
        <w:ind w:left="680"/>
        <w:rPr>
          <w:u w:val="single"/>
        </w:rPr>
      </w:pPr>
      <w:r>
        <w:rPr>
          <w:u w:val="single"/>
        </w:rPr>
        <w:tab/>
      </w:r>
    </w:p>
  </w:footnote>
  <w:footnote w:type="continuationNotice" w:id="1">
    <w:p w:rsidR="00E87014" w:rsidRDefault="00E87014"/>
  </w:footnote>
  <w:footnote w:id="2">
    <w:p w:rsidR="00FF2DB1" w:rsidRDefault="00FF2DB1" w:rsidP="00FF2DB1">
      <w:pPr>
        <w:pStyle w:val="FootnoteText"/>
      </w:pPr>
      <w:r>
        <w:tab/>
      </w:r>
      <w:r w:rsidRPr="005A6AC8">
        <w:rPr>
          <w:rStyle w:val="FootnoteReference"/>
          <w:sz w:val="20"/>
        </w:rPr>
        <w:t>*</w:t>
      </w:r>
      <w:r>
        <w:tab/>
        <w:t>Distributed in German by the Central Commission for the Navigation of the Rhine under the symbol CCNR/ZKR/ADN/WP.15/AC.2/2019/1</w:t>
      </w:r>
      <w:r w:rsidRPr="004D0D16">
        <w:rPr>
          <w:lang w:val="en-GB"/>
        </w:rPr>
        <w:t>4</w:t>
      </w:r>
      <w:r>
        <w:t>.</w:t>
      </w:r>
    </w:p>
  </w:footnote>
  <w:footnote w:id="3">
    <w:p w:rsidR="00FF2DB1" w:rsidRDefault="00FF2DB1" w:rsidP="00FF2DB1">
      <w:pPr>
        <w:pStyle w:val="FootnoteText"/>
      </w:pPr>
      <w:r>
        <w:tab/>
      </w:r>
      <w:r w:rsidRPr="00517E84">
        <w:rPr>
          <w:sz w:val="20"/>
        </w:rPr>
        <w:t>**</w:t>
      </w:r>
      <w:r>
        <w:tab/>
        <w:t>In accordance with the programme of work of the Inland Transport Committee for 2018–2019, (ECE/TRANS/2018/21/Add.1 (9.3)).</w:t>
      </w:r>
    </w:p>
  </w:footnote>
  <w:footnote w:id="4">
    <w:p w:rsidR="00FF2DB1" w:rsidRPr="00B44F3F" w:rsidRDefault="00FF2DB1" w:rsidP="00502FA3">
      <w:pPr>
        <w:pStyle w:val="FootnoteText"/>
        <w:rPr>
          <w:lang w:val="en-US"/>
        </w:rPr>
      </w:pPr>
      <w:r>
        <w:rPr>
          <w:lang w:val="nl-NL"/>
        </w:rPr>
        <w:tab/>
      </w:r>
      <w:r>
        <w:rPr>
          <w:rStyle w:val="FootnoteReference"/>
        </w:rPr>
        <w:footnoteRef/>
      </w:r>
      <w:r>
        <w:t xml:space="preserve"> </w:t>
      </w:r>
      <w:r w:rsidR="00502FA3">
        <w:tab/>
      </w:r>
      <w:hyperlink r:id="rId1" w:history="1">
        <w:r w:rsidRPr="005B2A1A">
          <w:rPr>
            <w:rStyle w:val="Hyperlink"/>
          </w:rPr>
          <w:t>https://www.shell.com/energy-and-innovation/natural-gas/liquefied-natural-gas-lng/lng-outlook/_jcr_content/par/textimage_864093748.stream/1519731114519/890e687a18cdc644e5b80609a8280bc474b0b8806046b6f3ee89bf231f00fa8f/shell-lng-outlook-2018-infographic-download-final.pdf</w:t>
        </w:r>
      </w:hyperlink>
      <w:r w:rsidRPr="00B44F3F">
        <w:rPr>
          <w:lang w:val="en-US"/>
        </w:rPr>
        <w:t xml:space="preserve"> and</w:t>
      </w:r>
      <w:r>
        <w:rPr>
          <w:lang w:val="en-US"/>
        </w:rPr>
        <w:t xml:space="preserve"> </w:t>
      </w:r>
      <w:hyperlink r:id="rId2" w:history="1">
        <w:r w:rsidRPr="005B2A1A">
          <w:rPr>
            <w:rStyle w:val="Hyperlink"/>
            <w:lang w:val="en-US"/>
          </w:rPr>
          <w:t>https://cdn.exxonmobil.com/~/media/global/files/outlook-for-energy/2017/2017-outlook-for-energy.pdf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3B35B1" w:rsidRDefault="003B35B1" w:rsidP="00446B79">
    <w:pPr>
      <w:pBdr>
        <w:bottom w:val="single" w:sz="4" w:space="1" w:color="auto"/>
      </w:pBdr>
      <w:rPr>
        <w:b/>
      </w:rPr>
    </w:pPr>
    <w:r>
      <w:rPr>
        <w:b/>
      </w:rPr>
      <w:t>ECE/TRANS/WP.15/AC.2/201</w:t>
    </w:r>
    <w:r w:rsidR="00020A78">
      <w:rPr>
        <w:b/>
      </w:rPr>
      <w:t>9/1</w:t>
    </w:r>
    <w:r w:rsidR="00FF2DB1">
      <w:rPr>
        <w: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DB1" w:rsidRPr="00FF2DB1" w:rsidRDefault="00FF2DB1" w:rsidP="00FF2DB1">
    <w:pPr>
      <w:pBdr>
        <w:bottom w:val="single" w:sz="4" w:space="1" w:color="auto"/>
      </w:pBdr>
      <w:jc w:val="right"/>
      <w:rPr>
        <w:b/>
      </w:rPr>
    </w:pPr>
    <w:r>
      <w:rPr>
        <w:b/>
      </w:rPr>
      <w:t>ECE/TRANS/WP.15/AC.2/2019/14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292C51">
    <w:pPr>
      <w:pStyle w:val="Header"/>
      <w:pBdr>
        <w:bottom w:val="none" w:sz="0" w:space="0" w:color="auto"/>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FA48C5"/>
    <w:multiLevelType w:val="hybridMultilevel"/>
    <w:tmpl w:val="EDE293B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2"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631E4C"/>
    <w:multiLevelType w:val="hybridMultilevel"/>
    <w:tmpl w:val="9F9247B6"/>
    <w:lvl w:ilvl="0" w:tplc="D6701E80">
      <w:start w:val="1"/>
      <w:numFmt w:val="decimal"/>
      <w:lvlText w:val="%1"/>
      <w:lvlJc w:val="left"/>
      <w:pPr>
        <w:ind w:left="1689" w:hanging="555"/>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3"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20"/>
  </w:num>
  <w:num w:numId="17">
    <w:abstractNumId w:val="12"/>
  </w:num>
  <w:num w:numId="18">
    <w:abstractNumId w:val="21"/>
  </w:num>
  <w:num w:numId="19">
    <w:abstractNumId w:val="19"/>
  </w:num>
  <w:num w:numId="20">
    <w:abstractNumId w:val="14"/>
  </w:num>
  <w:num w:numId="21">
    <w:abstractNumId w:val="23"/>
  </w:num>
  <w:num w:numId="22">
    <w:abstractNumId w:val="22"/>
  </w:num>
  <w:num w:numId="23">
    <w:abstractNumId w:val="16"/>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FBA"/>
    <w:rsid w:val="00020A78"/>
    <w:rsid w:val="00022219"/>
    <w:rsid w:val="000240B8"/>
    <w:rsid w:val="00024DE8"/>
    <w:rsid w:val="00024EAF"/>
    <w:rsid w:val="00026199"/>
    <w:rsid w:val="00032BCA"/>
    <w:rsid w:val="000401CE"/>
    <w:rsid w:val="00045D1E"/>
    <w:rsid w:val="00045D37"/>
    <w:rsid w:val="00045FDE"/>
    <w:rsid w:val="0005091C"/>
    <w:rsid w:val="000517E2"/>
    <w:rsid w:val="00057106"/>
    <w:rsid w:val="0006413B"/>
    <w:rsid w:val="00073D8C"/>
    <w:rsid w:val="0007416F"/>
    <w:rsid w:val="0007517C"/>
    <w:rsid w:val="000755B2"/>
    <w:rsid w:val="00093541"/>
    <w:rsid w:val="00094E2E"/>
    <w:rsid w:val="0009700B"/>
    <w:rsid w:val="000B337A"/>
    <w:rsid w:val="000B6D84"/>
    <w:rsid w:val="000C09D0"/>
    <w:rsid w:val="000C242E"/>
    <w:rsid w:val="000C2965"/>
    <w:rsid w:val="000C54D8"/>
    <w:rsid w:val="000D3066"/>
    <w:rsid w:val="000E65FF"/>
    <w:rsid w:val="000F2AA3"/>
    <w:rsid w:val="000F69B0"/>
    <w:rsid w:val="00105163"/>
    <w:rsid w:val="001124A6"/>
    <w:rsid w:val="00112D7A"/>
    <w:rsid w:val="00112E69"/>
    <w:rsid w:val="00114DCA"/>
    <w:rsid w:val="001177EE"/>
    <w:rsid w:val="00120027"/>
    <w:rsid w:val="00124305"/>
    <w:rsid w:val="0012656F"/>
    <w:rsid w:val="00143AB5"/>
    <w:rsid w:val="00144348"/>
    <w:rsid w:val="00145E9B"/>
    <w:rsid w:val="00147CAB"/>
    <w:rsid w:val="00151529"/>
    <w:rsid w:val="00151B62"/>
    <w:rsid w:val="00157446"/>
    <w:rsid w:val="00160290"/>
    <w:rsid w:val="0016094E"/>
    <w:rsid w:val="00167350"/>
    <w:rsid w:val="00167467"/>
    <w:rsid w:val="0017140D"/>
    <w:rsid w:val="0017405D"/>
    <w:rsid w:val="0018416D"/>
    <w:rsid w:val="0018765D"/>
    <w:rsid w:val="00197440"/>
    <w:rsid w:val="001A136F"/>
    <w:rsid w:val="001A4F70"/>
    <w:rsid w:val="001A752B"/>
    <w:rsid w:val="001B16EA"/>
    <w:rsid w:val="001B1E4B"/>
    <w:rsid w:val="001E1210"/>
    <w:rsid w:val="001E2770"/>
    <w:rsid w:val="001F2C99"/>
    <w:rsid w:val="001F6A92"/>
    <w:rsid w:val="00202FBB"/>
    <w:rsid w:val="00210044"/>
    <w:rsid w:val="00213C99"/>
    <w:rsid w:val="002142AC"/>
    <w:rsid w:val="0022283B"/>
    <w:rsid w:val="00224AF3"/>
    <w:rsid w:val="0025084A"/>
    <w:rsid w:val="00253571"/>
    <w:rsid w:val="002542E3"/>
    <w:rsid w:val="00255A0D"/>
    <w:rsid w:val="002671C7"/>
    <w:rsid w:val="0028541C"/>
    <w:rsid w:val="002928A3"/>
    <w:rsid w:val="00292C51"/>
    <w:rsid w:val="0029755E"/>
    <w:rsid w:val="002A244A"/>
    <w:rsid w:val="002A6C9F"/>
    <w:rsid w:val="002A7FB7"/>
    <w:rsid w:val="002C4BFA"/>
    <w:rsid w:val="002D0E68"/>
    <w:rsid w:val="002D1871"/>
    <w:rsid w:val="002D39F0"/>
    <w:rsid w:val="002D7FFD"/>
    <w:rsid w:val="002E68A0"/>
    <w:rsid w:val="002E6C4A"/>
    <w:rsid w:val="002F62F6"/>
    <w:rsid w:val="00300684"/>
    <w:rsid w:val="00300A81"/>
    <w:rsid w:val="00302A0A"/>
    <w:rsid w:val="003134DF"/>
    <w:rsid w:val="00317A61"/>
    <w:rsid w:val="00337276"/>
    <w:rsid w:val="00340F33"/>
    <w:rsid w:val="0034439A"/>
    <w:rsid w:val="00344697"/>
    <w:rsid w:val="0034563C"/>
    <w:rsid w:val="00347589"/>
    <w:rsid w:val="0036513E"/>
    <w:rsid w:val="00371DEB"/>
    <w:rsid w:val="00376091"/>
    <w:rsid w:val="003761B8"/>
    <w:rsid w:val="003762E9"/>
    <w:rsid w:val="0038053B"/>
    <w:rsid w:val="00380857"/>
    <w:rsid w:val="00381A41"/>
    <w:rsid w:val="00386B4E"/>
    <w:rsid w:val="00387CCD"/>
    <w:rsid w:val="00391587"/>
    <w:rsid w:val="00391B9D"/>
    <w:rsid w:val="00392BDE"/>
    <w:rsid w:val="003A3FBA"/>
    <w:rsid w:val="003A6F80"/>
    <w:rsid w:val="003B0BC1"/>
    <w:rsid w:val="003B35B1"/>
    <w:rsid w:val="003B59FC"/>
    <w:rsid w:val="003C1910"/>
    <w:rsid w:val="003C22E6"/>
    <w:rsid w:val="003C2939"/>
    <w:rsid w:val="003C46A0"/>
    <w:rsid w:val="003E4DED"/>
    <w:rsid w:val="003E4E69"/>
    <w:rsid w:val="003F270A"/>
    <w:rsid w:val="003F3BEE"/>
    <w:rsid w:val="004202BD"/>
    <w:rsid w:val="0042401A"/>
    <w:rsid w:val="00427C8F"/>
    <w:rsid w:val="004305B1"/>
    <w:rsid w:val="00446B79"/>
    <w:rsid w:val="00446DF6"/>
    <w:rsid w:val="004477CE"/>
    <w:rsid w:val="004531C4"/>
    <w:rsid w:val="0045368F"/>
    <w:rsid w:val="0046155F"/>
    <w:rsid w:val="00467076"/>
    <w:rsid w:val="00471D7A"/>
    <w:rsid w:val="00472859"/>
    <w:rsid w:val="004808A8"/>
    <w:rsid w:val="004819CF"/>
    <w:rsid w:val="00483375"/>
    <w:rsid w:val="004A6022"/>
    <w:rsid w:val="004B62BF"/>
    <w:rsid w:val="004D0D16"/>
    <w:rsid w:val="004D4787"/>
    <w:rsid w:val="004E4C77"/>
    <w:rsid w:val="004E4CC3"/>
    <w:rsid w:val="004F7E29"/>
    <w:rsid w:val="00502FA3"/>
    <w:rsid w:val="005055CC"/>
    <w:rsid w:val="00507B1C"/>
    <w:rsid w:val="0051398E"/>
    <w:rsid w:val="0052066C"/>
    <w:rsid w:val="005235DD"/>
    <w:rsid w:val="00526A9D"/>
    <w:rsid w:val="00526CCA"/>
    <w:rsid w:val="00532E46"/>
    <w:rsid w:val="005343C9"/>
    <w:rsid w:val="00537B62"/>
    <w:rsid w:val="00541A11"/>
    <w:rsid w:val="005428F0"/>
    <w:rsid w:val="0054379F"/>
    <w:rsid w:val="00543E0A"/>
    <w:rsid w:val="005553BB"/>
    <w:rsid w:val="00561D65"/>
    <w:rsid w:val="005658CD"/>
    <w:rsid w:val="00572236"/>
    <w:rsid w:val="00573F2E"/>
    <w:rsid w:val="00577F31"/>
    <w:rsid w:val="005827CD"/>
    <w:rsid w:val="005833CB"/>
    <w:rsid w:val="0058438D"/>
    <w:rsid w:val="00594F5A"/>
    <w:rsid w:val="005A7ECB"/>
    <w:rsid w:val="005B16DC"/>
    <w:rsid w:val="005B3EFE"/>
    <w:rsid w:val="005B54FA"/>
    <w:rsid w:val="005C0819"/>
    <w:rsid w:val="005C467F"/>
    <w:rsid w:val="005C67EE"/>
    <w:rsid w:val="005C77E7"/>
    <w:rsid w:val="005D1935"/>
    <w:rsid w:val="005E4990"/>
    <w:rsid w:val="005E4D7E"/>
    <w:rsid w:val="005E52DA"/>
    <w:rsid w:val="005E6668"/>
    <w:rsid w:val="005E684E"/>
    <w:rsid w:val="005F34E6"/>
    <w:rsid w:val="0060173D"/>
    <w:rsid w:val="0060225A"/>
    <w:rsid w:val="00612296"/>
    <w:rsid w:val="006166F4"/>
    <w:rsid w:val="006234CC"/>
    <w:rsid w:val="0062351F"/>
    <w:rsid w:val="006264EB"/>
    <w:rsid w:val="00631A46"/>
    <w:rsid w:val="006530EF"/>
    <w:rsid w:val="00661D28"/>
    <w:rsid w:val="0067041E"/>
    <w:rsid w:val="0067429C"/>
    <w:rsid w:val="00674391"/>
    <w:rsid w:val="00680075"/>
    <w:rsid w:val="00684A12"/>
    <w:rsid w:val="006877DE"/>
    <w:rsid w:val="00694E75"/>
    <w:rsid w:val="00697CA2"/>
    <w:rsid w:val="006A5BAF"/>
    <w:rsid w:val="006B21E9"/>
    <w:rsid w:val="006B2756"/>
    <w:rsid w:val="006B63BD"/>
    <w:rsid w:val="006C595D"/>
    <w:rsid w:val="006E04EA"/>
    <w:rsid w:val="006E1FA4"/>
    <w:rsid w:val="006E6564"/>
    <w:rsid w:val="006F3225"/>
    <w:rsid w:val="006F496F"/>
    <w:rsid w:val="006F55E4"/>
    <w:rsid w:val="006F765D"/>
    <w:rsid w:val="00703069"/>
    <w:rsid w:val="00704C49"/>
    <w:rsid w:val="00715A30"/>
    <w:rsid w:val="00722D7D"/>
    <w:rsid w:val="007455D9"/>
    <w:rsid w:val="007503D0"/>
    <w:rsid w:val="00753671"/>
    <w:rsid w:val="00753755"/>
    <w:rsid w:val="00753ABE"/>
    <w:rsid w:val="007557E5"/>
    <w:rsid w:val="0076518E"/>
    <w:rsid w:val="007721BD"/>
    <w:rsid w:val="00775959"/>
    <w:rsid w:val="00776067"/>
    <w:rsid w:val="00781BB4"/>
    <w:rsid w:val="007848CB"/>
    <w:rsid w:val="00786F28"/>
    <w:rsid w:val="00792939"/>
    <w:rsid w:val="00797DEA"/>
    <w:rsid w:val="007A1097"/>
    <w:rsid w:val="007A17FC"/>
    <w:rsid w:val="007A30BD"/>
    <w:rsid w:val="007A63E9"/>
    <w:rsid w:val="007B2678"/>
    <w:rsid w:val="007B46C5"/>
    <w:rsid w:val="007B799C"/>
    <w:rsid w:val="007C2E8E"/>
    <w:rsid w:val="007C5E57"/>
    <w:rsid w:val="007C6011"/>
    <w:rsid w:val="007D1368"/>
    <w:rsid w:val="007F0D64"/>
    <w:rsid w:val="0080168B"/>
    <w:rsid w:val="008059A3"/>
    <w:rsid w:val="00806A75"/>
    <w:rsid w:val="0081106B"/>
    <w:rsid w:val="00817A1C"/>
    <w:rsid w:val="00820A23"/>
    <w:rsid w:val="00830C13"/>
    <w:rsid w:val="00831E12"/>
    <w:rsid w:val="00835F82"/>
    <w:rsid w:val="00845127"/>
    <w:rsid w:val="0085389B"/>
    <w:rsid w:val="00856A9B"/>
    <w:rsid w:val="008610F7"/>
    <w:rsid w:val="00867AAE"/>
    <w:rsid w:val="00874E4D"/>
    <w:rsid w:val="008757A0"/>
    <w:rsid w:val="00876716"/>
    <w:rsid w:val="00877E7D"/>
    <w:rsid w:val="00882429"/>
    <w:rsid w:val="00890A0F"/>
    <w:rsid w:val="00890A31"/>
    <w:rsid w:val="00891507"/>
    <w:rsid w:val="00891D8D"/>
    <w:rsid w:val="008B2001"/>
    <w:rsid w:val="008B670D"/>
    <w:rsid w:val="008C446A"/>
    <w:rsid w:val="008C4C09"/>
    <w:rsid w:val="008D5D3B"/>
    <w:rsid w:val="008D693C"/>
    <w:rsid w:val="008D7A1F"/>
    <w:rsid w:val="008E03F7"/>
    <w:rsid w:val="008E4272"/>
    <w:rsid w:val="008E4A57"/>
    <w:rsid w:val="008E6B15"/>
    <w:rsid w:val="00906FB6"/>
    <w:rsid w:val="009113CA"/>
    <w:rsid w:val="00916DCF"/>
    <w:rsid w:val="00933D84"/>
    <w:rsid w:val="009342A3"/>
    <w:rsid w:val="00934B5F"/>
    <w:rsid w:val="00936035"/>
    <w:rsid w:val="00940390"/>
    <w:rsid w:val="00941BD9"/>
    <w:rsid w:val="00945226"/>
    <w:rsid w:val="009531C6"/>
    <w:rsid w:val="009559F7"/>
    <w:rsid w:val="009573FC"/>
    <w:rsid w:val="00960211"/>
    <w:rsid w:val="00960DB8"/>
    <w:rsid w:val="009673D6"/>
    <w:rsid w:val="00967B87"/>
    <w:rsid w:val="009823A5"/>
    <w:rsid w:val="0098464F"/>
    <w:rsid w:val="0098672F"/>
    <w:rsid w:val="009960EE"/>
    <w:rsid w:val="009A030B"/>
    <w:rsid w:val="009B04B9"/>
    <w:rsid w:val="009B7958"/>
    <w:rsid w:val="009C00FB"/>
    <w:rsid w:val="009C5DEE"/>
    <w:rsid w:val="009C73FE"/>
    <w:rsid w:val="009D18D8"/>
    <w:rsid w:val="009D3F9F"/>
    <w:rsid w:val="009D60B7"/>
    <w:rsid w:val="009E4E58"/>
    <w:rsid w:val="009E7B20"/>
    <w:rsid w:val="00A061DF"/>
    <w:rsid w:val="00A11DB9"/>
    <w:rsid w:val="00A1385B"/>
    <w:rsid w:val="00A25618"/>
    <w:rsid w:val="00A429BD"/>
    <w:rsid w:val="00A42D5D"/>
    <w:rsid w:val="00A44660"/>
    <w:rsid w:val="00A45656"/>
    <w:rsid w:val="00A54C98"/>
    <w:rsid w:val="00A562D3"/>
    <w:rsid w:val="00A56814"/>
    <w:rsid w:val="00A677E6"/>
    <w:rsid w:val="00A70354"/>
    <w:rsid w:val="00A70A49"/>
    <w:rsid w:val="00A867D9"/>
    <w:rsid w:val="00A912CA"/>
    <w:rsid w:val="00AA6A46"/>
    <w:rsid w:val="00AB1878"/>
    <w:rsid w:val="00AB5FE4"/>
    <w:rsid w:val="00AE1969"/>
    <w:rsid w:val="00AE1C51"/>
    <w:rsid w:val="00AE7FB5"/>
    <w:rsid w:val="00B00019"/>
    <w:rsid w:val="00B01B63"/>
    <w:rsid w:val="00B0360E"/>
    <w:rsid w:val="00B10E78"/>
    <w:rsid w:val="00B12181"/>
    <w:rsid w:val="00B12D35"/>
    <w:rsid w:val="00B17DF9"/>
    <w:rsid w:val="00B3440F"/>
    <w:rsid w:val="00B44B0E"/>
    <w:rsid w:val="00B51EF8"/>
    <w:rsid w:val="00B54049"/>
    <w:rsid w:val="00B6345C"/>
    <w:rsid w:val="00B64AFA"/>
    <w:rsid w:val="00B65E66"/>
    <w:rsid w:val="00B75796"/>
    <w:rsid w:val="00B82511"/>
    <w:rsid w:val="00B92A07"/>
    <w:rsid w:val="00B92EB7"/>
    <w:rsid w:val="00BA1B8B"/>
    <w:rsid w:val="00BB0811"/>
    <w:rsid w:val="00BB347B"/>
    <w:rsid w:val="00BB3862"/>
    <w:rsid w:val="00BB7A08"/>
    <w:rsid w:val="00BC1694"/>
    <w:rsid w:val="00BE4121"/>
    <w:rsid w:val="00C00921"/>
    <w:rsid w:val="00C030EB"/>
    <w:rsid w:val="00C05474"/>
    <w:rsid w:val="00C12963"/>
    <w:rsid w:val="00C16712"/>
    <w:rsid w:val="00C339A0"/>
    <w:rsid w:val="00C33A25"/>
    <w:rsid w:val="00C3497E"/>
    <w:rsid w:val="00C460FB"/>
    <w:rsid w:val="00C46989"/>
    <w:rsid w:val="00C51684"/>
    <w:rsid w:val="00C53189"/>
    <w:rsid w:val="00C5368B"/>
    <w:rsid w:val="00C57581"/>
    <w:rsid w:val="00C6221E"/>
    <w:rsid w:val="00C711F2"/>
    <w:rsid w:val="00C80CCE"/>
    <w:rsid w:val="00C86D7D"/>
    <w:rsid w:val="00C93AF7"/>
    <w:rsid w:val="00C944F0"/>
    <w:rsid w:val="00CA0695"/>
    <w:rsid w:val="00CA1683"/>
    <w:rsid w:val="00CA4C81"/>
    <w:rsid w:val="00CC0573"/>
    <w:rsid w:val="00CC2982"/>
    <w:rsid w:val="00CE2FC5"/>
    <w:rsid w:val="00CF0031"/>
    <w:rsid w:val="00CF1270"/>
    <w:rsid w:val="00CF17EB"/>
    <w:rsid w:val="00CF663B"/>
    <w:rsid w:val="00CF6BF6"/>
    <w:rsid w:val="00D0177A"/>
    <w:rsid w:val="00D11D6E"/>
    <w:rsid w:val="00D20433"/>
    <w:rsid w:val="00D2091B"/>
    <w:rsid w:val="00D21077"/>
    <w:rsid w:val="00D21631"/>
    <w:rsid w:val="00D21A03"/>
    <w:rsid w:val="00D3434D"/>
    <w:rsid w:val="00D41080"/>
    <w:rsid w:val="00D42E3A"/>
    <w:rsid w:val="00D53C6B"/>
    <w:rsid w:val="00D56FD2"/>
    <w:rsid w:val="00D60487"/>
    <w:rsid w:val="00D61720"/>
    <w:rsid w:val="00D66C42"/>
    <w:rsid w:val="00D71354"/>
    <w:rsid w:val="00D81596"/>
    <w:rsid w:val="00D854B5"/>
    <w:rsid w:val="00D85503"/>
    <w:rsid w:val="00D8691E"/>
    <w:rsid w:val="00D86CD5"/>
    <w:rsid w:val="00D9326B"/>
    <w:rsid w:val="00D956D9"/>
    <w:rsid w:val="00DA53FF"/>
    <w:rsid w:val="00DC1FB4"/>
    <w:rsid w:val="00DE0024"/>
    <w:rsid w:val="00DE024B"/>
    <w:rsid w:val="00DE2D76"/>
    <w:rsid w:val="00DE4089"/>
    <w:rsid w:val="00DF2DC6"/>
    <w:rsid w:val="00DF410F"/>
    <w:rsid w:val="00DF6A08"/>
    <w:rsid w:val="00E07BD6"/>
    <w:rsid w:val="00E16C6E"/>
    <w:rsid w:val="00E230BE"/>
    <w:rsid w:val="00E302C1"/>
    <w:rsid w:val="00E30A67"/>
    <w:rsid w:val="00E31D5D"/>
    <w:rsid w:val="00E351E4"/>
    <w:rsid w:val="00E41801"/>
    <w:rsid w:val="00E434E2"/>
    <w:rsid w:val="00E53672"/>
    <w:rsid w:val="00E54DA3"/>
    <w:rsid w:val="00E565A4"/>
    <w:rsid w:val="00E6137E"/>
    <w:rsid w:val="00E7429E"/>
    <w:rsid w:val="00E742AA"/>
    <w:rsid w:val="00E80222"/>
    <w:rsid w:val="00E866D6"/>
    <w:rsid w:val="00E87014"/>
    <w:rsid w:val="00EA28B7"/>
    <w:rsid w:val="00EA6020"/>
    <w:rsid w:val="00EB0FEA"/>
    <w:rsid w:val="00EB13A1"/>
    <w:rsid w:val="00EB1EE8"/>
    <w:rsid w:val="00EB4128"/>
    <w:rsid w:val="00EB4E6A"/>
    <w:rsid w:val="00EC23E6"/>
    <w:rsid w:val="00EC3683"/>
    <w:rsid w:val="00ED16F3"/>
    <w:rsid w:val="00ED6EF8"/>
    <w:rsid w:val="00EE470B"/>
    <w:rsid w:val="00EE502F"/>
    <w:rsid w:val="00EF3C3C"/>
    <w:rsid w:val="00EF75C7"/>
    <w:rsid w:val="00F152A8"/>
    <w:rsid w:val="00F1616D"/>
    <w:rsid w:val="00F16217"/>
    <w:rsid w:val="00F21E77"/>
    <w:rsid w:val="00F25AF2"/>
    <w:rsid w:val="00F26256"/>
    <w:rsid w:val="00F26E48"/>
    <w:rsid w:val="00F32CCB"/>
    <w:rsid w:val="00F36D0F"/>
    <w:rsid w:val="00F37B3C"/>
    <w:rsid w:val="00F4048C"/>
    <w:rsid w:val="00F51635"/>
    <w:rsid w:val="00F5187E"/>
    <w:rsid w:val="00F609B7"/>
    <w:rsid w:val="00F60ABD"/>
    <w:rsid w:val="00F711AA"/>
    <w:rsid w:val="00F714AB"/>
    <w:rsid w:val="00F729F8"/>
    <w:rsid w:val="00F75D32"/>
    <w:rsid w:val="00F84B81"/>
    <w:rsid w:val="00FA58F8"/>
    <w:rsid w:val="00FC321C"/>
    <w:rsid w:val="00FC6D5D"/>
    <w:rsid w:val="00FD53C0"/>
    <w:rsid w:val="00FD5B29"/>
    <w:rsid w:val="00FF2D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DEEB94B"/>
  <w15:chartTrackingRefBased/>
  <w15:docId w15:val="{4AF25DF7-A3EB-4A29-BBED-C953F03E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6545">
      <w:bodyDiv w:val="1"/>
      <w:marLeft w:val="0"/>
      <w:marRight w:val="0"/>
      <w:marTop w:val="0"/>
      <w:marBottom w:val="0"/>
      <w:divBdr>
        <w:top w:val="none" w:sz="0" w:space="0" w:color="auto"/>
        <w:left w:val="none" w:sz="0" w:space="0" w:color="auto"/>
        <w:bottom w:val="none" w:sz="0" w:space="0" w:color="auto"/>
        <w:right w:val="none" w:sz="0" w:space="0" w:color="auto"/>
      </w:divBdr>
    </w:div>
    <w:div w:id="16529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dn.exxonmobil.com/~/media/global/files/outlook-for-energy/2017/2017-outlook-for-energy.pdf" TargetMode="External"/><Relationship Id="rId1" Type="http://schemas.openxmlformats.org/officeDocument/2006/relationships/hyperlink" Target="https://www.shell.com/energy-and-innovation/natural-gas/liquefied-natural-gas-lng/lng-outlook/_jcr_content/par/textimage_864093748.stream/1519731114519/890e687a18cdc644e5b80609a8280bc474b0b8806046b6f3ee89bf231f00fa8f/shell-lng-outlook-2018-infographic-download-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2991-1A26-44B0-94FE-2D788A99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2068</Words>
  <Characters>11792</Characters>
  <Application>Microsoft Office Word</Application>
  <DocSecurity>0</DocSecurity>
  <Lines>98</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subject/>
  <dc:creator>Pierre Dufour</dc:creator>
  <cp:keywords/>
  <cp:lastModifiedBy>Nov 2018</cp:lastModifiedBy>
  <cp:revision>14</cp:revision>
  <cp:lastPrinted>2018-10-08T14:08:00Z</cp:lastPrinted>
  <dcterms:created xsi:type="dcterms:W3CDTF">2018-10-29T09:26:00Z</dcterms:created>
  <dcterms:modified xsi:type="dcterms:W3CDTF">2018-10-31T08:05:00Z</dcterms:modified>
</cp:coreProperties>
</file>