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70A9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70A9A" w:rsidP="00970A9A">
            <w:pPr>
              <w:jc w:val="right"/>
            </w:pPr>
            <w:r w:rsidRPr="00970A9A">
              <w:rPr>
                <w:sz w:val="40"/>
              </w:rPr>
              <w:t>ECE</w:t>
            </w:r>
            <w:r>
              <w:t>/TRANS/WP.15/AC.2/2019/13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70A9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970A9A" w:rsidRDefault="00970A9A" w:rsidP="00970A9A">
            <w:pPr>
              <w:spacing w:line="240" w:lineRule="exact"/>
            </w:pPr>
            <w:r>
              <w:t>6 novembre 2018</w:t>
            </w:r>
          </w:p>
          <w:p w:rsidR="00970A9A" w:rsidRDefault="00970A9A" w:rsidP="00970A9A">
            <w:pPr>
              <w:spacing w:line="240" w:lineRule="exact"/>
            </w:pPr>
            <w:r>
              <w:t>Français</w:t>
            </w:r>
          </w:p>
          <w:p w:rsidR="00970A9A" w:rsidRPr="00DB58B5" w:rsidRDefault="00970A9A" w:rsidP="00970A9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70A9A" w:rsidRPr="00970A9A" w:rsidRDefault="00970A9A" w:rsidP="00970A9A">
      <w:pPr>
        <w:suppressAutoHyphens w:val="0"/>
        <w:spacing w:before="120" w:after="120"/>
        <w:rPr>
          <w:b/>
          <w:sz w:val="24"/>
          <w:szCs w:val="24"/>
          <w:lang w:val="fr-FR"/>
        </w:rPr>
      </w:pPr>
      <w:r w:rsidRPr="00970A9A">
        <w:rPr>
          <w:b/>
          <w:sz w:val="24"/>
          <w:szCs w:val="24"/>
          <w:lang w:val="fr-FR"/>
        </w:rPr>
        <w:t xml:space="preserve">Groupe de travail des transports </w:t>
      </w:r>
      <w:r>
        <w:rPr>
          <w:b/>
          <w:sz w:val="24"/>
          <w:szCs w:val="24"/>
          <w:lang w:val="fr-FR"/>
        </w:rPr>
        <w:br/>
      </w:r>
      <w:r w:rsidRPr="00970A9A">
        <w:rPr>
          <w:b/>
          <w:sz w:val="24"/>
          <w:szCs w:val="24"/>
          <w:lang w:val="fr-FR"/>
        </w:rPr>
        <w:t>de marchandises dangereuses</w:t>
      </w:r>
    </w:p>
    <w:p w:rsidR="00970A9A" w:rsidRPr="000F5D87" w:rsidRDefault="00970A9A" w:rsidP="00970A9A">
      <w:pPr>
        <w:suppressAutoHyphens w:val="0"/>
        <w:spacing w:after="120"/>
        <w:rPr>
          <w:b/>
          <w:lang w:val="fr-FR"/>
        </w:rPr>
      </w:pPr>
      <w:r w:rsidRPr="000F5D87">
        <w:rPr>
          <w:b/>
          <w:lang w:val="fr-FR"/>
        </w:rPr>
        <w:t xml:space="preserve">Réunion commune d’experts sur le Règlement annexé </w:t>
      </w:r>
      <w:r w:rsidR="00383A2A">
        <w:rPr>
          <w:b/>
          <w:lang w:val="fr-FR"/>
        </w:rPr>
        <w:br/>
      </w:r>
      <w:r w:rsidRPr="000F5D87">
        <w:rPr>
          <w:b/>
          <w:lang w:val="fr-FR"/>
        </w:rPr>
        <w:t xml:space="preserve">à l’Accord européen relatif au transport international </w:t>
      </w:r>
      <w:r w:rsidR="002E6920">
        <w:rPr>
          <w:b/>
          <w:lang w:val="fr-FR"/>
        </w:rPr>
        <w:br/>
      </w:r>
      <w:r w:rsidRPr="000F5D87">
        <w:rPr>
          <w:b/>
          <w:lang w:val="fr-FR"/>
        </w:rPr>
        <w:t xml:space="preserve">des marchandises dangereuses par voies de navigation </w:t>
      </w:r>
      <w:r w:rsidR="00383A2A">
        <w:rPr>
          <w:b/>
          <w:lang w:val="fr-FR"/>
        </w:rPr>
        <w:br/>
      </w:r>
      <w:r w:rsidRPr="000F5D87">
        <w:rPr>
          <w:b/>
          <w:lang w:val="fr-FR"/>
        </w:rPr>
        <w:t>intérieures (ADN)</w:t>
      </w:r>
      <w:r w:rsidR="00383A2A">
        <w:rPr>
          <w:b/>
          <w:lang w:val="fr-FR"/>
        </w:rPr>
        <w:t xml:space="preserve"> </w:t>
      </w:r>
      <w:r w:rsidRPr="000F5D87">
        <w:rPr>
          <w:b/>
          <w:lang w:val="fr-FR"/>
        </w:rPr>
        <w:t>(Comité de sécurité de l’ADN)</w:t>
      </w:r>
    </w:p>
    <w:p w:rsidR="00970A9A" w:rsidRPr="000F5D87" w:rsidRDefault="00970A9A" w:rsidP="002E6920">
      <w:pPr>
        <w:suppressAutoHyphens w:val="0"/>
        <w:rPr>
          <w:b/>
          <w:lang w:val="fr-FR"/>
        </w:rPr>
      </w:pPr>
      <w:r w:rsidRPr="000F5D87">
        <w:rPr>
          <w:b/>
          <w:lang w:val="fr-FR"/>
        </w:rPr>
        <w:t>Trente-quatrième session</w:t>
      </w:r>
    </w:p>
    <w:p w:rsidR="00970A9A" w:rsidRPr="000F5D87" w:rsidRDefault="00970A9A" w:rsidP="002E6920">
      <w:pPr>
        <w:suppressAutoHyphens w:val="0"/>
        <w:rPr>
          <w:lang w:val="fr-FR"/>
        </w:rPr>
      </w:pPr>
      <w:r w:rsidRPr="000F5D87">
        <w:rPr>
          <w:lang w:val="fr-FR"/>
        </w:rPr>
        <w:t>Genève, 21-25 janvier 2019</w:t>
      </w:r>
    </w:p>
    <w:p w:rsidR="00970A9A" w:rsidRPr="000F5D87" w:rsidRDefault="00970A9A" w:rsidP="002E6920">
      <w:pPr>
        <w:suppressAutoHyphens w:val="0"/>
        <w:rPr>
          <w:lang w:val="fr-FR"/>
        </w:rPr>
      </w:pPr>
      <w:r w:rsidRPr="000F5D87">
        <w:rPr>
          <w:lang w:val="fr-FR"/>
        </w:rPr>
        <w:t>Point 5 b) de l’ordre du jour provisoire</w:t>
      </w:r>
    </w:p>
    <w:p w:rsidR="00970A9A" w:rsidRPr="000F5D87" w:rsidRDefault="00970A9A" w:rsidP="002E6920">
      <w:pPr>
        <w:suppressAutoHyphens w:val="0"/>
        <w:rPr>
          <w:b/>
          <w:lang w:val="fr-FR"/>
        </w:rPr>
      </w:pPr>
      <w:r w:rsidRPr="000F5D87">
        <w:rPr>
          <w:b/>
          <w:lang w:val="fr-FR"/>
        </w:rPr>
        <w:t>Propositions d’amendements au Règlement annexé à l’ADN :</w:t>
      </w:r>
    </w:p>
    <w:p w:rsidR="00970A9A" w:rsidRPr="000F5D87" w:rsidRDefault="00970A9A" w:rsidP="002E6920">
      <w:pPr>
        <w:suppressAutoHyphens w:val="0"/>
        <w:rPr>
          <w:b/>
          <w:lang w:val="fr-FR"/>
        </w:rPr>
      </w:pPr>
      <w:r w:rsidRPr="000F5D87">
        <w:rPr>
          <w:b/>
          <w:lang w:val="fr-FR"/>
        </w:rPr>
        <w:t>Autres propositions</w:t>
      </w:r>
    </w:p>
    <w:p w:rsidR="00970A9A" w:rsidRPr="000F5D87" w:rsidRDefault="002E6920" w:rsidP="002E692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70A9A" w:rsidRPr="000F5D87">
        <w:rPr>
          <w:lang w:val="fr-FR"/>
        </w:rPr>
        <w:t xml:space="preserve">Amélioration d’ordre rédactionnel visant à renforcer </w:t>
      </w:r>
      <w:r>
        <w:rPr>
          <w:lang w:val="fr-FR"/>
        </w:rPr>
        <w:br/>
      </w:r>
      <w:r w:rsidR="00970A9A" w:rsidRPr="000F5D87">
        <w:rPr>
          <w:lang w:val="fr-FR"/>
        </w:rPr>
        <w:t xml:space="preserve">la lisibilité et l’utilité de l’ADN </w:t>
      </w:r>
      <w:r>
        <w:rPr>
          <w:lang w:val="fr-FR"/>
        </w:rPr>
        <w:t>−</w:t>
      </w:r>
      <w:r w:rsidR="00970A9A" w:rsidRPr="000F5D87">
        <w:rPr>
          <w:lang w:val="fr-FR"/>
        </w:rPr>
        <w:t xml:space="preserve"> En</w:t>
      </w:r>
      <w:r>
        <w:rPr>
          <w:lang w:val="fr-FR"/>
        </w:rPr>
        <w:t>-</w:t>
      </w:r>
      <w:r w:rsidR="00970A9A" w:rsidRPr="000F5D87">
        <w:rPr>
          <w:lang w:val="fr-FR"/>
        </w:rPr>
        <w:t>tête du tableau C</w:t>
      </w:r>
    </w:p>
    <w:p w:rsidR="00970A9A" w:rsidRDefault="002E6920" w:rsidP="00970A9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70A9A" w:rsidRPr="000F5D87">
        <w:rPr>
          <w:lang w:val="fr-FR"/>
        </w:rPr>
        <w:t>Communication de l’Union européenne de la navigation fluviale (UENF) et de l’Organisation européenne des bateliers (OEB)</w:t>
      </w:r>
      <w:r w:rsidR="00970A9A" w:rsidRPr="002E6920">
        <w:rPr>
          <w:b w:val="0"/>
          <w:bCs/>
          <w:sz w:val="20"/>
          <w:lang w:val="fr-FR"/>
        </w:rPr>
        <w:footnoteReference w:customMarkFollows="1" w:id="2"/>
        <w:t>*</w:t>
      </w:r>
      <w:r w:rsidR="00970A9A" w:rsidRPr="000F5D87">
        <w:rPr>
          <w:bCs/>
          <w:sz w:val="20"/>
          <w:vertAlign w:val="superscript"/>
          <w:lang w:val="fr-FR"/>
        </w:rPr>
        <w:t xml:space="preserve">, </w:t>
      </w:r>
      <w:r w:rsidR="00970A9A" w:rsidRPr="002E6920">
        <w:rPr>
          <w:b w:val="0"/>
          <w:bCs/>
          <w:sz w:val="20"/>
          <w:lang w:val="fr-FR"/>
        </w:rPr>
        <w:footnoteReference w:customMarkFollows="1" w:id="3"/>
        <w:t>**</w:t>
      </w:r>
      <w:r w:rsidR="00970A9A" w:rsidRPr="000F5D87">
        <w:rPr>
          <w:lang w:val="fr-FR"/>
        </w:rPr>
        <w:t xml:space="preserve"> </w:t>
      </w:r>
    </w:p>
    <w:tbl>
      <w:tblPr>
        <w:tblStyle w:val="TableGrid"/>
        <w:tblW w:w="7371" w:type="dxa"/>
        <w:tblInd w:w="1134" w:type="dxa"/>
        <w:tblLook w:val="04A0" w:firstRow="1" w:lastRow="0" w:firstColumn="1" w:lastColumn="0" w:noHBand="0" w:noVBand="1"/>
      </w:tblPr>
      <w:tblGrid>
        <w:gridCol w:w="2069"/>
        <w:gridCol w:w="5302"/>
      </w:tblGrid>
      <w:tr w:rsidR="00FF18CF" w:rsidTr="00054AAD">
        <w:tc>
          <w:tcPr>
            <w:tcW w:w="2415" w:type="dxa"/>
            <w:tcBorders>
              <w:right w:val="nil"/>
            </w:tcBorders>
          </w:tcPr>
          <w:p w:rsidR="00FF18CF" w:rsidRPr="00FF18CF" w:rsidRDefault="00FF18CF" w:rsidP="00FF18CF">
            <w:pPr>
              <w:pStyle w:val="SingleTxtG"/>
              <w:spacing w:before="40"/>
              <w:ind w:left="57" w:right="57"/>
              <w:rPr>
                <w:b/>
                <w:lang w:val="fr-FR"/>
              </w:rPr>
            </w:pPr>
            <w:r w:rsidRPr="00FF18CF">
              <w:rPr>
                <w:b/>
                <w:lang w:val="fr-FR"/>
              </w:rPr>
              <w:t>Documents connexes</w:t>
            </w:r>
          </w:p>
        </w:tc>
        <w:tc>
          <w:tcPr>
            <w:tcW w:w="6099" w:type="dxa"/>
            <w:tcBorders>
              <w:left w:val="nil"/>
            </w:tcBorders>
          </w:tcPr>
          <w:p w:rsidR="00FF18CF" w:rsidRDefault="00FF18CF" w:rsidP="00FF18CF">
            <w:pPr>
              <w:pStyle w:val="SingleTxtG"/>
              <w:spacing w:before="40"/>
              <w:ind w:left="57" w:right="57"/>
              <w:rPr>
                <w:lang w:val="fr-FR"/>
              </w:rPr>
            </w:pPr>
            <w:r w:rsidRPr="00FF18CF">
              <w:t>ECE/TRANS/WP.15/AC.2/2018/38</w:t>
            </w:r>
            <w:r w:rsidRPr="00FF18CF">
              <w:br/>
              <w:t>ECE/TRANS/WP.15/AC.2/66</w:t>
            </w:r>
            <w:r w:rsidRPr="00FF18CF">
              <w:br/>
            </w:r>
            <w:r w:rsidRPr="000F5D87">
              <w:rPr>
                <w:lang w:val="fr-FR"/>
              </w:rPr>
              <w:t xml:space="preserve">Document informel INF.20 de la trente-deuxième session </w:t>
            </w:r>
            <w:r w:rsidR="00EE2F9D">
              <w:rPr>
                <w:lang w:val="fr-FR"/>
              </w:rPr>
              <w:br/>
            </w:r>
            <w:r w:rsidRPr="000F5D87">
              <w:rPr>
                <w:lang w:val="fr-FR"/>
              </w:rPr>
              <w:t>(sous-section B)</w:t>
            </w:r>
          </w:p>
        </w:tc>
      </w:tr>
    </w:tbl>
    <w:p w:rsidR="00970A9A" w:rsidRPr="000F5D87" w:rsidRDefault="00970A9A" w:rsidP="00EE2F9D">
      <w:pPr>
        <w:pStyle w:val="HChG"/>
        <w:rPr>
          <w:lang w:val="fr-FR"/>
        </w:rPr>
      </w:pPr>
      <w:r w:rsidRPr="000F5D87">
        <w:rPr>
          <w:lang w:val="fr-FR"/>
        </w:rPr>
        <w:tab/>
        <w:t>I.</w:t>
      </w:r>
      <w:r w:rsidRPr="000F5D87">
        <w:rPr>
          <w:lang w:val="fr-FR"/>
        </w:rPr>
        <w:tab/>
        <w:t>Introduction</w:t>
      </w:r>
    </w:p>
    <w:p w:rsidR="00970A9A" w:rsidRPr="000F5D87" w:rsidRDefault="00970A9A" w:rsidP="00EE2F9D">
      <w:pPr>
        <w:pStyle w:val="SingleTxtG"/>
        <w:rPr>
          <w:lang w:val="fr-FR"/>
        </w:rPr>
      </w:pPr>
      <w:r w:rsidRPr="000F5D87">
        <w:rPr>
          <w:lang w:val="fr-FR"/>
        </w:rPr>
        <w:t>1.</w:t>
      </w:r>
      <w:r w:rsidRPr="000F5D87">
        <w:rPr>
          <w:lang w:val="fr-FR"/>
        </w:rPr>
        <w:tab/>
        <w:t xml:space="preserve">L’Union européenne de la navigation fluviale (UENF) et l’Organisation européenne des bateliers (OEB) ont reçu plusieurs propositions d’améliorations à l’occasion de </w:t>
      </w:r>
      <w:proofErr w:type="gramStart"/>
      <w:r w:rsidRPr="000F5D87">
        <w:rPr>
          <w:lang w:val="fr-FR"/>
        </w:rPr>
        <w:t>réunions</w:t>
      </w:r>
      <w:proofErr w:type="gramEnd"/>
      <w:r w:rsidRPr="000F5D87">
        <w:rPr>
          <w:lang w:val="fr-FR"/>
        </w:rPr>
        <w:t xml:space="preserve"> conjointes sur les marchandises dangereuses et de la part de formateurs ADN membres du groupe de travail informel sur la formation des experts (IAG </w:t>
      </w:r>
      <w:proofErr w:type="spellStart"/>
      <w:r w:rsidRPr="000F5D87">
        <w:rPr>
          <w:lang w:val="fr-FR"/>
        </w:rPr>
        <w:t>Sachkundigenausbildung</w:t>
      </w:r>
      <w:proofErr w:type="spellEnd"/>
      <w:r w:rsidRPr="000F5D87">
        <w:rPr>
          <w:lang w:val="fr-FR"/>
        </w:rPr>
        <w:t>). Ces propositions sont principalement d’ordre rédactionnel et visent à améliorer la lisibilité et l’utilité de l’ADN, en particulier pour les équipages des barges, qui sont les experts de l’ADN à bord de ces embarcations.</w:t>
      </w:r>
    </w:p>
    <w:p w:rsidR="00970A9A" w:rsidRPr="000F5D87" w:rsidRDefault="00970A9A" w:rsidP="00EE2F9D">
      <w:pPr>
        <w:pStyle w:val="SingleTxtG"/>
        <w:rPr>
          <w:lang w:val="fr-FR"/>
        </w:rPr>
      </w:pPr>
      <w:r w:rsidRPr="000F5D87">
        <w:rPr>
          <w:lang w:val="fr-FR"/>
        </w:rPr>
        <w:lastRenderedPageBreak/>
        <w:t>2.</w:t>
      </w:r>
      <w:r w:rsidRPr="000F5D87">
        <w:rPr>
          <w:lang w:val="fr-FR"/>
        </w:rPr>
        <w:tab/>
        <w:t>La présente proposition a été soumise au nom de l’UENF et de l’OEB aux trente</w:t>
      </w:r>
      <w:r w:rsidR="00054AAD">
        <w:rPr>
          <w:lang w:val="fr-FR"/>
        </w:rPr>
        <w:noBreakHyphen/>
      </w:r>
      <w:proofErr w:type="gramStart"/>
      <w:r w:rsidRPr="000F5D87">
        <w:rPr>
          <w:lang w:val="fr-FR"/>
        </w:rPr>
        <w:t>deuxième et trente-troisième sessions</w:t>
      </w:r>
      <w:proofErr w:type="gramEnd"/>
      <w:r w:rsidRPr="000F5D87">
        <w:rPr>
          <w:lang w:val="fr-FR"/>
        </w:rPr>
        <w:t xml:space="preserve"> du Comité de sécurité de l’ADN. Celui-ci a invité les représentants de l’UENF et de l’OEB à tenir compte des observations formulées et à soumettre une proposition révisée, sous une cote officielle, à la trente-quatrième session. On trouvera ci-dessous la proposition élaborée en réponse à cette demande.</w:t>
      </w:r>
    </w:p>
    <w:p w:rsidR="00970A9A" w:rsidRPr="000F5D87" w:rsidRDefault="00970A9A" w:rsidP="00EE2F9D">
      <w:pPr>
        <w:pStyle w:val="SingleTxtG"/>
        <w:rPr>
          <w:lang w:val="fr-FR"/>
        </w:rPr>
      </w:pPr>
      <w:r w:rsidRPr="000F5D87">
        <w:rPr>
          <w:lang w:val="fr-FR"/>
        </w:rPr>
        <w:t>3.</w:t>
      </w:r>
      <w:r w:rsidRPr="000F5D87">
        <w:rPr>
          <w:lang w:val="fr-FR"/>
        </w:rPr>
        <w:tab/>
        <w:t>L’UENF et l’OEB demandent au Comité de sécurité de l’ADN de réfléchir à l’éventuel ajout, dans l’en</w:t>
      </w:r>
      <w:r w:rsidR="00054AAD">
        <w:rPr>
          <w:lang w:val="fr-FR"/>
        </w:rPr>
        <w:t>-</w:t>
      </w:r>
      <w:r w:rsidRPr="000F5D87">
        <w:rPr>
          <w:lang w:val="fr-FR"/>
        </w:rPr>
        <w:t>tête du tableau C du chapitre 3.2, de références aux paragraphes concernés.</w:t>
      </w:r>
    </w:p>
    <w:p w:rsidR="00970A9A" w:rsidRPr="000F5D87" w:rsidRDefault="00970A9A" w:rsidP="00EE2F9D">
      <w:pPr>
        <w:pStyle w:val="SingleTxtG"/>
        <w:rPr>
          <w:lang w:val="fr-FR"/>
        </w:rPr>
      </w:pPr>
      <w:r w:rsidRPr="000F5D87">
        <w:rPr>
          <w:lang w:val="fr-FR"/>
        </w:rPr>
        <w:t>4.</w:t>
      </w:r>
      <w:r w:rsidRPr="000F5D87">
        <w:rPr>
          <w:lang w:val="fr-FR"/>
        </w:rPr>
        <w:tab/>
        <w:t xml:space="preserve">Le tableau C et le tableau A n’ont pas la même structure. En effet, contrairement à </w:t>
      </w:r>
      <w:r w:rsidR="00054AAD">
        <w:rPr>
          <w:lang w:val="fr-FR"/>
        </w:rPr>
        <w:t>celui</w:t>
      </w:r>
      <w:r w:rsidRPr="000F5D87">
        <w:rPr>
          <w:lang w:val="fr-FR"/>
        </w:rPr>
        <w:t xml:space="preserve"> du tableau A, l’en</w:t>
      </w:r>
      <w:r w:rsidR="00054AAD">
        <w:rPr>
          <w:lang w:val="fr-FR"/>
        </w:rPr>
        <w:t>-</w:t>
      </w:r>
      <w:r w:rsidRPr="000F5D87">
        <w:rPr>
          <w:lang w:val="fr-FR"/>
        </w:rPr>
        <w:t>tête du tableau C ne comporte aucune référence aux paragraphes auxquels renvoient ses intitulés. Il serait donc utile d’ajouter de telles références.</w:t>
      </w:r>
    </w:p>
    <w:p w:rsidR="00970A9A" w:rsidRPr="000F5D87" w:rsidRDefault="00970A9A" w:rsidP="00EE2F9D">
      <w:pPr>
        <w:pStyle w:val="HChG"/>
        <w:rPr>
          <w:lang w:val="fr-FR"/>
        </w:rPr>
      </w:pPr>
      <w:r w:rsidRPr="000F5D87">
        <w:rPr>
          <w:lang w:val="fr-FR"/>
        </w:rPr>
        <w:tab/>
        <w:t>II.</w:t>
      </w:r>
      <w:r w:rsidRPr="000F5D87">
        <w:rPr>
          <w:lang w:val="fr-FR"/>
        </w:rPr>
        <w:tab/>
        <w:t>Proposition</w:t>
      </w:r>
    </w:p>
    <w:p w:rsidR="00970A9A" w:rsidRPr="000F5D87" w:rsidRDefault="00970A9A" w:rsidP="00EE2F9D">
      <w:pPr>
        <w:pStyle w:val="SingleTxtG"/>
        <w:keepNext/>
        <w:rPr>
          <w:lang w:val="fr-FR"/>
        </w:rPr>
      </w:pPr>
      <w:r w:rsidRPr="000F5D87">
        <w:rPr>
          <w:lang w:val="fr-FR"/>
        </w:rPr>
        <w:t>5.</w:t>
      </w:r>
      <w:r w:rsidRPr="000F5D87">
        <w:rPr>
          <w:lang w:val="fr-FR"/>
        </w:rPr>
        <w:tab/>
        <w:t>Compléter l’en</w:t>
      </w:r>
      <w:r w:rsidR="00EE2F9D">
        <w:rPr>
          <w:lang w:val="fr-FR"/>
        </w:rPr>
        <w:t>-</w:t>
      </w:r>
      <w:r w:rsidRPr="000F5D87">
        <w:rPr>
          <w:lang w:val="fr-FR"/>
        </w:rPr>
        <w:t>tête du tableau C par des références aux paragraphes correspondant aux intitulés des différentes colonnes :</w:t>
      </w:r>
    </w:p>
    <w:tbl>
      <w:tblPr>
        <w:tblW w:w="963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1148"/>
        <w:gridCol w:w="428"/>
        <w:gridCol w:w="426"/>
        <w:gridCol w:w="283"/>
        <w:gridCol w:w="283"/>
        <w:gridCol w:w="283"/>
        <w:gridCol w:w="324"/>
        <w:gridCol w:w="279"/>
        <w:gridCol w:w="457"/>
        <w:gridCol w:w="975"/>
        <w:gridCol w:w="385"/>
        <w:gridCol w:w="453"/>
        <w:gridCol w:w="353"/>
        <w:gridCol w:w="405"/>
        <w:gridCol w:w="405"/>
        <w:gridCol w:w="408"/>
        <w:gridCol w:w="489"/>
        <w:gridCol w:w="341"/>
        <w:gridCol w:w="364"/>
        <w:gridCol w:w="586"/>
      </w:tblGrid>
      <w:tr w:rsidR="00AB5984" w:rsidRPr="000F5D87" w:rsidTr="00290A12">
        <w:trPr>
          <w:cantSplit/>
          <w:trHeight w:val="2050"/>
          <w:tblHeader/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054AAD" w:rsidP="00C73294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>
              <w:rPr>
                <w:color w:val="000000"/>
                <w:sz w:val="16"/>
                <w:szCs w:val="16"/>
                <w:lang w:val="fr-FR" w:bidi="th-TH"/>
              </w:rPr>
              <w:t>Numéro</w:t>
            </w:r>
            <w:r w:rsidR="00970A9A" w:rsidRPr="000F5D87">
              <w:rPr>
                <w:color w:val="000000"/>
                <w:sz w:val="16"/>
                <w:szCs w:val="16"/>
                <w:lang w:val="fr-FR" w:bidi="th-TH"/>
              </w:rPr>
              <w:t xml:space="preserve"> ONU ou </w:t>
            </w:r>
            <w:r w:rsidR="00F275E8">
              <w:rPr>
                <w:color w:val="000000"/>
                <w:sz w:val="16"/>
                <w:szCs w:val="16"/>
                <w:lang w:val="fr-FR" w:bidi="th-TH"/>
              </w:rPr>
              <w:t xml:space="preserve">numéro </w:t>
            </w:r>
            <w:r w:rsidR="00C73294">
              <w:rPr>
                <w:color w:val="000000"/>
                <w:sz w:val="16"/>
                <w:szCs w:val="16"/>
                <w:lang w:val="fr-FR" w:bidi="th-TH"/>
              </w:rPr>
              <w:br/>
              <w:t>d</w:t>
            </w:r>
            <w:r w:rsidR="005F347F">
              <w:rPr>
                <w:color w:val="000000"/>
                <w:sz w:val="16"/>
                <w:szCs w:val="16"/>
                <w:lang w:val="fr-FR" w:bidi="th-TH"/>
              </w:rPr>
              <w:t>’</w:t>
            </w:r>
            <w:r w:rsidR="00C73294">
              <w:rPr>
                <w:color w:val="000000"/>
                <w:sz w:val="16"/>
                <w:szCs w:val="16"/>
                <w:lang w:val="fr-FR" w:bidi="th-TH"/>
              </w:rPr>
              <w:t>identification de la matière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Nom et description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Classe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Classification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Groupe d’emballage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Dangers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Type de bateau-citerne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État de la citerne à cargaison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Type de citerne à cargaison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Équipement de la citerne</w:t>
            </w:r>
            <w:r w:rsidR="001A5352">
              <w:rPr>
                <w:color w:val="000000"/>
                <w:sz w:val="16"/>
                <w:szCs w:val="16"/>
                <w:lang w:val="fr-FR" w:bidi="th-TH"/>
              </w:rPr>
              <w:br/>
            </w:r>
            <w:r w:rsidRPr="000F5D87">
              <w:rPr>
                <w:color w:val="000000"/>
                <w:sz w:val="16"/>
                <w:szCs w:val="16"/>
                <w:lang w:val="fr-FR" w:bidi="th-TH"/>
              </w:rPr>
              <w:t xml:space="preserve"> à cargaison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290A12">
            <w:pPr>
              <w:spacing w:before="80" w:after="120" w:line="240" w:lineRule="auto"/>
              <w:ind w:left="57" w:right="57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 xml:space="preserve">Pression d’ouverture </w:t>
            </w:r>
            <w:r w:rsidR="001A5352">
              <w:rPr>
                <w:color w:val="000000"/>
                <w:sz w:val="16"/>
                <w:szCs w:val="16"/>
                <w:lang w:val="fr-FR" w:bidi="th-TH"/>
              </w:rPr>
              <w:br/>
            </w:r>
            <w:r w:rsidRPr="000F5D87">
              <w:rPr>
                <w:color w:val="000000"/>
                <w:sz w:val="16"/>
                <w:szCs w:val="16"/>
                <w:lang w:val="fr-FR" w:bidi="th-TH"/>
              </w:rPr>
              <w:t xml:space="preserve">de la soupape </w:t>
            </w:r>
            <w:r w:rsidR="001A5352">
              <w:rPr>
                <w:color w:val="000000"/>
                <w:sz w:val="16"/>
                <w:szCs w:val="16"/>
                <w:lang w:val="fr-FR" w:bidi="th-TH"/>
              </w:rPr>
              <w:br/>
            </w:r>
            <w:r w:rsidRPr="000F5D87">
              <w:rPr>
                <w:color w:val="000000"/>
                <w:sz w:val="16"/>
                <w:szCs w:val="16"/>
                <w:lang w:val="fr-FR" w:bidi="th-TH"/>
              </w:rPr>
              <w:t>de surpression/soupape</w:t>
            </w:r>
            <w:r w:rsidR="001A5352">
              <w:rPr>
                <w:color w:val="000000"/>
                <w:sz w:val="16"/>
                <w:szCs w:val="16"/>
                <w:lang w:val="fr-FR" w:bidi="th-TH"/>
              </w:rPr>
              <w:br/>
            </w:r>
            <w:r w:rsidRPr="000F5D87">
              <w:rPr>
                <w:color w:val="000000"/>
                <w:sz w:val="16"/>
                <w:szCs w:val="16"/>
                <w:lang w:val="fr-FR" w:bidi="th-TH"/>
              </w:rPr>
              <w:t xml:space="preserve"> de dégagement </w:t>
            </w:r>
            <w:r w:rsidR="001A5352">
              <w:rPr>
                <w:color w:val="000000"/>
                <w:sz w:val="16"/>
                <w:szCs w:val="16"/>
                <w:lang w:val="fr-FR" w:bidi="th-TH"/>
              </w:rPr>
              <w:br/>
            </w:r>
            <w:r w:rsidRPr="000F5D87">
              <w:rPr>
                <w:color w:val="000000"/>
                <w:sz w:val="16"/>
                <w:szCs w:val="16"/>
                <w:lang w:val="fr-FR" w:bidi="th-TH"/>
              </w:rPr>
              <w:t>à grande vitesse, en kPa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290A12">
            <w:pPr>
              <w:spacing w:before="80" w:after="12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Degré maximal de remplissage en %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Densité à 20 °C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Type de prise d’échantillon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290A12">
            <w:pPr>
              <w:spacing w:before="80" w:after="12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 xml:space="preserve">Chambre de pompes </w:t>
            </w:r>
            <w:r w:rsidR="00290A12">
              <w:rPr>
                <w:color w:val="000000"/>
                <w:sz w:val="16"/>
                <w:szCs w:val="16"/>
                <w:lang w:val="fr-FR" w:bidi="th-TH"/>
              </w:rPr>
              <w:br/>
            </w:r>
            <w:r w:rsidRPr="000F5D87">
              <w:rPr>
                <w:color w:val="000000"/>
                <w:sz w:val="16"/>
                <w:szCs w:val="16"/>
                <w:lang w:val="fr-FR" w:bidi="th-TH"/>
              </w:rPr>
              <w:t>sous pont admise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Classe de température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Groupe d’explosion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Protection contre les explosions exigée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Équipement exigé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Nombre de cônes/feux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70A9A" w:rsidRPr="000F5D87" w:rsidRDefault="00970A9A" w:rsidP="005F347F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Exigences supplémentaires</w:t>
            </w:r>
            <w:r w:rsidR="005F347F">
              <w:rPr>
                <w:color w:val="000000"/>
                <w:sz w:val="16"/>
                <w:szCs w:val="16"/>
                <w:lang w:val="fr-FR" w:bidi="th-TH"/>
              </w:rPr>
              <w:br/>
            </w:r>
            <w:r w:rsidRPr="000F5D87">
              <w:rPr>
                <w:color w:val="000000"/>
                <w:sz w:val="16"/>
                <w:szCs w:val="16"/>
                <w:lang w:val="fr-FR" w:bidi="th-TH"/>
              </w:rPr>
              <w:t>Observations</w:t>
            </w:r>
          </w:p>
        </w:tc>
      </w:tr>
      <w:tr w:rsidR="00AB5984" w:rsidRPr="000F5D87" w:rsidTr="00290A12">
        <w:trPr>
          <w:cantSplit/>
          <w:trHeight w:val="37"/>
          <w:tblHeader/>
          <w:jc w:val="center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(2)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(3a)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(3b)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(4)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(5)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(6)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(7)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(8)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(9)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(10)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(11)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(12)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(13)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(14)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(15)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(16)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(17)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(18)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(19)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9A" w:rsidRPr="000F5D87" w:rsidRDefault="00970A9A" w:rsidP="00F275E8">
            <w:pPr>
              <w:spacing w:before="80" w:after="80" w:line="200" w:lineRule="atLeast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0F5D87">
              <w:rPr>
                <w:color w:val="000000"/>
                <w:sz w:val="16"/>
                <w:szCs w:val="16"/>
                <w:lang w:val="fr-FR" w:bidi="th-TH"/>
              </w:rPr>
              <w:t>(20)</w:t>
            </w:r>
          </w:p>
        </w:tc>
      </w:tr>
    </w:tbl>
    <w:p w:rsidR="00970A9A" w:rsidRPr="000F5D87" w:rsidRDefault="00970A9A" w:rsidP="001D5D61">
      <w:pPr>
        <w:pStyle w:val="SingleTxtG"/>
        <w:tabs>
          <w:tab w:val="left" w:pos="2835"/>
        </w:tabs>
        <w:spacing w:before="240"/>
        <w:rPr>
          <w:lang w:val="fr-FR"/>
        </w:rPr>
      </w:pPr>
      <w:r w:rsidRPr="000F5D87">
        <w:rPr>
          <w:lang w:val="fr-FR"/>
        </w:rPr>
        <w:t xml:space="preserve">Colonne 2 : 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3.1.2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 xml:space="preserve">Colonne 3a : 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2.2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3b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2.2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4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2.1.1.3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5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5.2.2/3.2.3.1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6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1.2.1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Colonnes 7 à 10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3.2.3.1/1.2.1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11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7.2.4.21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12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3.2.3.1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13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3.2.3.1/1.2.1*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14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3.2.3.1/1.2.1**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 xml:space="preserve">Colonne 15 : 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1.2.1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16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 xml:space="preserve">1.2.1/3.2.3.3 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 xml:space="preserve">Colonne 17 : 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1.2.1/3.2.3.3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18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8.1.5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19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7.2.5</w:t>
      </w:r>
    </w:p>
    <w:p w:rsidR="00970A9A" w:rsidRPr="000F5D87" w:rsidRDefault="00970A9A" w:rsidP="001D5D61">
      <w:pPr>
        <w:pStyle w:val="SingleTxtG"/>
        <w:tabs>
          <w:tab w:val="left" w:pos="2835"/>
        </w:tabs>
        <w:rPr>
          <w:lang w:val="fr-FR"/>
        </w:rPr>
      </w:pPr>
      <w:r w:rsidRPr="000F5D87">
        <w:rPr>
          <w:lang w:val="fr-FR"/>
        </w:rPr>
        <w:t>Colonne 20 :</w:t>
      </w:r>
      <w:r w:rsidRPr="000F5D87">
        <w:rPr>
          <w:lang w:val="fr-FR"/>
        </w:rPr>
        <w:tab/>
      </w:r>
      <w:r w:rsidRPr="000F5D87">
        <w:rPr>
          <w:lang w:val="fr-FR"/>
        </w:rPr>
        <w:tab/>
        <w:t>3.2.3.1</w:t>
      </w:r>
    </w:p>
    <w:p w:rsidR="00970A9A" w:rsidRPr="000F5D87" w:rsidRDefault="00970A9A" w:rsidP="001D5D61">
      <w:pPr>
        <w:pStyle w:val="SingleTxtG"/>
        <w:keepNext/>
        <w:rPr>
          <w:lang w:val="fr-FR"/>
        </w:rPr>
      </w:pPr>
      <w:r w:rsidRPr="000F5D87">
        <w:rPr>
          <w:lang w:val="fr-FR"/>
        </w:rPr>
        <w:lastRenderedPageBreak/>
        <w:t>6.</w:t>
      </w:r>
      <w:r w:rsidRPr="000F5D87">
        <w:rPr>
          <w:lang w:val="fr-FR"/>
        </w:rPr>
        <w:tab/>
        <w:t>L’UENF et l’OEB proposent également d’apporter les modifications mineures ci</w:t>
      </w:r>
      <w:r w:rsidR="001D5D61">
        <w:rPr>
          <w:lang w:val="fr-FR"/>
        </w:rPr>
        <w:noBreakHyphen/>
      </w:r>
      <w:r w:rsidRPr="000F5D87">
        <w:rPr>
          <w:lang w:val="fr-FR"/>
        </w:rPr>
        <w:t>après aux en</w:t>
      </w:r>
      <w:r w:rsidR="001D5D61">
        <w:rPr>
          <w:lang w:val="fr-FR"/>
        </w:rPr>
        <w:t>-</w:t>
      </w:r>
      <w:r w:rsidRPr="000F5D87">
        <w:rPr>
          <w:lang w:val="fr-FR"/>
        </w:rPr>
        <w:t>têtes des colonnes 13 et 14 :</w:t>
      </w:r>
    </w:p>
    <w:p w:rsidR="00970A9A" w:rsidRPr="000F5D87" w:rsidRDefault="00970A9A" w:rsidP="00970A9A">
      <w:pPr>
        <w:pStyle w:val="SingleTxtG"/>
        <w:rPr>
          <w:lang w:val="fr-FR"/>
        </w:rPr>
      </w:pPr>
      <w:r w:rsidRPr="000F5D87">
        <w:rPr>
          <w:lang w:val="fr-FR"/>
        </w:rPr>
        <w:t xml:space="preserve">* </w:t>
      </w:r>
      <w:r w:rsidRPr="000F5D87">
        <w:rPr>
          <w:lang w:val="fr-FR"/>
        </w:rPr>
        <w:tab/>
        <w:t>Modifier l’en</w:t>
      </w:r>
      <w:r w:rsidR="001D5D61">
        <w:rPr>
          <w:lang w:val="fr-FR"/>
        </w:rPr>
        <w:t>-</w:t>
      </w:r>
      <w:r w:rsidRPr="000F5D87">
        <w:rPr>
          <w:lang w:val="fr-FR"/>
        </w:rPr>
        <w:t>tête de la colonne 13 comme suit : « Groupe/sous-groupe d’explosion ».</w:t>
      </w:r>
    </w:p>
    <w:p w:rsidR="00970A9A" w:rsidRPr="000F5D87" w:rsidRDefault="00970A9A" w:rsidP="00970A9A">
      <w:pPr>
        <w:pStyle w:val="SingleTxtG"/>
        <w:rPr>
          <w:lang w:val="fr-FR"/>
        </w:rPr>
      </w:pPr>
      <w:r w:rsidRPr="000F5D87">
        <w:rPr>
          <w:lang w:val="fr-FR"/>
        </w:rPr>
        <w:t>**</w:t>
      </w:r>
      <w:r w:rsidRPr="000F5D87">
        <w:rPr>
          <w:lang w:val="fr-FR"/>
        </w:rPr>
        <w:tab/>
        <w:t>Modifier l’en</w:t>
      </w:r>
      <w:r w:rsidR="001D5D61">
        <w:rPr>
          <w:lang w:val="fr-FR"/>
        </w:rPr>
        <w:t>-</w:t>
      </w:r>
      <w:r w:rsidRPr="000F5D87">
        <w:rPr>
          <w:lang w:val="fr-FR"/>
        </w:rPr>
        <w:t>tête de la colonne 14 comme suit : « Chambre des pompes à cargaison sous le pont admise ».</w:t>
      </w:r>
    </w:p>
    <w:p w:rsidR="00970A9A" w:rsidRPr="000F5D87" w:rsidRDefault="00970A9A" w:rsidP="00970A9A">
      <w:pPr>
        <w:pStyle w:val="SingleTxtG"/>
        <w:rPr>
          <w:lang w:val="fr-FR"/>
        </w:rPr>
      </w:pPr>
      <w:r w:rsidRPr="000F5D87">
        <w:rPr>
          <w:lang w:val="fr-FR"/>
        </w:rPr>
        <w:t>Justification : le terme « chambre des pompes à cargaison » est celui qui est employé dans la définition figurant au paragraphe 1.2.1.</w:t>
      </w:r>
    </w:p>
    <w:p w:rsidR="00970A9A" w:rsidRPr="000F5D87" w:rsidRDefault="00970A9A" w:rsidP="00F01A34">
      <w:pPr>
        <w:pStyle w:val="HChG"/>
        <w:rPr>
          <w:lang w:val="fr-FR"/>
        </w:rPr>
      </w:pPr>
      <w:r w:rsidRPr="000F5D87">
        <w:rPr>
          <w:lang w:val="fr-FR"/>
        </w:rPr>
        <w:tab/>
        <w:t>III.</w:t>
      </w:r>
      <w:r w:rsidRPr="000F5D87">
        <w:rPr>
          <w:lang w:val="fr-FR"/>
        </w:rPr>
        <w:tab/>
        <w:t>Incidences sur la sécurité</w:t>
      </w:r>
    </w:p>
    <w:p w:rsidR="00F9573C" w:rsidRDefault="00970A9A" w:rsidP="00F01A34">
      <w:pPr>
        <w:pStyle w:val="SingleTxtG"/>
        <w:rPr>
          <w:lang w:val="fr-FR"/>
        </w:rPr>
      </w:pPr>
      <w:r w:rsidRPr="000F5D87">
        <w:rPr>
          <w:lang w:val="fr-FR"/>
        </w:rPr>
        <w:t>7.</w:t>
      </w:r>
      <w:r w:rsidRPr="000F5D87">
        <w:rPr>
          <w:lang w:val="fr-FR"/>
        </w:rPr>
        <w:tab/>
        <w:t>La présente proposition n’induit aucun changement dans la teneur de l’ADN, ni aucune incidence sur la sécurité. Les effets positifs que l’on peut en attendre sont une meilleure compréhension du tableau C par les équipages des bateaux et aussi une consultation plus aisée de celui-ci.</w:t>
      </w:r>
    </w:p>
    <w:p w:rsidR="00F01A34" w:rsidRPr="00F01A34" w:rsidRDefault="00F01A34" w:rsidP="00F01A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01A34" w:rsidRPr="00F01A34" w:rsidSect="00970A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97" w:rsidRDefault="00DC6B97" w:rsidP="00F95C08">
      <w:pPr>
        <w:spacing w:line="240" w:lineRule="auto"/>
      </w:pPr>
    </w:p>
  </w:endnote>
  <w:endnote w:type="continuationSeparator" w:id="0">
    <w:p w:rsidR="00DC6B97" w:rsidRPr="00AC3823" w:rsidRDefault="00DC6B97" w:rsidP="00AC3823">
      <w:pPr>
        <w:pStyle w:val="Footer"/>
      </w:pPr>
    </w:p>
  </w:endnote>
  <w:endnote w:type="continuationNotice" w:id="1">
    <w:p w:rsidR="00DC6B97" w:rsidRDefault="00DC6B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9A" w:rsidRPr="00970A9A" w:rsidRDefault="00970A9A" w:rsidP="00970A9A">
    <w:pPr>
      <w:pStyle w:val="Footer"/>
      <w:tabs>
        <w:tab w:val="right" w:pos="9638"/>
      </w:tabs>
    </w:pPr>
    <w:r w:rsidRPr="00970A9A">
      <w:rPr>
        <w:b/>
        <w:sz w:val="18"/>
      </w:rPr>
      <w:fldChar w:fldCharType="begin"/>
    </w:r>
    <w:r w:rsidRPr="00970A9A">
      <w:rPr>
        <w:b/>
        <w:sz w:val="18"/>
      </w:rPr>
      <w:instrText xml:space="preserve"> PAGE  \* MERGEFORMAT </w:instrText>
    </w:r>
    <w:r w:rsidRPr="00970A9A">
      <w:rPr>
        <w:b/>
        <w:sz w:val="18"/>
      </w:rPr>
      <w:fldChar w:fldCharType="separate"/>
    </w:r>
    <w:r w:rsidR="00054AAD">
      <w:rPr>
        <w:b/>
        <w:noProof/>
        <w:sz w:val="18"/>
      </w:rPr>
      <w:t>2</w:t>
    </w:r>
    <w:r w:rsidRPr="00970A9A">
      <w:rPr>
        <w:b/>
        <w:sz w:val="18"/>
      </w:rPr>
      <w:fldChar w:fldCharType="end"/>
    </w:r>
    <w:r>
      <w:rPr>
        <w:b/>
        <w:sz w:val="18"/>
      </w:rPr>
      <w:tab/>
    </w:r>
    <w:r>
      <w:t>GE.18-18690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9A" w:rsidRPr="00970A9A" w:rsidRDefault="00970A9A" w:rsidP="00970A9A">
    <w:pPr>
      <w:pStyle w:val="Footer"/>
      <w:tabs>
        <w:tab w:val="right" w:pos="9638"/>
      </w:tabs>
      <w:rPr>
        <w:b/>
        <w:sz w:val="18"/>
      </w:rPr>
    </w:pPr>
    <w:r>
      <w:t>GE.18-18690</w:t>
    </w:r>
    <w:r>
      <w:tab/>
    </w:r>
    <w:r w:rsidRPr="00970A9A">
      <w:rPr>
        <w:b/>
        <w:sz w:val="18"/>
      </w:rPr>
      <w:fldChar w:fldCharType="begin"/>
    </w:r>
    <w:r w:rsidRPr="00970A9A">
      <w:rPr>
        <w:b/>
        <w:sz w:val="18"/>
      </w:rPr>
      <w:instrText xml:space="preserve"> PAGE  \* MERGEFORMAT </w:instrText>
    </w:r>
    <w:r w:rsidRPr="00970A9A">
      <w:rPr>
        <w:b/>
        <w:sz w:val="18"/>
      </w:rPr>
      <w:fldChar w:fldCharType="separate"/>
    </w:r>
    <w:r w:rsidR="00054AAD">
      <w:rPr>
        <w:b/>
        <w:noProof/>
        <w:sz w:val="18"/>
      </w:rPr>
      <w:t>3</w:t>
    </w:r>
    <w:r w:rsidRPr="00970A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70A9A" w:rsidRDefault="00970A9A" w:rsidP="00970A9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18690  (</w:t>
    </w:r>
    <w:proofErr w:type="gramEnd"/>
    <w:r>
      <w:rPr>
        <w:sz w:val="20"/>
      </w:rPr>
      <w:t>F)    191118    291118</w:t>
    </w:r>
    <w:r>
      <w:rPr>
        <w:sz w:val="20"/>
      </w:rPr>
      <w:br/>
    </w:r>
    <w:r w:rsidRPr="00970A9A">
      <w:rPr>
        <w:rFonts w:ascii="C39T30Lfz" w:hAnsi="C39T30Lfz"/>
        <w:sz w:val="56"/>
      </w:rPr>
      <w:t></w:t>
    </w:r>
    <w:r w:rsidRPr="00970A9A">
      <w:rPr>
        <w:rFonts w:ascii="C39T30Lfz" w:hAnsi="C39T30Lfz"/>
        <w:sz w:val="56"/>
      </w:rPr>
      <w:t></w:t>
    </w:r>
    <w:r w:rsidRPr="00970A9A">
      <w:rPr>
        <w:rFonts w:ascii="C39T30Lfz" w:hAnsi="C39T30Lfz"/>
        <w:sz w:val="56"/>
      </w:rPr>
      <w:t></w:t>
    </w:r>
    <w:r w:rsidRPr="00970A9A">
      <w:rPr>
        <w:rFonts w:ascii="C39T30Lfz" w:hAnsi="C39T30Lfz"/>
        <w:sz w:val="56"/>
      </w:rPr>
      <w:t></w:t>
    </w:r>
    <w:r w:rsidRPr="00970A9A">
      <w:rPr>
        <w:rFonts w:ascii="C39T30Lfz" w:hAnsi="C39T30Lfz"/>
        <w:sz w:val="56"/>
      </w:rPr>
      <w:t></w:t>
    </w:r>
    <w:r w:rsidRPr="00970A9A">
      <w:rPr>
        <w:rFonts w:ascii="C39T30Lfz" w:hAnsi="C39T30Lfz"/>
        <w:sz w:val="56"/>
      </w:rPr>
      <w:t></w:t>
    </w:r>
    <w:r w:rsidRPr="00970A9A">
      <w:rPr>
        <w:rFonts w:ascii="C39T30Lfz" w:hAnsi="C39T30Lfz"/>
        <w:sz w:val="56"/>
      </w:rPr>
      <w:t></w:t>
    </w:r>
    <w:r w:rsidRPr="00970A9A">
      <w:rPr>
        <w:rFonts w:ascii="C39T30Lfz" w:hAnsi="C39T30Lfz"/>
        <w:sz w:val="56"/>
      </w:rPr>
      <w:t></w:t>
    </w:r>
    <w:r w:rsidRPr="00970A9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97" w:rsidRPr="00AC3823" w:rsidRDefault="00DC6B9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6B97" w:rsidRPr="00AC3823" w:rsidRDefault="00DC6B9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C6B97" w:rsidRPr="00AC3823" w:rsidRDefault="00DC6B97">
      <w:pPr>
        <w:spacing w:line="240" w:lineRule="auto"/>
        <w:rPr>
          <w:sz w:val="2"/>
          <w:szCs w:val="2"/>
        </w:rPr>
      </w:pPr>
    </w:p>
  </w:footnote>
  <w:footnote w:id="2">
    <w:p w:rsidR="00970A9A" w:rsidRPr="0057324C" w:rsidRDefault="00970A9A" w:rsidP="00970A9A">
      <w:pPr>
        <w:pStyle w:val="FootnoteText"/>
        <w:rPr>
          <w:lang w:val="fr-FR"/>
        </w:rPr>
      </w:pPr>
      <w:r>
        <w:rPr>
          <w:lang w:val="en-US"/>
        </w:rPr>
        <w:tab/>
      </w:r>
      <w:r w:rsidRPr="00311588">
        <w:rPr>
          <w:sz w:val="20"/>
          <w:lang w:val="fr-FR"/>
        </w:rPr>
        <w:t>*</w:t>
      </w:r>
      <w:r w:rsidRPr="00311588">
        <w:rPr>
          <w:lang w:val="fr-FR"/>
        </w:rPr>
        <w:tab/>
      </w:r>
      <w:r w:rsidRPr="0057324C">
        <w:rPr>
          <w:lang w:val="fr-FR"/>
        </w:rPr>
        <w:t>Diffusée en allemand par la Commission centrale pour la navigation du Rhin sous la cote CCNR</w:t>
      </w:r>
      <w:r w:rsidR="00EE2F9D">
        <w:rPr>
          <w:lang w:val="fr-FR"/>
        </w:rPr>
        <w:noBreakHyphen/>
      </w:r>
      <w:r w:rsidRPr="0057324C">
        <w:rPr>
          <w:lang w:val="fr-FR"/>
        </w:rPr>
        <w:t>ZKR/ADN/WP.15/AC.2/2019/13.</w:t>
      </w:r>
    </w:p>
  </w:footnote>
  <w:footnote w:id="3">
    <w:p w:rsidR="00970A9A" w:rsidRPr="00311588" w:rsidRDefault="00970A9A" w:rsidP="00970A9A">
      <w:pPr>
        <w:pStyle w:val="FootnoteText"/>
        <w:rPr>
          <w:lang w:val="fr-FR"/>
        </w:rPr>
      </w:pPr>
      <w:r w:rsidRPr="0057324C">
        <w:rPr>
          <w:lang w:val="fr-FR"/>
        </w:rPr>
        <w:tab/>
      </w:r>
      <w:r w:rsidRPr="0057324C">
        <w:rPr>
          <w:sz w:val="20"/>
          <w:lang w:val="fr-FR"/>
        </w:rPr>
        <w:t>**</w:t>
      </w:r>
      <w:r w:rsidRPr="0057324C">
        <w:rPr>
          <w:lang w:val="fr-FR"/>
        </w:rPr>
        <w:tab/>
        <w:t>Conformément au programme de travail du Comité des transports intérieurs pour la période 2018</w:t>
      </w:r>
      <w:r w:rsidR="00EE2F9D">
        <w:rPr>
          <w:lang w:val="fr-FR"/>
        </w:rPr>
        <w:noBreakHyphen/>
      </w:r>
      <w:r w:rsidRPr="0057324C">
        <w:rPr>
          <w:lang w:val="fr-FR"/>
        </w:rPr>
        <w:t>2019 (ECE/TRANS/2018/21/Add.1, module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9A" w:rsidRPr="00970A9A" w:rsidRDefault="00547A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83A2A">
      <w:t>ECE/TRANS/WP.15/AC.2/2019/13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9A" w:rsidRPr="00970A9A" w:rsidRDefault="00547A89" w:rsidP="00970A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83A2A">
      <w:t>ECE/TRANS/WP.15/AC.2/2019/13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97"/>
    <w:rsid w:val="00017F94"/>
    <w:rsid w:val="00023842"/>
    <w:rsid w:val="000334F9"/>
    <w:rsid w:val="00045FEB"/>
    <w:rsid w:val="00054AAD"/>
    <w:rsid w:val="00055407"/>
    <w:rsid w:val="0007796D"/>
    <w:rsid w:val="000B7790"/>
    <w:rsid w:val="00111F2F"/>
    <w:rsid w:val="0014365E"/>
    <w:rsid w:val="00143C66"/>
    <w:rsid w:val="00176178"/>
    <w:rsid w:val="00196E9E"/>
    <w:rsid w:val="001A5352"/>
    <w:rsid w:val="001D5D61"/>
    <w:rsid w:val="001F525A"/>
    <w:rsid w:val="00223272"/>
    <w:rsid w:val="0024779E"/>
    <w:rsid w:val="00257168"/>
    <w:rsid w:val="002744B8"/>
    <w:rsid w:val="002832AC"/>
    <w:rsid w:val="00290A12"/>
    <w:rsid w:val="002D7C93"/>
    <w:rsid w:val="002E6920"/>
    <w:rsid w:val="00305801"/>
    <w:rsid w:val="00383A2A"/>
    <w:rsid w:val="003916DE"/>
    <w:rsid w:val="00421996"/>
    <w:rsid w:val="00441C3B"/>
    <w:rsid w:val="00446FE5"/>
    <w:rsid w:val="00452396"/>
    <w:rsid w:val="004837D8"/>
    <w:rsid w:val="004E2EED"/>
    <w:rsid w:val="004E468C"/>
    <w:rsid w:val="00547A89"/>
    <w:rsid w:val="005505B7"/>
    <w:rsid w:val="00573BE5"/>
    <w:rsid w:val="00586ED3"/>
    <w:rsid w:val="00596AA9"/>
    <w:rsid w:val="005F347F"/>
    <w:rsid w:val="0071601D"/>
    <w:rsid w:val="007A62E6"/>
    <w:rsid w:val="007F20FA"/>
    <w:rsid w:val="0080684C"/>
    <w:rsid w:val="00871C75"/>
    <w:rsid w:val="008776DC"/>
    <w:rsid w:val="008A43CD"/>
    <w:rsid w:val="009446C0"/>
    <w:rsid w:val="009705C8"/>
    <w:rsid w:val="00970A9A"/>
    <w:rsid w:val="009C1CF4"/>
    <w:rsid w:val="009F6B74"/>
    <w:rsid w:val="00A3029F"/>
    <w:rsid w:val="00A30353"/>
    <w:rsid w:val="00AB5984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73294"/>
    <w:rsid w:val="00C97039"/>
    <w:rsid w:val="00D3439C"/>
    <w:rsid w:val="00DB1831"/>
    <w:rsid w:val="00DC6B97"/>
    <w:rsid w:val="00DD3BFD"/>
    <w:rsid w:val="00DF6678"/>
    <w:rsid w:val="00E0299A"/>
    <w:rsid w:val="00E85C74"/>
    <w:rsid w:val="00EA6547"/>
    <w:rsid w:val="00EE2F9D"/>
    <w:rsid w:val="00EF2E22"/>
    <w:rsid w:val="00F01A34"/>
    <w:rsid w:val="00F275E8"/>
    <w:rsid w:val="00F35BAF"/>
    <w:rsid w:val="00F660DF"/>
    <w:rsid w:val="00F94664"/>
    <w:rsid w:val="00F9573C"/>
    <w:rsid w:val="00F95C08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D5BA3E-B66F-4CE1-B7C1-9AC91EB2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70A9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ECE/TRANS/WP.15/AC.2/2019/13</vt:lpstr>
      <vt:lpstr>ECE/TRANS/WP.15/AC.2/2019/13</vt:lpstr>
    </vt:vector>
  </TitlesOfParts>
  <Company>DCM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ECE/TRANS/WP.15/AC.2/2019/13</dc:title>
  <dc:subject/>
  <dc:creator>Nathalie VITTOZ</dc:creator>
  <cp:keywords/>
  <cp:lastModifiedBy>Marie-Claude Collet</cp:lastModifiedBy>
  <cp:revision>2</cp:revision>
  <cp:lastPrinted>2018-11-29T13:43:00Z</cp:lastPrinted>
  <dcterms:created xsi:type="dcterms:W3CDTF">2018-12-03T08:10:00Z</dcterms:created>
  <dcterms:modified xsi:type="dcterms:W3CDTF">2018-12-03T08:10:00Z</dcterms:modified>
</cp:coreProperties>
</file>