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A8DC27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3266DC3" w14:textId="77777777" w:rsidR="002D5AAC" w:rsidRDefault="002D5AAC" w:rsidP="005213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44DCDC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DBE930" w14:textId="77777777" w:rsidR="002D5AAC" w:rsidRDefault="00521353" w:rsidP="00521353">
            <w:pPr>
              <w:jc w:val="right"/>
            </w:pPr>
            <w:r w:rsidRPr="00521353">
              <w:rPr>
                <w:sz w:val="40"/>
              </w:rPr>
              <w:t>ECE</w:t>
            </w:r>
            <w:r>
              <w:t>/TRANS/WP.15/AC.2/2019/24</w:t>
            </w:r>
          </w:p>
        </w:tc>
      </w:tr>
      <w:tr w:rsidR="002D5AAC" w:rsidRPr="00521353" w14:paraId="56A8C07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B6AE60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6A27E8" wp14:editId="2289B44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07E30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C9E4643" w14:textId="77777777" w:rsidR="002D5AAC" w:rsidRDefault="0052135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FA3866" w14:textId="77777777" w:rsidR="00521353" w:rsidRDefault="00521353" w:rsidP="005213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June 2019</w:t>
            </w:r>
          </w:p>
          <w:p w14:paraId="6052ACDF" w14:textId="77777777" w:rsidR="00521353" w:rsidRDefault="00521353" w:rsidP="005213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BEBEC0" w14:textId="77777777" w:rsidR="00521353" w:rsidRPr="008D53B6" w:rsidRDefault="00521353" w:rsidP="005213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2ED551A" w14:textId="77777777" w:rsidR="0052135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5E68A2F" w14:textId="77777777" w:rsidR="00521353" w:rsidRPr="00646685" w:rsidRDefault="00521353" w:rsidP="00521353">
      <w:pPr>
        <w:spacing w:before="120"/>
        <w:rPr>
          <w:sz w:val="28"/>
          <w:szCs w:val="28"/>
        </w:rPr>
      </w:pPr>
      <w:r w:rsidRPr="00EF57DF">
        <w:rPr>
          <w:sz w:val="28"/>
          <w:szCs w:val="28"/>
        </w:rPr>
        <w:t>Комитет по внутреннему транспорту</w:t>
      </w:r>
    </w:p>
    <w:p w14:paraId="784FE857" w14:textId="77777777" w:rsidR="00521353" w:rsidRPr="00EF57DF" w:rsidRDefault="00521353" w:rsidP="00521353">
      <w:pPr>
        <w:spacing w:before="120"/>
        <w:rPr>
          <w:b/>
          <w:sz w:val="24"/>
          <w:szCs w:val="24"/>
        </w:rPr>
      </w:pPr>
      <w:r w:rsidRPr="00EF57DF">
        <w:rPr>
          <w:b/>
          <w:bCs/>
          <w:sz w:val="24"/>
          <w:szCs w:val="24"/>
        </w:rPr>
        <w:t>Рабочая группа по перевозкам опасных грузов</w:t>
      </w:r>
    </w:p>
    <w:p w14:paraId="2C914572" w14:textId="77777777" w:rsidR="00521353" w:rsidRPr="00EF57DF" w:rsidRDefault="00521353" w:rsidP="00521353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5C21F95C" w14:textId="77777777" w:rsidR="00521353" w:rsidRPr="00EF57DF" w:rsidRDefault="00521353" w:rsidP="00521353">
      <w:pPr>
        <w:spacing w:before="120"/>
        <w:rPr>
          <w:b/>
        </w:rPr>
      </w:pPr>
      <w:r>
        <w:rPr>
          <w:b/>
          <w:bCs/>
        </w:rPr>
        <w:t>Тридцать пятая сессия</w:t>
      </w:r>
    </w:p>
    <w:p w14:paraId="1E681B2F" w14:textId="77777777" w:rsidR="00521353" w:rsidRPr="00EF57DF" w:rsidRDefault="00521353" w:rsidP="00521353">
      <w:r>
        <w:t>Женева, 26–30 августа 2019 года</w:t>
      </w:r>
    </w:p>
    <w:p w14:paraId="1AE7AEF8" w14:textId="77777777" w:rsidR="00521353" w:rsidRPr="00EF57DF" w:rsidRDefault="00521353" w:rsidP="00521353">
      <w:r>
        <w:t>Пункт 4 b) предварительной повестки дня</w:t>
      </w:r>
    </w:p>
    <w:p w14:paraId="45303237" w14:textId="77777777" w:rsidR="00521353" w:rsidRPr="00EF57DF" w:rsidRDefault="00521353" w:rsidP="00521353">
      <w:pPr>
        <w:rPr>
          <w:b/>
        </w:rPr>
      </w:pPr>
      <w:r>
        <w:rPr>
          <w:b/>
          <w:bCs/>
        </w:rPr>
        <w:t xml:space="preserve">Предложения о внесении поправок в Правила, </w:t>
      </w:r>
      <w:r>
        <w:rPr>
          <w:b/>
          <w:bCs/>
        </w:rPr>
        <w:br/>
        <w:t>прилагаемые к ВОПОГ:</w:t>
      </w:r>
      <w:r w:rsidRPr="00521353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14:paraId="650344D1" w14:textId="77777777" w:rsidR="00521353" w:rsidRPr="00EF57DF" w:rsidRDefault="00521353" w:rsidP="00521353">
      <w:pPr>
        <w:pStyle w:val="HChG"/>
      </w:pPr>
      <w:r>
        <w:tab/>
      </w:r>
      <w:r>
        <w:tab/>
      </w:r>
      <w:r>
        <w:rPr>
          <w:bCs/>
        </w:rPr>
        <w:t>Исправления несоответствий в образцах свидетельств о</w:t>
      </w:r>
      <w:r>
        <w:rPr>
          <w:bCs/>
          <w:lang w:val="en-US"/>
        </w:rPr>
        <w:t> </w:t>
      </w:r>
      <w:r>
        <w:rPr>
          <w:bCs/>
        </w:rPr>
        <w:t>допущении</w:t>
      </w:r>
    </w:p>
    <w:p w14:paraId="4973E1CA" w14:textId="77777777" w:rsidR="00521353" w:rsidRPr="00374BCF" w:rsidRDefault="00521353" w:rsidP="00521353">
      <w:pPr>
        <w:pStyle w:val="H1G"/>
        <w:keepNext w:val="0"/>
        <w:rPr>
          <w:rFonts w:ascii="(Utiliser une police de caractè" w:hAnsi="(Utiliser une police de caractè"/>
        </w:rPr>
      </w:pPr>
      <w:r>
        <w:tab/>
      </w:r>
      <w:r>
        <w:tab/>
      </w:r>
      <w:r>
        <w:rPr>
          <w:bCs/>
        </w:rPr>
        <w:t>Передано правительством Франции</w:t>
      </w:r>
      <w:r w:rsidRPr="00521353">
        <w:rPr>
          <w:b w:val="0"/>
          <w:sz w:val="18"/>
        </w:rPr>
        <w:footnoteReference w:customMarkFollows="1" w:id="1"/>
        <w:t xml:space="preserve">* </w:t>
      </w:r>
      <w:r w:rsidRPr="00521353">
        <w:rPr>
          <w:b w:val="0"/>
          <w:sz w:val="18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21353" w:rsidRPr="00521353" w14:paraId="76AC1CCF" w14:textId="77777777" w:rsidTr="00521353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7DA9D061" w14:textId="77777777" w:rsidR="00521353" w:rsidRPr="00521353" w:rsidRDefault="0052135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21353">
              <w:rPr>
                <w:rFonts w:cs="Times New Roman"/>
              </w:rPr>
              <w:tab/>
            </w:r>
            <w:r w:rsidRPr="0052135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21353" w:rsidRPr="00521353" w14:paraId="246C90C1" w14:textId="77777777" w:rsidTr="00521353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3DA2FE7" w14:textId="77777777" w:rsidR="00521353" w:rsidRPr="00521353" w:rsidRDefault="00521353" w:rsidP="00521353">
            <w:pPr>
              <w:pStyle w:val="SingleTxtG"/>
              <w:tabs>
                <w:tab w:val="left" w:pos="3574"/>
              </w:tabs>
              <w:ind w:left="3574" w:hanging="2440"/>
            </w:pPr>
            <w:r>
              <w:rPr>
                <w:b/>
                <w:bCs/>
              </w:rPr>
              <w:t>Существо предложения:</w:t>
            </w:r>
            <w:r>
              <w:rPr>
                <w:b/>
                <w:bCs/>
              </w:rPr>
              <w:tab/>
            </w:r>
            <w:r>
              <w:t>В настоящем документе перечислен ряд редакционных несоответствий в формулировках образцов свидетельств о допущении на английском и французском языках.</w:t>
            </w:r>
          </w:p>
        </w:tc>
      </w:tr>
      <w:tr w:rsidR="00521353" w:rsidRPr="00521353" w14:paraId="583DD072" w14:textId="77777777" w:rsidTr="00521353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3F9FBCD" w14:textId="77777777" w:rsidR="00521353" w:rsidRPr="00521353" w:rsidRDefault="00521353" w:rsidP="00521353">
            <w:pPr>
              <w:pStyle w:val="SingleTxtG"/>
              <w:tabs>
                <w:tab w:val="left" w:pos="3574"/>
              </w:tabs>
            </w:pPr>
            <w:r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>
              <w:t>См. пункты 2 и 3 и их подпункты.</w:t>
            </w:r>
          </w:p>
        </w:tc>
      </w:tr>
      <w:tr w:rsidR="00521353" w:rsidRPr="00521353" w14:paraId="044BD27A" w14:textId="77777777" w:rsidTr="00521353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567291AF" w14:textId="77777777" w:rsidR="00521353" w:rsidRPr="00521353" w:rsidRDefault="00521353" w:rsidP="00521353">
            <w:pPr>
              <w:pStyle w:val="SingleTxtG"/>
              <w:tabs>
                <w:tab w:val="left" w:pos="3574"/>
              </w:tabs>
            </w:pPr>
            <w:r>
              <w:rPr>
                <w:b/>
                <w:bCs/>
              </w:rPr>
              <w:t>Справочные документы</w:t>
            </w:r>
            <w:proofErr w:type="gramStart"/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>
              <w:t>Не</w:t>
            </w:r>
            <w:proofErr w:type="gramEnd"/>
            <w:r>
              <w:t xml:space="preserve"> имеется.</w:t>
            </w:r>
          </w:p>
        </w:tc>
      </w:tr>
      <w:tr w:rsidR="00521353" w:rsidRPr="00521353" w14:paraId="13BC91C1" w14:textId="77777777" w:rsidTr="00521353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6BD63503" w14:textId="77777777" w:rsidR="00521353" w:rsidRPr="00521353" w:rsidRDefault="00521353" w:rsidP="00850215">
            <w:pPr>
              <w:rPr>
                <w:rFonts w:cs="Times New Roman"/>
              </w:rPr>
            </w:pPr>
          </w:p>
        </w:tc>
      </w:tr>
    </w:tbl>
    <w:p w14:paraId="44304EB0" w14:textId="77777777" w:rsidR="00152C5B" w:rsidRDefault="00152C5B" w:rsidP="00521353">
      <w:pPr>
        <w:pStyle w:val="SingleTxtG"/>
      </w:pPr>
    </w:p>
    <w:p w14:paraId="0C478AE9" w14:textId="77777777" w:rsidR="00152C5B" w:rsidRDefault="00152C5B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2FA8BF5F" w14:textId="77777777" w:rsidR="00152C5B" w:rsidRPr="00FF1E43" w:rsidRDefault="00152C5B" w:rsidP="00152C5B">
      <w:pPr>
        <w:pStyle w:val="HChG"/>
      </w:pPr>
      <w:r>
        <w:lastRenderedPageBreak/>
        <w:tab/>
      </w:r>
      <w:r>
        <w:tab/>
      </w:r>
      <w:r>
        <w:rPr>
          <w:bCs/>
        </w:rPr>
        <w:t>Введение</w:t>
      </w:r>
    </w:p>
    <w:p w14:paraId="77C27839" w14:textId="77777777" w:rsidR="00152C5B" w:rsidRPr="00EF57DF" w:rsidRDefault="00152C5B" w:rsidP="00152C5B">
      <w:pPr>
        <w:pStyle w:val="SingleTxtG"/>
      </w:pPr>
      <w:proofErr w:type="gramStart"/>
      <w:r>
        <w:t>1.</w:t>
      </w:r>
      <w:r>
        <w:tab/>
        <w:t>В</w:t>
      </w:r>
      <w:proofErr w:type="gramEnd"/>
      <w:r>
        <w:t xml:space="preserve"> настоящем документе перечисляется ряд несоответствий, главным образом редакционного характера, в формулировках образцов свидетельств о допущении.</w:t>
      </w:r>
    </w:p>
    <w:p w14:paraId="7A8B254E" w14:textId="77777777" w:rsidR="00152C5B" w:rsidRPr="00EF57DF" w:rsidRDefault="00152C5B" w:rsidP="00152C5B">
      <w:pPr>
        <w:pStyle w:val="SingleTxtG"/>
      </w:pPr>
      <w:r>
        <w:t>2.</w:t>
      </w:r>
      <w:r>
        <w:tab/>
      </w:r>
      <w:r>
        <w:rPr>
          <w:b/>
          <w:bCs/>
          <w:u w:val="single"/>
        </w:rPr>
        <w:t>Подраздел 8.6.1.3</w:t>
      </w:r>
      <w:r>
        <w:t xml:space="preserve"> «Образец свидетельства о допущении танкеров»</w:t>
      </w:r>
    </w:p>
    <w:p w14:paraId="47231241" w14:textId="77777777" w:rsidR="00152C5B" w:rsidRPr="00EF57DF" w:rsidRDefault="00152C5B" w:rsidP="00152C5B">
      <w:pPr>
        <w:pStyle w:val="SingleTxtG"/>
      </w:pPr>
      <w:proofErr w:type="gramStart"/>
      <w:r>
        <w:t>2.1</w:t>
      </w:r>
      <w:r>
        <w:tab/>
        <w:t>В</w:t>
      </w:r>
      <w:proofErr w:type="gramEnd"/>
      <w:r>
        <w:t xml:space="preserve"> заголовке свидетельства заменить «</w:t>
      </w:r>
      <w:proofErr w:type="spellStart"/>
      <w:r>
        <w:t>bateaux-citerne</w:t>
      </w:r>
      <w:proofErr w:type="spellEnd"/>
      <w:r>
        <w:t>» (танкеры) на «</w:t>
      </w:r>
      <w:proofErr w:type="spellStart"/>
      <w:r>
        <w:t>bateaux-citernes</w:t>
      </w:r>
      <w:proofErr w:type="spellEnd"/>
      <w:r>
        <w:t>» (танкеры).</w:t>
      </w:r>
    </w:p>
    <w:p w14:paraId="27801744" w14:textId="77777777" w:rsidR="00152C5B" w:rsidRPr="00EF57DF" w:rsidRDefault="00152C5B" w:rsidP="00152C5B">
      <w:pPr>
        <w:pStyle w:val="SingleTxtG"/>
      </w:pPr>
      <w:r>
        <w:rPr>
          <w:i/>
          <w:iCs/>
        </w:rPr>
        <w:t>(Относится только к тексту на французском языке.)</w:t>
      </w:r>
    </w:p>
    <w:p w14:paraId="78094266" w14:textId="77777777" w:rsidR="00152C5B" w:rsidRPr="00EF57DF" w:rsidRDefault="00152C5B" w:rsidP="00152C5B">
      <w:pPr>
        <w:pStyle w:val="SingleTxtG"/>
      </w:pPr>
      <w:r>
        <w:t>2.2</w:t>
      </w:r>
      <w:r>
        <w:tab/>
        <w:t>Во французском варианте пункта 6.3, касающегося типов грузовых танков, заменить «</w:t>
      </w:r>
      <w:proofErr w:type="spellStart"/>
      <w:r>
        <w:t>Parois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citernes</w:t>
      </w:r>
      <w:proofErr w:type="spellEnd"/>
      <w:r>
        <w:t xml:space="preserve"> à </w:t>
      </w:r>
      <w:proofErr w:type="spellStart"/>
      <w:r>
        <w:t>cargaison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coque</w:t>
      </w:r>
      <w:proofErr w:type="spellEnd"/>
      <w:r>
        <w:t>» на «</w:t>
      </w:r>
      <w:proofErr w:type="spellStart"/>
      <w:r>
        <w:t>Citernes</w:t>
      </w:r>
      <w:proofErr w:type="spellEnd"/>
      <w:r>
        <w:t xml:space="preserve"> à </w:t>
      </w:r>
      <w:proofErr w:type="spellStart"/>
      <w:r>
        <w:t>cargaison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parois</w:t>
      </w:r>
      <w:proofErr w:type="spellEnd"/>
      <w:r>
        <w:t xml:space="preserve"> </w:t>
      </w:r>
      <w:proofErr w:type="spellStart"/>
      <w:r>
        <w:t>indépendantes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coque</w:t>
      </w:r>
      <w:proofErr w:type="spellEnd"/>
      <w:r>
        <w:t xml:space="preserve"> </w:t>
      </w:r>
      <w:proofErr w:type="spellStart"/>
      <w:r>
        <w:t>extérieure</w:t>
      </w:r>
      <w:proofErr w:type="spellEnd"/>
      <w:r>
        <w:t>» (Грузовые танки, стенки которых не являются частью внешнего корпуса).</w:t>
      </w:r>
    </w:p>
    <w:p w14:paraId="164533D3" w14:textId="77777777" w:rsidR="00152C5B" w:rsidRPr="00EF57DF" w:rsidRDefault="00152C5B" w:rsidP="00152C5B">
      <w:pPr>
        <w:pStyle w:val="SingleTxtG"/>
      </w:pPr>
      <w:r>
        <w:rPr>
          <w:i/>
          <w:iCs/>
        </w:rPr>
        <w:t>(Согласование с разделом 1.2.1 «Определения» и подразделом 3.2.3.1 «Пояснения к таблице C – Колонка 7».)</w:t>
      </w:r>
    </w:p>
    <w:p w14:paraId="77E1E75D" w14:textId="77777777" w:rsidR="00152C5B" w:rsidRPr="00EF57DF" w:rsidRDefault="00152C5B" w:rsidP="00152C5B">
      <w:pPr>
        <w:pStyle w:val="SingleTxtG"/>
      </w:pPr>
      <w:proofErr w:type="gramStart"/>
      <w:r>
        <w:t>2.3</w:t>
      </w:r>
      <w:r>
        <w:tab/>
        <w:t>В</w:t>
      </w:r>
      <w:proofErr w:type="gramEnd"/>
      <w:r>
        <w:t xml:space="preserve"> английском варианте пункта 6.3, касающегося типов грузовых танков, заменить «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tank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hull</w:t>
      </w:r>
      <w:proofErr w:type="spellEnd"/>
      <w:r>
        <w:t>» на «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tank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hull</w:t>
      </w:r>
      <w:proofErr w:type="spellEnd"/>
      <w:r>
        <w:t>» (Грузовой танк, стенки которого не являются частью внешнего корпуса).</w:t>
      </w:r>
    </w:p>
    <w:p w14:paraId="3075C017" w14:textId="77777777" w:rsidR="00152C5B" w:rsidRPr="00EF57DF" w:rsidRDefault="00152C5B" w:rsidP="00152C5B">
      <w:pPr>
        <w:pStyle w:val="SingleTxtG"/>
      </w:pPr>
      <w:r>
        <w:rPr>
          <w:i/>
          <w:iCs/>
        </w:rPr>
        <w:t>(Согласование с разделом 1.2.1 «Определения» и подразделом 3.2.3.1 «Пояснения к таблице C – Колонка 7».)</w:t>
      </w:r>
    </w:p>
    <w:p w14:paraId="3056FC03" w14:textId="77777777" w:rsidR="00152C5B" w:rsidRPr="00050BDB" w:rsidRDefault="00152C5B" w:rsidP="00152C5B">
      <w:pPr>
        <w:pStyle w:val="SingleTxtG"/>
      </w:pPr>
      <w:proofErr w:type="gramStart"/>
      <w:r>
        <w:t>2.4</w:t>
      </w:r>
      <w:r>
        <w:tab/>
        <w:t>В</w:t>
      </w:r>
      <w:proofErr w:type="gramEnd"/>
      <w:r>
        <w:t xml:space="preserve"> таблице, озаглавленной «Продление срока действия свидетельства о допущении» изменить нумерацию пунктов «20, 21 и 22» на «21, 22 и 23».</w:t>
      </w:r>
    </w:p>
    <w:p w14:paraId="140EC7C6" w14:textId="77777777" w:rsidR="00152C5B" w:rsidRPr="00EF57DF" w:rsidRDefault="00152C5B" w:rsidP="00152C5B">
      <w:pPr>
        <w:pStyle w:val="SingleTxtG"/>
      </w:pPr>
      <w:r>
        <w:rPr>
          <w:i/>
          <w:iCs/>
        </w:rPr>
        <w:t>(Относится только к тексту на французском языке.)</w:t>
      </w:r>
    </w:p>
    <w:p w14:paraId="1612B1C0" w14:textId="77777777" w:rsidR="00152C5B" w:rsidRPr="00EF57DF" w:rsidRDefault="00152C5B" w:rsidP="00152C5B">
      <w:pPr>
        <w:pStyle w:val="SingleTxtG"/>
      </w:pPr>
      <w:r>
        <w:t>3.</w:t>
      </w:r>
      <w:r>
        <w:tab/>
      </w:r>
      <w:r>
        <w:rPr>
          <w:b/>
          <w:bCs/>
          <w:u w:val="single"/>
        </w:rPr>
        <w:t>Подраздел 8.6.1.4</w:t>
      </w:r>
      <w:r>
        <w:t xml:space="preserve"> «Образец временного свидетельства о допущении танкеров»</w:t>
      </w:r>
    </w:p>
    <w:p w14:paraId="6639DCC7" w14:textId="77777777" w:rsidR="00152C5B" w:rsidRPr="00EF57DF" w:rsidRDefault="00152C5B" w:rsidP="00152C5B">
      <w:pPr>
        <w:pStyle w:val="SingleTxtG"/>
      </w:pPr>
      <w:proofErr w:type="gramStart"/>
      <w:r>
        <w:t>3.1</w:t>
      </w:r>
      <w:r>
        <w:tab/>
        <w:t>В</w:t>
      </w:r>
      <w:proofErr w:type="gramEnd"/>
      <w:r>
        <w:t xml:space="preserve"> заголовке свидетельства заменить «</w:t>
      </w:r>
      <w:proofErr w:type="spellStart"/>
      <w:r>
        <w:t>bateaux-citerne</w:t>
      </w:r>
      <w:proofErr w:type="spellEnd"/>
      <w:r>
        <w:t>» (танкеры) на «</w:t>
      </w:r>
      <w:proofErr w:type="spellStart"/>
      <w:r>
        <w:t>bateaux-citernes</w:t>
      </w:r>
      <w:proofErr w:type="spellEnd"/>
      <w:r>
        <w:t>» (танкеры).</w:t>
      </w:r>
    </w:p>
    <w:p w14:paraId="54D7A9D0" w14:textId="77777777" w:rsidR="00152C5B" w:rsidRPr="00EF57DF" w:rsidRDefault="00152C5B" w:rsidP="00152C5B">
      <w:pPr>
        <w:pStyle w:val="SingleTxtG"/>
      </w:pPr>
      <w:r>
        <w:rPr>
          <w:i/>
          <w:iCs/>
        </w:rPr>
        <w:t>(Согласование с подразделом 8.6.1.3.</w:t>
      </w:r>
      <w:r>
        <w:t xml:space="preserve"> </w:t>
      </w:r>
      <w:r>
        <w:rPr>
          <w:i/>
          <w:iCs/>
        </w:rPr>
        <w:t>Относится только к тексту на французском языке.)</w:t>
      </w:r>
    </w:p>
    <w:p w14:paraId="709A8380" w14:textId="77777777" w:rsidR="00152C5B" w:rsidRPr="00EF57DF" w:rsidRDefault="00152C5B" w:rsidP="00152C5B">
      <w:pPr>
        <w:pStyle w:val="SingleTxtG"/>
      </w:pPr>
      <w:r>
        <w:t>3.2</w:t>
      </w:r>
      <w:r>
        <w:tab/>
        <w:t>Во французском варианте пункта 6.3, касающегося типов грузовых танков, заменить «</w:t>
      </w:r>
      <w:proofErr w:type="spellStart"/>
      <w:r>
        <w:t>Parois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citernes</w:t>
      </w:r>
      <w:proofErr w:type="spellEnd"/>
      <w:r>
        <w:t xml:space="preserve"> à </w:t>
      </w:r>
      <w:proofErr w:type="spellStart"/>
      <w:r>
        <w:t>cargaison</w:t>
      </w:r>
      <w:proofErr w:type="spellEnd"/>
      <w:r>
        <w:t xml:space="preserve"> </w:t>
      </w:r>
      <w:proofErr w:type="spellStart"/>
      <w:r>
        <w:t>différentes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coque</w:t>
      </w:r>
      <w:proofErr w:type="spellEnd"/>
      <w:r>
        <w:t>» на «</w:t>
      </w:r>
      <w:proofErr w:type="spellStart"/>
      <w:r>
        <w:t>Citernes</w:t>
      </w:r>
      <w:proofErr w:type="spellEnd"/>
      <w:r>
        <w:t xml:space="preserve"> à </w:t>
      </w:r>
      <w:proofErr w:type="spellStart"/>
      <w:r>
        <w:t>cargaison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parois</w:t>
      </w:r>
      <w:proofErr w:type="spellEnd"/>
      <w:r>
        <w:t xml:space="preserve"> </w:t>
      </w:r>
      <w:proofErr w:type="spellStart"/>
      <w:r>
        <w:t>indépendantes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coque</w:t>
      </w:r>
      <w:proofErr w:type="spellEnd"/>
      <w:r>
        <w:t xml:space="preserve"> </w:t>
      </w:r>
      <w:proofErr w:type="spellStart"/>
      <w:r>
        <w:t>extérieure</w:t>
      </w:r>
      <w:proofErr w:type="spellEnd"/>
      <w:r>
        <w:t>» (Грузовые танки, стенки которых не являются частью внешнего корпуса).</w:t>
      </w:r>
    </w:p>
    <w:p w14:paraId="72B3B7C3" w14:textId="77777777" w:rsidR="00152C5B" w:rsidRPr="00EF57DF" w:rsidRDefault="00152C5B" w:rsidP="00152C5B">
      <w:pPr>
        <w:pStyle w:val="SingleTxtG"/>
      </w:pPr>
      <w:r>
        <w:rPr>
          <w:i/>
          <w:iCs/>
        </w:rPr>
        <w:t>(Согласование с разделом 1.2.1 «Определения» и подразделом 3.2.3.1 «Пояснения к</w:t>
      </w:r>
      <w:r>
        <w:rPr>
          <w:i/>
          <w:iCs/>
          <w:lang w:val="en-US"/>
        </w:rPr>
        <w:t> </w:t>
      </w:r>
      <w:r>
        <w:rPr>
          <w:i/>
          <w:iCs/>
        </w:rPr>
        <w:t>таблице C – Колонка 7».)</w:t>
      </w:r>
    </w:p>
    <w:p w14:paraId="739DB430" w14:textId="77777777" w:rsidR="00152C5B" w:rsidRPr="00EF57DF" w:rsidRDefault="00152C5B" w:rsidP="00152C5B">
      <w:pPr>
        <w:pStyle w:val="SingleTxtG"/>
      </w:pPr>
      <w:proofErr w:type="gramStart"/>
      <w:r>
        <w:t>3.3</w:t>
      </w:r>
      <w:r>
        <w:tab/>
        <w:t>В</w:t>
      </w:r>
      <w:proofErr w:type="gramEnd"/>
      <w:r>
        <w:t xml:space="preserve"> английском варианте пункта 6.3, касающегося типов грузовых танков, заменить «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tank</w:t>
      </w:r>
      <w:proofErr w:type="spellEnd"/>
      <w:r>
        <w:t xml:space="preserve">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hull</w:t>
      </w:r>
      <w:proofErr w:type="spellEnd"/>
      <w:r>
        <w:t>» на «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tank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distinct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</w:t>
      </w:r>
      <w:proofErr w:type="spellStart"/>
      <w:r>
        <w:t>hull</w:t>
      </w:r>
      <w:proofErr w:type="spellEnd"/>
      <w:r>
        <w:t>» (Грузовой танк, стенки которого не являются частью внешнего корпуса).</w:t>
      </w:r>
    </w:p>
    <w:p w14:paraId="04169B7D" w14:textId="77777777" w:rsidR="00152C5B" w:rsidRPr="00EF57DF" w:rsidRDefault="00152C5B" w:rsidP="00152C5B">
      <w:pPr>
        <w:pStyle w:val="SingleTxtG"/>
      </w:pPr>
      <w:r>
        <w:rPr>
          <w:i/>
          <w:iCs/>
        </w:rPr>
        <w:t>(Согласование с разделом 1.2.1 «Определения» и подразделом 3.2.3.1 «Пояснения к таблице C – Колонка 7».)</w:t>
      </w:r>
    </w:p>
    <w:p w14:paraId="7257BC3C" w14:textId="77777777" w:rsidR="00152C5B" w:rsidRPr="00EF57DF" w:rsidRDefault="00152C5B" w:rsidP="00152C5B">
      <w:pPr>
        <w:pStyle w:val="HChG"/>
      </w:pPr>
      <w:r>
        <w:tab/>
      </w:r>
      <w:r>
        <w:tab/>
      </w:r>
      <w:r>
        <w:rPr>
          <w:bCs/>
        </w:rPr>
        <w:t>Последующие действия</w:t>
      </w:r>
    </w:p>
    <w:p w14:paraId="2ADD41FC" w14:textId="77777777" w:rsidR="00152C5B" w:rsidRPr="00EF57DF" w:rsidRDefault="00152C5B" w:rsidP="00152C5B">
      <w:pPr>
        <w:pStyle w:val="SingleTxtG"/>
      </w:pPr>
      <w:r>
        <w:t>4.</w:t>
      </w:r>
      <w:r>
        <w:tab/>
        <w:t>Комитету предлагается рассмотреть предложения, содержащиеся в пунктах 2 и</w:t>
      </w:r>
      <w:r>
        <w:rPr>
          <w:lang w:val="en-US"/>
        </w:rPr>
        <w:t> </w:t>
      </w:r>
      <w:r>
        <w:t>3 выше и их подпунктах, и принять решения, которые он сочтет целесообразными.</w:t>
      </w:r>
    </w:p>
    <w:p w14:paraId="05392183" w14:textId="77777777" w:rsidR="00152C5B" w:rsidRPr="00EF57DF" w:rsidRDefault="00152C5B" w:rsidP="00152C5B">
      <w:pPr>
        <w:pStyle w:val="SingleTxtG"/>
      </w:pPr>
      <w:proofErr w:type="gramStart"/>
      <w:r>
        <w:t>5.</w:t>
      </w:r>
      <w:r>
        <w:tab/>
        <w:t>В частности</w:t>
      </w:r>
      <w:proofErr w:type="gramEnd"/>
      <w:r>
        <w:t>, секретариат просят подтвердить, что речь идет о редакционных исправлениях, а не поправках.</w:t>
      </w:r>
    </w:p>
    <w:p w14:paraId="7BC76492" w14:textId="77777777" w:rsidR="00E12C5F" w:rsidRPr="00152C5B" w:rsidRDefault="00152C5B" w:rsidP="00152C5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52C5B" w:rsidSect="00521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E155" w14:textId="77777777" w:rsidR="00077273" w:rsidRPr="00A312BC" w:rsidRDefault="00077273" w:rsidP="00A312BC"/>
  </w:endnote>
  <w:endnote w:type="continuationSeparator" w:id="0">
    <w:p w14:paraId="4DF340CC" w14:textId="77777777" w:rsidR="00077273" w:rsidRPr="00A312BC" w:rsidRDefault="000772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F113" w14:textId="77777777" w:rsidR="00521353" w:rsidRPr="00521353" w:rsidRDefault="00521353">
    <w:pPr>
      <w:pStyle w:val="Footer"/>
    </w:pPr>
    <w:r w:rsidRPr="00521353">
      <w:rPr>
        <w:b/>
        <w:sz w:val="18"/>
      </w:rPr>
      <w:fldChar w:fldCharType="begin"/>
    </w:r>
    <w:r w:rsidRPr="00521353">
      <w:rPr>
        <w:b/>
        <w:sz w:val="18"/>
      </w:rPr>
      <w:instrText xml:space="preserve"> PAGE  \* MERGEFORMAT </w:instrText>
    </w:r>
    <w:r w:rsidRPr="00521353">
      <w:rPr>
        <w:b/>
        <w:sz w:val="18"/>
      </w:rPr>
      <w:fldChar w:fldCharType="separate"/>
    </w:r>
    <w:r w:rsidRPr="00521353">
      <w:rPr>
        <w:b/>
        <w:noProof/>
        <w:sz w:val="18"/>
      </w:rPr>
      <w:t>2</w:t>
    </w:r>
    <w:r w:rsidRPr="00521353">
      <w:rPr>
        <w:b/>
        <w:sz w:val="18"/>
      </w:rPr>
      <w:fldChar w:fldCharType="end"/>
    </w:r>
    <w:r>
      <w:rPr>
        <w:b/>
        <w:sz w:val="18"/>
      </w:rPr>
      <w:tab/>
    </w:r>
    <w:r>
      <w:t>GE.19-09170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3905" w14:textId="77777777" w:rsidR="00521353" w:rsidRPr="00521353" w:rsidRDefault="00521353" w:rsidP="00521353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GE.19-09170</w:t>
    </w:r>
    <w:r>
      <w:tab/>
    </w:r>
    <w:r w:rsidRPr="00521353">
      <w:rPr>
        <w:b/>
        <w:sz w:val="18"/>
      </w:rPr>
      <w:fldChar w:fldCharType="begin"/>
    </w:r>
    <w:r w:rsidRPr="00521353">
      <w:rPr>
        <w:b/>
        <w:sz w:val="18"/>
      </w:rPr>
      <w:instrText xml:space="preserve"> PAGE  \* MERGEFORMAT </w:instrText>
    </w:r>
    <w:r w:rsidRPr="00521353">
      <w:rPr>
        <w:b/>
        <w:sz w:val="18"/>
      </w:rPr>
      <w:fldChar w:fldCharType="separate"/>
    </w:r>
    <w:r w:rsidRPr="00521353">
      <w:rPr>
        <w:b/>
        <w:noProof/>
        <w:sz w:val="18"/>
      </w:rPr>
      <w:t>3</w:t>
    </w:r>
    <w:r w:rsidRPr="005213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F23E" w14:textId="77777777" w:rsidR="00042B72" w:rsidRPr="00521353" w:rsidRDefault="00521353" w:rsidP="0052135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A10E290" wp14:editId="54D0A34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09170  (</w:t>
    </w:r>
    <w:proofErr w:type="gramEnd"/>
    <w:r>
      <w:t>R)</w:t>
    </w:r>
    <w:r>
      <w:rPr>
        <w:lang w:val="en-US"/>
      </w:rPr>
      <w:t xml:space="preserve">  070619  070619</w:t>
    </w:r>
    <w:r>
      <w:br/>
    </w:r>
    <w:r w:rsidRPr="00521353">
      <w:rPr>
        <w:rFonts w:ascii="C39T30Lfz" w:hAnsi="C39T30Lfz"/>
        <w:kern w:val="14"/>
        <w:sz w:val="56"/>
      </w:rPr>
      <w:t></w:t>
    </w:r>
    <w:r w:rsidRPr="00521353">
      <w:rPr>
        <w:rFonts w:ascii="C39T30Lfz" w:hAnsi="C39T30Lfz"/>
        <w:kern w:val="14"/>
        <w:sz w:val="56"/>
      </w:rPr>
      <w:t></w:t>
    </w:r>
    <w:r w:rsidRPr="00521353">
      <w:rPr>
        <w:rFonts w:ascii="C39T30Lfz" w:hAnsi="C39T30Lfz"/>
        <w:kern w:val="14"/>
        <w:sz w:val="56"/>
      </w:rPr>
      <w:t></w:t>
    </w:r>
    <w:r w:rsidRPr="00521353">
      <w:rPr>
        <w:rFonts w:ascii="C39T30Lfz" w:hAnsi="C39T30Lfz"/>
        <w:kern w:val="14"/>
        <w:sz w:val="56"/>
      </w:rPr>
      <w:t></w:t>
    </w:r>
    <w:r w:rsidRPr="00521353">
      <w:rPr>
        <w:rFonts w:ascii="C39T30Lfz" w:hAnsi="C39T30Lfz"/>
        <w:kern w:val="14"/>
        <w:sz w:val="56"/>
      </w:rPr>
      <w:t></w:t>
    </w:r>
    <w:r w:rsidRPr="00521353">
      <w:rPr>
        <w:rFonts w:ascii="C39T30Lfz" w:hAnsi="C39T30Lfz"/>
        <w:kern w:val="14"/>
        <w:sz w:val="56"/>
      </w:rPr>
      <w:t></w:t>
    </w:r>
    <w:r w:rsidRPr="00521353">
      <w:rPr>
        <w:rFonts w:ascii="C39T30Lfz" w:hAnsi="C39T30Lfz"/>
        <w:kern w:val="14"/>
        <w:sz w:val="56"/>
      </w:rPr>
      <w:t></w:t>
    </w:r>
    <w:r w:rsidRPr="00521353">
      <w:rPr>
        <w:rFonts w:ascii="C39T30Lfz" w:hAnsi="C39T30Lfz"/>
        <w:kern w:val="14"/>
        <w:sz w:val="56"/>
      </w:rPr>
      <w:t></w:t>
    </w:r>
    <w:r w:rsidRPr="0052135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17B0DB" wp14:editId="2BE89D0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2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FD96F" w14:textId="77777777" w:rsidR="00077273" w:rsidRPr="001075E9" w:rsidRDefault="000772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281D04" w14:textId="77777777" w:rsidR="00077273" w:rsidRDefault="000772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5DDA6E2" w14:textId="77777777" w:rsidR="00521353" w:rsidRPr="00EF57DF" w:rsidRDefault="00521353" w:rsidP="00521353">
      <w:pPr>
        <w:pStyle w:val="FootnoteText"/>
      </w:pPr>
      <w:r>
        <w:tab/>
        <w:t>*</w:t>
      </w:r>
      <w:r>
        <w:tab/>
        <w:t>Распространено на немецком языке Центральной комиссией судоходства по Рейну под</w:t>
      </w:r>
      <w:r>
        <w:rPr>
          <w:lang w:val="en-US"/>
        </w:rPr>
        <w:t> </w:t>
      </w:r>
      <w:r>
        <w:t>условным обозначением CCNR/ZKR/ADN/WP.15/AC.2/2019/24.</w:t>
      </w:r>
    </w:p>
  </w:footnote>
  <w:footnote w:id="2">
    <w:p w14:paraId="7357F78D" w14:textId="77777777" w:rsidR="00521353" w:rsidRPr="00EF57DF" w:rsidRDefault="00521353" w:rsidP="00521353">
      <w:pPr>
        <w:pStyle w:val="FootnoteText"/>
      </w:pPr>
      <w:r>
        <w:tab/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8AA7" w14:textId="462F9AF8" w:rsidR="00521353" w:rsidRPr="00521353" w:rsidRDefault="00C635B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BE8F8" w14:textId="0E5B6973" w:rsidR="00521353" w:rsidRPr="00521353" w:rsidRDefault="00C635B0" w:rsidP="0052135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ECE/TRANS/WP.15/AC.2/2019/24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F662" w14:textId="77777777" w:rsidR="00521353" w:rsidRDefault="00521353" w:rsidP="0052135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73"/>
    <w:rsid w:val="00033EE1"/>
    <w:rsid w:val="00042B72"/>
    <w:rsid w:val="000558BD"/>
    <w:rsid w:val="00077273"/>
    <w:rsid w:val="000B240E"/>
    <w:rsid w:val="000B57E7"/>
    <w:rsid w:val="000B6373"/>
    <w:rsid w:val="000E4E5B"/>
    <w:rsid w:val="000F09DF"/>
    <w:rsid w:val="000F61B2"/>
    <w:rsid w:val="001075E9"/>
    <w:rsid w:val="0014152F"/>
    <w:rsid w:val="00152C5B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1353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4379"/>
    <w:rsid w:val="00806737"/>
    <w:rsid w:val="00825F8D"/>
    <w:rsid w:val="00834B71"/>
    <w:rsid w:val="00854667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6499"/>
    <w:rsid w:val="00B36DF7"/>
    <w:rsid w:val="00B539E7"/>
    <w:rsid w:val="00B62458"/>
    <w:rsid w:val="00B939FC"/>
    <w:rsid w:val="00BC18B2"/>
    <w:rsid w:val="00BD33EE"/>
    <w:rsid w:val="00BE1CC7"/>
    <w:rsid w:val="00C106D6"/>
    <w:rsid w:val="00C119AE"/>
    <w:rsid w:val="00C60F0C"/>
    <w:rsid w:val="00C635B0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254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ABBF8"/>
  <w15:docId w15:val="{13D58991-89F6-41FE-A4D8-5BD7498B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locked/>
    <w:rsid w:val="00521353"/>
    <w:rPr>
      <w:b/>
      <w:sz w:val="24"/>
      <w:lang w:val="ru-RU" w:eastAsia="ru-RU"/>
    </w:rPr>
  </w:style>
  <w:style w:type="character" w:customStyle="1" w:styleId="HChGChar">
    <w:name w:val="_ H _Ch_G Char"/>
    <w:link w:val="HChG"/>
    <w:locked/>
    <w:rsid w:val="0052135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52135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ECE/TRANS/WP.15/AC.2/2019/24</vt:lpstr>
      <vt:lpstr>ECE/TRANS/WP.15/AC.2/2019/24</vt:lpstr>
      <vt:lpstr>A/</vt:lpstr>
    </vt:vector>
  </TitlesOfParts>
  <Company>DCM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ECE/TRANS/WP.15/AC.2/2019/24</dc:title>
  <dc:subject/>
  <dc:creator>Shuvalova NATALIA</dc:creator>
  <cp:keywords/>
  <cp:lastModifiedBy>Marie-Claude Collet</cp:lastModifiedBy>
  <cp:revision>3</cp:revision>
  <cp:lastPrinted>2019-06-21T05:43:00Z</cp:lastPrinted>
  <dcterms:created xsi:type="dcterms:W3CDTF">2019-06-21T05:43:00Z</dcterms:created>
  <dcterms:modified xsi:type="dcterms:W3CDTF">2019-06-21T05:44:00Z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