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E4BB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B45963" w14:textId="77777777" w:rsidR="002D5AAC" w:rsidRDefault="002D5AAC" w:rsidP="00AE6C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D60F5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187247" w14:textId="77777777" w:rsidR="002D5AAC" w:rsidRDefault="00AE6CED" w:rsidP="00AE6CED">
            <w:pPr>
              <w:jc w:val="right"/>
            </w:pPr>
            <w:r w:rsidRPr="00AE6CED">
              <w:rPr>
                <w:sz w:val="40"/>
              </w:rPr>
              <w:t>ECE</w:t>
            </w:r>
            <w:r>
              <w:t>/TRANS/WP.15/AC.2/2019/19</w:t>
            </w:r>
          </w:p>
        </w:tc>
      </w:tr>
      <w:tr w:rsidR="002D5AAC" w:rsidRPr="00E864A6" w14:paraId="72E29C4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EE703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26F440" wp14:editId="4E74DD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53BBE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5C8986" w14:textId="77777777" w:rsidR="002D5AAC" w:rsidRDefault="00AE6CE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14B624" w14:textId="77777777" w:rsidR="00AE6CED" w:rsidRDefault="00AE6CED" w:rsidP="00AE6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2019</w:t>
            </w:r>
          </w:p>
          <w:p w14:paraId="2F9C6277" w14:textId="77777777" w:rsidR="00AE6CED" w:rsidRDefault="00AE6CED" w:rsidP="00AE6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7A2B7A" w14:textId="77777777" w:rsidR="00AE6CED" w:rsidRPr="008D53B6" w:rsidRDefault="00AE6CED" w:rsidP="00AE6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A92D331" w14:textId="77777777" w:rsidR="00AE6CE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BCF902" w14:textId="77777777" w:rsidR="00AE6CED" w:rsidRPr="002D38C9" w:rsidRDefault="00AE6CED" w:rsidP="00AE6CED">
      <w:pPr>
        <w:spacing w:before="120"/>
        <w:rPr>
          <w:sz w:val="28"/>
          <w:szCs w:val="28"/>
        </w:rPr>
      </w:pPr>
      <w:r w:rsidRPr="00D57295">
        <w:rPr>
          <w:sz w:val="28"/>
          <w:szCs w:val="28"/>
        </w:rPr>
        <w:t>Комитет по внутреннему транспорту</w:t>
      </w:r>
    </w:p>
    <w:p w14:paraId="05A9A576" w14:textId="77777777" w:rsidR="00AE6CED" w:rsidRPr="00D57295" w:rsidRDefault="00AE6CED" w:rsidP="00AE6CED">
      <w:pPr>
        <w:spacing w:before="120"/>
        <w:rPr>
          <w:b/>
          <w:sz w:val="24"/>
          <w:szCs w:val="24"/>
        </w:rPr>
      </w:pPr>
      <w:r w:rsidRPr="00D57295">
        <w:rPr>
          <w:b/>
          <w:bCs/>
          <w:sz w:val="24"/>
          <w:szCs w:val="24"/>
        </w:rPr>
        <w:t>Рабочая группа по перевозкам опасных грузов</w:t>
      </w:r>
    </w:p>
    <w:p w14:paraId="583D4A5A" w14:textId="77777777" w:rsidR="00AE6CED" w:rsidRPr="00D57295" w:rsidRDefault="00AE6CED" w:rsidP="00AE6CE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425A3829" w14:textId="77777777" w:rsidR="00AE6CED" w:rsidRPr="00D57295" w:rsidRDefault="00AE6CED" w:rsidP="00AE6CED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1A295217" w14:textId="77777777" w:rsidR="00AE6CED" w:rsidRPr="00D57295" w:rsidRDefault="00AE6CED" w:rsidP="00AE6CED">
      <w:r>
        <w:t>Женева, 26–30 августа 2019 года</w:t>
      </w:r>
    </w:p>
    <w:p w14:paraId="3E3F03FD" w14:textId="77777777" w:rsidR="00AE6CED" w:rsidRPr="00D57295" w:rsidRDefault="00AE6CED" w:rsidP="00AE6CED">
      <w:r>
        <w:t>Пункт 4 b) предварительной повестки дня</w:t>
      </w:r>
    </w:p>
    <w:p w14:paraId="1288CD44" w14:textId="77777777" w:rsidR="00AE6CED" w:rsidRPr="00D57295" w:rsidRDefault="00AE6CED" w:rsidP="00AE6CED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 другие предложения</w:t>
      </w:r>
    </w:p>
    <w:p w14:paraId="253760B4" w14:textId="77777777" w:rsidR="00AE6CED" w:rsidRPr="00D57295" w:rsidRDefault="00AE6CED" w:rsidP="00AE6CED">
      <w:pPr>
        <w:pStyle w:val="HChG"/>
      </w:pPr>
      <w:r>
        <w:rPr>
          <w:bCs/>
        </w:rPr>
        <w:tab/>
      </w:r>
      <w:r>
        <w:rPr>
          <w:bCs/>
        </w:rPr>
        <w:tab/>
        <w:t>Подраздел 1.1.3.6</w:t>
      </w:r>
      <w:r>
        <w:t xml:space="preserve"> </w:t>
      </w:r>
      <w:r>
        <w:rPr>
          <w:bCs/>
        </w:rPr>
        <w:t>и пункт 1.10.4 ВОПОГ – Изъятия, связанные с перевозкой опасных грузов класса 7</w:t>
      </w:r>
      <w:r>
        <w:t xml:space="preserve"> </w:t>
      </w:r>
    </w:p>
    <w:p w14:paraId="5885994E" w14:textId="77777777" w:rsidR="00AE6CED" w:rsidRPr="00D57295" w:rsidRDefault="00AE6CED" w:rsidP="00AE6CED">
      <w:pPr>
        <w:pStyle w:val="H1G"/>
        <w:rPr>
          <w:b w:val="0"/>
          <w:bCs/>
        </w:rPr>
      </w:pPr>
      <w:r>
        <w:tab/>
      </w:r>
      <w:r>
        <w:tab/>
      </w:r>
      <w:r>
        <w:rPr>
          <w:bCs/>
        </w:rPr>
        <w:t>Передано правительствами Франции и Германии</w:t>
      </w:r>
      <w:r w:rsidRPr="00AE6CE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D57295">
        <w:rPr>
          <w:b w:val="0"/>
          <w:bCs/>
          <w:sz w:val="20"/>
          <w:vertAlign w:val="superscript"/>
        </w:rPr>
        <w:t>,</w:t>
      </w:r>
      <w:r>
        <w:t xml:space="preserve"> </w:t>
      </w:r>
      <w:r w:rsidRPr="00AE6CED">
        <w:rPr>
          <w:rStyle w:val="FootnoteReference"/>
          <w:b w:val="0"/>
          <w:bCs/>
          <w:sz w:val="20"/>
          <w:vertAlign w:val="baseline"/>
        </w:rPr>
        <w:t>**</w:t>
      </w:r>
    </w:p>
    <w:p w14:paraId="18571CDB" w14:textId="77777777" w:rsidR="00AE6CED" w:rsidRPr="00D57295" w:rsidRDefault="00AE6CED" w:rsidP="00AE6CED">
      <w:pPr>
        <w:pStyle w:val="SingleTxtG"/>
      </w:pPr>
      <w:r>
        <w:rPr>
          <w:b/>
          <w:bCs/>
        </w:rPr>
        <w:t>Справочные документы:</w:t>
      </w:r>
    </w:p>
    <w:p w14:paraId="60FAB707" w14:textId="77777777" w:rsidR="00AE6CED" w:rsidRPr="00D57295" w:rsidRDefault="00AE6CED" w:rsidP="00AE6CED">
      <w:pPr>
        <w:pStyle w:val="SingleTxtG"/>
      </w:pPr>
      <w:r>
        <w:t>Неофициальный документ INF.19 (Франция), представленный на тридцать четвертой сессии; ECE/TRANS/WP.15/AC.2/70, пункт 18</w:t>
      </w:r>
    </w:p>
    <w:p w14:paraId="0D4C6D99" w14:textId="77777777" w:rsidR="00AE6CED" w:rsidRPr="00D57295" w:rsidRDefault="00AE6CED" w:rsidP="00AE6CED">
      <w:pPr>
        <w:pStyle w:val="SingleTxtG"/>
      </w:pPr>
      <w:r>
        <w:t>«18.</w:t>
      </w:r>
      <w:r>
        <w:tab/>
        <w:t xml:space="preserve">Комитет по вопросам безопасности согласился с тем, что положения ВОПОГ относительно подготовки в области безопасности, применимые к освобожденным упаковкам под № ООН 2908 и 2909, а также к освобожденным упаковкам под </w:t>
      </w:r>
      <w:r w:rsidR="00E864A6">
        <w:br/>
      </w:r>
      <w:r>
        <w:t>№ ООН 2910 и 2911, уровень активности которых не превышает значения А</w:t>
      </w:r>
      <w:r>
        <w:rPr>
          <w:vertAlign w:val="subscript"/>
        </w:rPr>
        <w:t>2</w:t>
      </w:r>
      <w:r>
        <w:t>, должны быть согласованы с применимыми положениями правил других видов транспорта. Представитель Германии также указал на противоречие между положениями подраздела 1.1.3.6 и пункта 1.10.4 ВОПОГ, касающимися освобожденных количеств, перевозимых на борту судов. Представители Франции и Германии выразили готовность представить предложение по этим вопросам для следующей сессии.»</w:t>
      </w:r>
    </w:p>
    <w:p w14:paraId="48154931" w14:textId="77777777" w:rsidR="00AE6CED" w:rsidRPr="00D57295" w:rsidRDefault="00AE6CED" w:rsidP="00AE6CED">
      <w:pPr>
        <w:pStyle w:val="HChG"/>
        <w:tabs>
          <w:tab w:val="clear" w:pos="851"/>
        </w:tabs>
        <w:ind w:firstLine="0"/>
      </w:pPr>
      <w:r>
        <w:rPr>
          <w:bCs/>
        </w:rPr>
        <w:lastRenderedPageBreak/>
        <w:t>Введение</w:t>
      </w:r>
    </w:p>
    <w:p w14:paraId="73A5C8FF" w14:textId="77777777" w:rsidR="00AE6CED" w:rsidRPr="00D57295" w:rsidRDefault="00AE6CED" w:rsidP="00AE6CED">
      <w:pPr>
        <w:pStyle w:val="SingleTxt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</w:pPr>
      <w:r>
        <w:t xml:space="preserve">В ходе тридцать третьей сессии делегация Франции в своем неофициальном документе INF.19 информировала Комитет по вопросам безопасности о том, что положения по </w:t>
      </w:r>
      <w:r>
        <w:rPr>
          <w:b/>
          <w:bCs/>
        </w:rPr>
        <w:t>обучению мерам безопасности</w:t>
      </w:r>
      <w:r>
        <w:t xml:space="preserve"> </w:t>
      </w:r>
      <w:r>
        <w:rPr>
          <w:b/>
          <w:bCs/>
        </w:rPr>
        <w:t>(раздел 1.10.2 ВОПОГ)</w:t>
      </w:r>
      <w:r>
        <w:t xml:space="preserve"> в случае освобожденных упаковок, отнесенных к: </w:t>
      </w:r>
    </w:p>
    <w:p w14:paraId="3A1CC391" w14:textId="77777777" w:rsidR="00AE6CED" w:rsidRPr="00D57295" w:rsidRDefault="00AE6CED" w:rsidP="00AE6CE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 xml:space="preserve">№ ООН </w:t>
      </w:r>
      <w:r>
        <w:rPr>
          <w:b/>
          <w:bCs/>
        </w:rPr>
        <w:t>2908</w:t>
      </w:r>
      <w:r>
        <w:t xml:space="preserve"> РАДИОАКТИВНЫЙ МАТЕРИАЛ, ОСВОБОЖДЕННАЯ УПАКОВКА − ПОРОЖНИЙ УПАКОВОЧНЫЙ КОМПЛЕКТ;</w:t>
      </w:r>
    </w:p>
    <w:p w14:paraId="7C875EEC" w14:textId="77777777" w:rsidR="00AE6CED" w:rsidRPr="00D57295" w:rsidRDefault="00AE6CED" w:rsidP="00AE6CE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 xml:space="preserve">№ ООН </w:t>
      </w:r>
      <w:r>
        <w:rPr>
          <w:b/>
          <w:bCs/>
        </w:rPr>
        <w:t>2908</w:t>
      </w:r>
      <w:r>
        <w:t xml:space="preserve"> РАДИОАКТИВНЫЙ МАТЕРИАЛ, ОСВОБОЖДЕННАЯ УПАКОВКА − ПОРОЖНИЙ УПАКОВОЧНЫЙ КОМПЛЕКТ;</w:t>
      </w:r>
    </w:p>
    <w:p w14:paraId="70518E59" w14:textId="77777777" w:rsidR="00AE6CED" w:rsidRPr="00D57295" w:rsidRDefault="00AE6CED" w:rsidP="00AE6CE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 xml:space="preserve">№ ООН </w:t>
      </w:r>
      <w:r>
        <w:rPr>
          <w:b/>
          <w:bCs/>
        </w:rPr>
        <w:t>2909</w:t>
      </w:r>
      <w:r>
        <w:t xml:space="preserve"> РАДИОАКТИВНЫЙ МАТЕРИАЛ, ОСВОБОЖДЕННАЯ УПАКОВКА − ИЗДЕЛИЯ, ИЗГОТОВЛЕННЫЕ ИЗ ПРИРОДНОГО УРАНА, или ОБЕДНЕННОГО УРАНА, или ПРИРОДНОГО ТОРИЯ;</w:t>
      </w:r>
    </w:p>
    <w:p w14:paraId="03CEEE09" w14:textId="77777777" w:rsidR="00AE6CED" w:rsidRPr="00D57295" w:rsidRDefault="00AE6CED" w:rsidP="00AE6CE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 xml:space="preserve">№ ООН </w:t>
      </w:r>
      <w:r>
        <w:rPr>
          <w:b/>
          <w:bCs/>
        </w:rPr>
        <w:t>2910</w:t>
      </w:r>
      <w:r>
        <w:t xml:space="preserve"> РАДИОАКТИВНЫЙ МАТЕРИАЛ, ОСВОБОЖДЕННАЯ УПАКОВКА – ОГРАНИЧЕННОЕ КОЛИЧЕСТВО МАТЕРИАЛА при уровне активности, не превышающем значение А</w:t>
      </w:r>
      <w:r>
        <w:rPr>
          <w:vertAlign w:val="subscript"/>
        </w:rPr>
        <w:t>2</w:t>
      </w:r>
      <w:r>
        <w:t>;</w:t>
      </w:r>
    </w:p>
    <w:p w14:paraId="348E92EE" w14:textId="77777777" w:rsidR="00AE6CED" w:rsidRPr="00D57295" w:rsidRDefault="00AE6CED" w:rsidP="00AE6CED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№ ООН 2911 РАДИОАКТИВНЫЙ МАТЕРИАЛ, ОСВОБОЖДЕННАЯ УПАКОВКА – ИЗДЕЛИЯ или РАДИОАКТИВНЫЙ МАТЕРИАЛ, ОСВОБОЖДЕННАЯ УПАКОВКА – ПРИБОРЫ</w:t>
      </w:r>
      <w:r w:rsidRPr="00872CE3">
        <w:t xml:space="preserve"> </w:t>
      </w:r>
      <w:r>
        <w:t>при уровне активности, не превышающем значение A</w:t>
      </w:r>
      <w:r>
        <w:rPr>
          <w:vertAlign w:val="subscript"/>
        </w:rPr>
        <w:t>2</w:t>
      </w:r>
      <w:r>
        <w:t>,</w:t>
      </w:r>
    </w:p>
    <w:p w14:paraId="5CA78F1F" w14:textId="77777777" w:rsidR="00AE6CED" w:rsidRPr="00D57295" w:rsidRDefault="00AE6CED" w:rsidP="00AE6CED">
      <w:pPr>
        <w:pStyle w:val="Bullet1G"/>
        <w:numPr>
          <w:ilvl w:val="0"/>
          <w:numId w:val="0"/>
        </w:numPr>
        <w:ind w:left="1701"/>
      </w:pPr>
      <w:r>
        <w:t xml:space="preserve">(все они принадлежат к классу 7) </w:t>
      </w:r>
    </w:p>
    <w:p w14:paraId="232A9039" w14:textId="77777777" w:rsidR="00AE6CED" w:rsidRPr="00D57295" w:rsidRDefault="00AE6CED" w:rsidP="00AE6CED">
      <w:pPr>
        <w:pStyle w:val="SingleTxtG"/>
      </w:pPr>
      <w:r>
        <w:rPr>
          <w:b/>
          <w:bCs/>
        </w:rPr>
        <w:t>не</w:t>
      </w:r>
      <w:r>
        <w:t xml:space="preserve"> должны быть применимы</w:t>
      </w:r>
      <w:r w:rsidRPr="003C6ABB">
        <w:t xml:space="preserve"> </w:t>
      </w:r>
      <w:r>
        <w:t>также в рамках ВОПОГ, как и в рамках Типовых правил, ДОПОГ, МПОГ и МКМПОГ.</w:t>
      </w:r>
    </w:p>
    <w:p w14:paraId="32EBAD21" w14:textId="77777777" w:rsidR="00AE6CED" w:rsidRPr="00D57295" w:rsidRDefault="00AE6CED" w:rsidP="00AE6CED">
      <w:pPr>
        <w:pStyle w:val="SingleTxtG"/>
      </w:pPr>
      <w:r>
        <w:t>2.</w:t>
      </w:r>
      <w:r>
        <w:tab/>
        <w:t>Согласно ВОПОГ (пункт 1.10.4), положения, касающиеся обеспечения безопасности, включая обучение в соответствии с разделом 1.10.2 ВОПОГ, применяются ко всем радиоактивным материалам класса 7, т.</w:t>
      </w:r>
      <w:r w:rsidR="00E864A6">
        <w:rPr>
          <w:lang w:val="en-US"/>
        </w:rPr>
        <w:t> </w:t>
      </w:r>
      <w:r>
        <w:t xml:space="preserve">е. как к упаковкам под </w:t>
      </w:r>
      <w:r>
        <w:rPr>
          <w:u w:val="single"/>
        </w:rPr>
        <w:t>№ ООН 2908 и 2909</w:t>
      </w:r>
      <w:r>
        <w:t xml:space="preserve">, так и к упаковкам под </w:t>
      </w:r>
      <w:r>
        <w:rPr>
          <w:u w:val="single"/>
        </w:rPr>
        <w:t>№ ООН 2910 и 2011</w:t>
      </w:r>
      <w:r>
        <w:t>. Данное положение применяется также в тех случаях, когда перевозка подпадает под изъятие в соответствии с подразделом 1.1.3.6 ВОПОГ.</w:t>
      </w:r>
    </w:p>
    <w:p w14:paraId="165D9D56" w14:textId="77777777" w:rsidR="00AE6CED" w:rsidRPr="00D57295" w:rsidRDefault="00AE6CED" w:rsidP="00AE6CED">
      <w:pPr>
        <w:pStyle w:val="SingleTxtG"/>
      </w:pPr>
      <w:r>
        <w:t>3.</w:t>
      </w:r>
      <w:r>
        <w:tab/>
        <w:t>В соответствии с принятым вариантом пункта 1.1.3.6.1 ВОПОГ, который вступит в силу 1 января 2021 года, в отношении класса 7 применяется следующее исключение:</w:t>
      </w:r>
    </w:p>
    <w:p w14:paraId="2069B79F" w14:textId="77777777" w:rsidR="00AE6CED" w:rsidRPr="00D57295" w:rsidRDefault="00AE6CED" w:rsidP="00E864A6">
      <w:pPr>
        <w:pStyle w:val="SingleTxtG"/>
        <w:tabs>
          <w:tab w:val="left" w:pos="1701"/>
        </w:tabs>
        <w:spacing w:after="240"/>
        <w:ind w:left="1701" w:hanging="567"/>
        <w:rPr>
          <w:iCs/>
        </w:rPr>
      </w:pPr>
      <w:r>
        <w:tab/>
        <w:t>«...если масса брутто всех перевозимых опасных грузов не превышает 3 000 кг, а для отдельных классов не превышает количеств, указанных в нижеприведенной таблице:»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3"/>
        <w:gridCol w:w="2837"/>
        <w:gridCol w:w="1351"/>
        <w:gridCol w:w="846"/>
        <w:gridCol w:w="691"/>
        <w:gridCol w:w="129"/>
        <w:gridCol w:w="766"/>
        <w:gridCol w:w="55"/>
        <w:gridCol w:w="62"/>
      </w:tblGrid>
      <w:tr w:rsidR="00AE6CED" w:rsidRPr="00AE6CED" w14:paraId="6B3F1AB3" w14:textId="77777777" w:rsidTr="00AE6CED">
        <w:trPr>
          <w:tblHeader/>
        </w:trPr>
        <w:tc>
          <w:tcPr>
            <w:tcW w:w="6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B61E44" w14:textId="77777777" w:rsidR="00AE6CED" w:rsidRPr="00AE6CED" w:rsidRDefault="00AE6CED" w:rsidP="00AE6CED">
            <w:pPr>
              <w:suppressAutoHyphens w:val="0"/>
              <w:spacing w:before="80" w:after="80" w:line="200" w:lineRule="exact"/>
              <w:rPr>
                <w:rFonts w:eastAsia="Calibri" w:cs="Times New Roman"/>
                <w:i/>
                <w:sz w:val="16"/>
                <w:szCs w:val="18"/>
                <w:lang w:val="de-DE"/>
              </w:rPr>
            </w:pPr>
            <w:r w:rsidRPr="00AE6CED">
              <w:rPr>
                <w:rFonts w:cs="Times New Roman"/>
                <w:i/>
                <w:sz w:val="16"/>
              </w:rPr>
              <w:t>Класс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B3BF76" w14:textId="77777777" w:rsidR="00AE6CED" w:rsidRPr="00AE6CED" w:rsidRDefault="00AE6CED" w:rsidP="00AE6CED">
            <w:pPr>
              <w:suppressAutoHyphens w:val="0"/>
              <w:spacing w:before="80" w:after="80" w:line="200" w:lineRule="exact"/>
              <w:jc w:val="right"/>
              <w:rPr>
                <w:rFonts w:eastAsia="Calibri" w:cs="Times New Roman"/>
                <w:i/>
                <w:sz w:val="16"/>
                <w:szCs w:val="18"/>
              </w:rPr>
            </w:pPr>
            <w:r w:rsidRPr="00AE6CED">
              <w:rPr>
                <w:rFonts w:cs="Times New Roman"/>
                <w:i/>
                <w:sz w:val="16"/>
              </w:rPr>
              <w:t xml:space="preserve">Вещества или изделия в упаковках </w:t>
            </w:r>
          </w:p>
        </w:tc>
        <w:tc>
          <w:tcPr>
            <w:tcW w:w="389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C50AE0" w14:textId="77777777" w:rsidR="00AE6CED" w:rsidRPr="00AE6CED" w:rsidRDefault="00AE6CED" w:rsidP="00AE6CED">
            <w:pPr>
              <w:suppressAutoHyphens w:val="0"/>
              <w:spacing w:before="80" w:after="80" w:line="200" w:lineRule="exact"/>
              <w:jc w:val="right"/>
              <w:rPr>
                <w:rFonts w:eastAsia="Calibri" w:cs="Times New Roman"/>
                <w:i/>
                <w:sz w:val="16"/>
                <w:szCs w:val="18"/>
              </w:rPr>
            </w:pPr>
            <w:r w:rsidRPr="00AE6CED">
              <w:rPr>
                <w:rFonts w:cs="Times New Roman"/>
                <w:i/>
                <w:sz w:val="16"/>
              </w:rPr>
              <w:t>Освобожденные количества, кг</w:t>
            </w:r>
          </w:p>
        </w:tc>
      </w:tr>
      <w:tr w:rsidR="00AE6CED" w:rsidRPr="00AE6CED" w14:paraId="2C75DD2D" w14:textId="77777777" w:rsidTr="00AE6CED"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</w:tcPr>
          <w:p w14:paraId="6EF0315F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FA2FC88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 w:rsidRPr="00AE6CED">
              <w:rPr>
                <w:rFonts w:cs="Times New Roman"/>
                <w:sz w:val="18"/>
              </w:rPr>
              <w:t xml:space="preserve">Материалы и изделия класса 7, отнесенные к </w:t>
            </w:r>
            <w:r>
              <w:rPr>
                <w:rFonts w:cs="Times New Roman"/>
                <w:sz w:val="18"/>
              </w:rPr>
              <w:br/>
            </w:r>
            <w:r w:rsidRPr="00AE6CED">
              <w:rPr>
                <w:rFonts w:cs="Times New Roman"/>
                <w:sz w:val="18"/>
              </w:rPr>
              <w:t>№ ООН 2908, 2909, 2910 и 2911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ABE99FC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AE6CED">
              <w:rPr>
                <w:rFonts w:cs="Times New Roman"/>
                <w:sz w:val="18"/>
              </w:rPr>
              <w:t>3 000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265BAB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8"/>
                <w:lang w:val="de-DE"/>
              </w:rPr>
            </w:pPr>
          </w:p>
        </w:tc>
        <w:tc>
          <w:tcPr>
            <w:tcW w:w="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397AA87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8"/>
                <w:lang w:val="de-DE"/>
              </w:rPr>
            </w:pPr>
          </w:p>
        </w:tc>
      </w:tr>
      <w:tr w:rsidR="00AE6CED" w:rsidRPr="00AE6CED" w14:paraId="416BD05F" w14:textId="77777777" w:rsidTr="00AE6CED">
        <w:tc>
          <w:tcPr>
            <w:tcW w:w="482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0B2E2E9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ab/>
            </w:r>
            <w:r w:rsidRPr="00AE6CED">
              <w:rPr>
                <w:rFonts w:cs="Times New Roman"/>
                <w:sz w:val="18"/>
              </w:rPr>
              <w:t>Любые другие материалы и изделия класса 7</w:t>
            </w:r>
          </w:p>
        </w:tc>
        <w:tc>
          <w:tcPr>
            <w:tcW w:w="153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B7DD23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AB4F0D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045635" w14:textId="77777777" w:rsidR="00AE6CED" w:rsidRPr="00AE6CED" w:rsidRDefault="00AE6CED" w:rsidP="00AE6CED">
            <w:pPr>
              <w:suppressAutoHyphens w:val="0"/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AE6CED">
              <w:rPr>
                <w:rFonts w:cs="Times New Roman"/>
                <w:b/>
                <w:bCs/>
                <w:sz w:val="18"/>
              </w:rPr>
              <w:t>0</w:t>
            </w:r>
          </w:p>
        </w:tc>
      </w:tr>
    </w:tbl>
    <w:p w14:paraId="6025B14A" w14:textId="77777777" w:rsidR="00AE6CED" w:rsidRPr="00D57295" w:rsidRDefault="00AE6CED" w:rsidP="00AE6CED">
      <w:pPr>
        <w:pStyle w:val="SingleTxtG"/>
        <w:spacing w:before="240"/>
      </w:pPr>
      <w:r>
        <w:t>4.</w:t>
      </w:r>
      <w:r>
        <w:tab/>
        <w:t xml:space="preserve">В пункте 1.1.3.6.2 ВОПОГ, который остается неизменным и содержит </w:t>
      </w:r>
      <w:r>
        <w:rPr>
          <w:b/>
          <w:bCs/>
        </w:rPr>
        <w:t>положения ВОПОГ, которые по-прежнему применимы</w:t>
      </w:r>
      <w:r>
        <w:t xml:space="preserve"> при использовании изъятий, связанных с перевозимыми количествами, </w:t>
      </w:r>
      <w:r>
        <w:rPr>
          <w:b/>
          <w:bCs/>
        </w:rPr>
        <w:t>не содержится</w:t>
      </w:r>
      <w:r>
        <w:t xml:space="preserve"> никакой ссылки на главу 1.10, касающуюся безопасности. Это означает, что в случае непревышения освобожденного количества в 3 000 кг на одно судно для упаковок, </w:t>
      </w:r>
      <w:r>
        <w:rPr>
          <w:u w:val="single"/>
        </w:rPr>
        <w:t>отнесенных к №</w:t>
      </w:r>
      <w:r>
        <w:rPr>
          <w:u w:val="single"/>
          <w:lang w:val="en-US"/>
        </w:rPr>
        <w:t> </w:t>
      </w:r>
      <w:r>
        <w:rPr>
          <w:u w:val="single"/>
        </w:rPr>
        <w:t>ООН 2908 и 2909</w:t>
      </w:r>
      <w:r>
        <w:t xml:space="preserve">, а также к № ООН </w:t>
      </w:r>
      <w:r>
        <w:rPr>
          <w:u w:val="single"/>
        </w:rPr>
        <w:t>2910 и 2911</w:t>
      </w:r>
      <w:r>
        <w:t xml:space="preserve">, положения, касающиеся обеспечения безопасности (глава 1.10), включая обучение, </w:t>
      </w:r>
      <w:r>
        <w:rPr>
          <w:b/>
          <w:bCs/>
        </w:rPr>
        <w:t>не</w:t>
      </w:r>
      <w:r>
        <w:t xml:space="preserve"> применимы.</w:t>
      </w:r>
    </w:p>
    <w:p w14:paraId="210F5759" w14:textId="77777777" w:rsidR="00AE6CED" w:rsidRPr="00D57295" w:rsidRDefault="00AE6CED" w:rsidP="00AE6CED">
      <w:pPr>
        <w:pStyle w:val="SingleTxtG"/>
        <w:rPr>
          <w:rFonts w:eastAsia="Arial Unicode MS"/>
          <w:bdr w:val="nil"/>
        </w:rPr>
      </w:pPr>
      <w:r>
        <w:t>5.</w:t>
      </w:r>
      <w:r>
        <w:tab/>
        <w:t xml:space="preserve">Что касается применимости положений по безопасности, то </w:t>
      </w:r>
      <w:r>
        <w:rPr>
          <w:b/>
          <w:bCs/>
        </w:rPr>
        <w:t>указания</w:t>
      </w:r>
      <w:r>
        <w:t xml:space="preserve">, содержащиеся в подразделе 1.1.3.6 ВОПОГ, с одной стороны, и в пункте 1.10.4, с другой стороны, </w:t>
      </w:r>
      <w:r>
        <w:rPr>
          <w:b/>
          <w:bCs/>
        </w:rPr>
        <w:t>противоречат друг другу</w:t>
      </w:r>
      <w:r>
        <w:t>.</w:t>
      </w:r>
    </w:p>
    <w:p w14:paraId="6496C7A6" w14:textId="77777777" w:rsidR="00AE6CED" w:rsidRPr="00D57295" w:rsidRDefault="00AE6CED" w:rsidP="00AE6CED">
      <w:pPr>
        <w:pStyle w:val="SingleTxtG"/>
      </w:pPr>
      <w:r>
        <w:lastRenderedPageBreak/>
        <w:t>6.</w:t>
      </w:r>
      <w:r>
        <w:tab/>
        <w:t>Согласно ДОПОГ и МПОГ (пункт 1.10.4), требования разделов 1.10.1, 1.10.2 и</w:t>
      </w:r>
      <w:r>
        <w:rPr>
          <w:lang w:val="en-US"/>
        </w:rPr>
        <w:t> </w:t>
      </w:r>
      <w:r>
        <w:t xml:space="preserve">1.10.3 ДОПОГ, касающиеся обеспечения безопасности, </w:t>
      </w:r>
      <w:r>
        <w:rPr>
          <w:b/>
          <w:bCs/>
        </w:rPr>
        <w:t>не</w:t>
      </w:r>
      <w:r>
        <w:t xml:space="preserve"> применяются к </w:t>
      </w:r>
      <w:r>
        <w:rPr>
          <w:u w:val="single"/>
        </w:rPr>
        <w:t>№</w:t>
      </w:r>
      <w:r>
        <w:rPr>
          <w:u w:val="single"/>
          <w:lang w:val="en-US"/>
        </w:rPr>
        <w:t> </w:t>
      </w:r>
      <w:r>
        <w:rPr>
          <w:u w:val="single"/>
        </w:rPr>
        <w:t>ООН</w:t>
      </w:r>
      <w:r>
        <w:rPr>
          <w:u w:val="single"/>
          <w:lang w:val="en-US"/>
        </w:rPr>
        <w:t> </w:t>
      </w:r>
      <w:r>
        <w:rPr>
          <w:u w:val="single"/>
        </w:rPr>
        <w:t>2910 и 2911</w:t>
      </w:r>
      <w:r>
        <w:t xml:space="preserve">, если уровень активности </w:t>
      </w:r>
      <w:r>
        <w:rPr>
          <w:b/>
          <w:bCs/>
        </w:rPr>
        <w:t>не</w:t>
      </w:r>
      <w:r>
        <w:t xml:space="preserve"> превышает значение А</w:t>
      </w:r>
      <w:r>
        <w:rPr>
          <w:vertAlign w:val="subscript"/>
        </w:rPr>
        <w:t xml:space="preserve">2 </w:t>
      </w:r>
      <w:r>
        <w:t>и если перевозимые количества не превышают значений, указанных в пункте 1.1.3.6.3 ДОПОГ/МПОГ.</w:t>
      </w:r>
    </w:p>
    <w:p w14:paraId="07760EBD" w14:textId="77777777" w:rsidR="00AE6CED" w:rsidRPr="00370E76" w:rsidRDefault="00AE6CED" w:rsidP="00AE6CED">
      <w:pPr>
        <w:pStyle w:val="SingleTxtG"/>
      </w:pPr>
      <w:r>
        <w:t>7.</w:t>
      </w:r>
      <w:r>
        <w:tab/>
        <w:t>Данное отступление, предусмотренное в пункте 1.10.4 ДОПОГ/МПОГ для №</w:t>
      </w:r>
      <w:r>
        <w:rPr>
          <w:lang w:val="en-US"/>
        </w:rPr>
        <w:t> </w:t>
      </w:r>
      <w:r>
        <w:t>ООН 2910 и 2911 с активностью, не превышающей значение A</w:t>
      </w:r>
      <w:r>
        <w:rPr>
          <w:vertAlign w:val="subscript"/>
        </w:rPr>
        <w:t>2</w:t>
      </w:r>
      <w:r>
        <w:t>, отсутствует в пункте 1.10.4 ВОПОГ.</w:t>
      </w:r>
    </w:p>
    <w:p w14:paraId="57201D8F" w14:textId="77777777" w:rsidR="00AE6CED" w:rsidRPr="00D57295" w:rsidRDefault="00AE6CED" w:rsidP="00AE6CED">
      <w:pPr>
        <w:pStyle w:val="SingleTxtG"/>
      </w:pPr>
      <w:r>
        <w:t>8.</w:t>
      </w:r>
      <w:r>
        <w:tab/>
        <w:t>В соответствии с пунктами 1.1.3.6.2 и 1.1.3.6.3 ДОПОГ/МПОГ грузы под №</w:t>
      </w:r>
      <w:r>
        <w:rPr>
          <w:lang w:val="en-US"/>
        </w:rPr>
        <w:t> </w:t>
      </w:r>
      <w:r>
        <w:t>ООН 2908 и 2909 могут перевозиться в неограниченных количествах без применения главы 1.10, касающейся обеспечения безопасности. В отношении №</w:t>
      </w:r>
      <w:r>
        <w:rPr>
          <w:lang w:val="en-US"/>
        </w:rPr>
        <w:t> </w:t>
      </w:r>
      <w:r>
        <w:t>ООН</w:t>
      </w:r>
      <w:r>
        <w:rPr>
          <w:lang w:val="en-US"/>
        </w:rPr>
        <w:t> </w:t>
      </w:r>
      <w:r>
        <w:t xml:space="preserve">2910 и 2911 это исключение из положений главы 1.10 </w:t>
      </w:r>
      <w:r>
        <w:rPr>
          <w:b/>
          <w:bCs/>
        </w:rPr>
        <w:t xml:space="preserve">применяется только в том случае, если </w:t>
      </w:r>
      <w:r>
        <w:t>уровень активности не превышает значение А</w:t>
      </w:r>
      <w:r>
        <w:rPr>
          <w:vertAlign w:val="subscript"/>
        </w:rPr>
        <w:t>2</w:t>
      </w:r>
      <w:r>
        <w:t>.</w:t>
      </w:r>
    </w:p>
    <w:p w14:paraId="061AD9EF" w14:textId="77777777" w:rsidR="00AE6CED" w:rsidRPr="00D57295" w:rsidRDefault="00AE6CED" w:rsidP="00AE6CED">
      <w:pPr>
        <w:pStyle w:val="SingleTxtG"/>
        <w:rPr>
          <w:rFonts w:eastAsia="Arial Unicode MS"/>
          <w:bdr w:val="nil"/>
        </w:rPr>
      </w:pPr>
      <w:r>
        <w:t>9.</w:t>
      </w:r>
      <w:r>
        <w:tab/>
        <w:t>В отличие от ВОПОГ положения подраздела 1.1.3.6 и главы 1.10 ДОПОГ/МПОГ являются последовательными. Поэтому мандат, предоставленный Комитетом по вопросам безопасности (см. выше), требует внесения в ВОПОГ изменения, согласно которому положения, касающиеся обеспечения безопасности:</w:t>
      </w:r>
    </w:p>
    <w:p w14:paraId="4F275747" w14:textId="77777777" w:rsidR="00AE6CED" w:rsidRPr="00D57295" w:rsidRDefault="00AE6CED" w:rsidP="00AE6CED">
      <w:pPr>
        <w:pStyle w:val="SingleTxtG"/>
        <w:rPr>
          <w:rFonts w:eastAsia="Arial Unicode MS"/>
          <w:bdr w:val="nil"/>
        </w:rPr>
      </w:pPr>
      <w:r>
        <w:tab/>
      </w:r>
      <w:r>
        <w:tab/>
        <w:t>a)</w:t>
      </w:r>
      <w:r>
        <w:tab/>
        <w:t>не применяются к № ООН 2908 и 2909;</w:t>
      </w:r>
    </w:p>
    <w:p w14:paraId="334C1423" w14:textId="77777777" w:rsidR="00AE6CED" w:rsidRPr="00D57295" w:rsidRDefault="00AE6CED" w:rsidP="00AE6CED">
      <w:pPr>
        <w:pStyle w:val="SingleTxtG"/>
        <w:rPr>
          <w:rFonts w:eastAsia="Arial Unicode MS"/>
          <w:bdr w:val="nil"/>
        </w:rPr>
      </w:pPr>
      <w:r>
        <w:tab/>
      </w:r>
      <w:r>
        <w:tab/>
        <w:t>b)</w:t>
      </w:r>
      <w:r>
        <w:tab/>
        <w:t>не применяются к № ООН 2910 и 2911, если уровень активности упаковок не превышает значение А</w:t>
      </w:r>
      <w:r>
        <w:rPr>
          <w:vertAlign w:val="subscript"/>
        </w:rPr>
        <w:t>2</w:t>
      </w:r>
      <w:r>
        <w:t>.</w:t>
      </w:r>
    </w:p>
    <w:p w14:paraId="08AD5849" w14:textId="77777777" w:rsidR="00AE6CED" w:rsidRPr="00370E76" w:rsidRDefault="00AE6CED" w:rsidP="00AE6CED">
      <w:pPr>
        <w:pStyle w:val="SingleTxtG"/>
        <w:rPr>
          <w:rFonts w:eastAsia="Arial Unicode MS"/>
          <w:bdr w:val="nil"/>
        </w:rPr>
      </w:pPr>
      <w:r>
        <w:t>10.</w:t>
      </w:r>
      <w:r>
        <w:tab/>
        <w:t xml:space="preserve">Если в правилах об изъятиях, предусмотренных в подразделе 1.1.3.6 ВОПОГ, определяются условия, которые, тем не менее, </w:t>
      </w:r>
      <w:r>
        <w:rPr>
          <w:b/>
          <w:bCs/>
        </w:rPr>
        <w:t>должны выполняться</w:t>
      </w:r>
      <w:r>
        <w:t xml:space="preserve">, то в ДОПОГ/МПОГ, напротив, указаны требования, которые </w:t>
      </w:r>
      <w:r>
        <w:rPr>
          <w:b/>
          <w:bCs/>
        </w:rPr>
        <w:t>не применяются</w:t>
      </w:r>
      <w:r>
        <w:t>.</w:t>
      </w:r>
    </w:p>
    <w:p w14:paraId="7D20ACA0" w14:textId="77777777" w:rsidR="00AE6CED" w:rsidRPr="002D38C9" w:rsidRDefault="00AE6CED" w:rsidP="00AE6CED">
      <w:pPr>
        <w:pStyle w:val="HChG"/>
      </w:pPr>
      <w:r>
        <w:tab/>
        <w:t>II.</w:t>
      </w:r>
      <w:r>
        <w:tab/>
      </w:r>
      <w:r>
        <w:rPr>
          <w:bCs/>
        </w:rPr>
        <w:t>Предложение</w:t>
      </w:r>
    </w:p>
    <w:p w14:paraId="698B7A99" w14:textId="77777777" w:rsidR="00AE6CED" w:rsidRPr="00370E76" w:rsidRDefault="00AE6CED" w:rsidP="00AE6CED">
      <w:pPr>
        <w:pStyle w:val="SingleTxtG"/>
      </w:pPr>
      <w:r>
        <w:t>11.</w:t>
      </w:r>
      <w:r>
        <w:tab/>
        <w:t>Германия предлагает Комитету по вопросам безопасности использовать для ВОПОГ текст, имеющийся в ДОПОГ и МПОГ. Освобождение от применения требований в отношении обеспечения безопасности в случае радиоактивных материалов под № ООН 2908 и 2911 следует включить как в подраздел 1.1.3.6, посвященный изъятиям, связанным с количествами, перевозимыми судами, так и в пункт 1.10.4 об исключениях из требований в отношении обеспечения безопасности.</w:t>
      </w:r>
    </w:p>
    <w:p w14:paraId="26EB1ED1" w14:textId="77777777" w:rsidR="00AE6CED" w:rsidRPr="00D57295" w:rsidRDefault="00AE6CED" w:rsidP="00AE6CED">
      <w:pPr>
        <w:pStyle w:val="SingleTxtG"/>
      </w:pPr>
      <w:r>
        <w:t>12.</w:t>
      </w:r>
      <w:r>
        <w:tab/>
        <w:t>Предлагается изменить пункт 1.1.3.6.2 ВОПОГ следующим образом:</w:t>
      </w:r>
    </w:p>
    <w:p w14:paraId="250A0C99" w14:textId="77777777" w:rsidR="00AE6CED" w:rsidRPr="00D57295" w:rsidRDefault="00AE6CED" w:rsidP="00AE6CED">
      <w:pPr>
        <w:pStyle w:val="SingleTxtG"/>
      </w:pPr>
      <w:r>
        <w:t>Включить новый подпункт b) следующего содержания:</w:t>
      </w:r>
    </w:p>
    <w:p w14:paraId="0D9206CD" w14:textId="77777777" w:rsidR="00AE6CED" w:rsidRPr="00370E76" w:rsidRDefault="00AE6CED" w:rsidP="00AE6CED">
      <w:pPr>
        <w:pStyle w:val="SingleTxtG"/>
        <w:tabs>
          <w:tab w:val="left" w:pos="1701"/>
        </w:tabs>
        <w:ind w:left="2268" w:hanging="1134"/>
      </w:pPr>
      <w:r>
        <w:tab/>
        <w:t>«b)</w:t>
      </w:r>
      <w:r>
        <w:tab/>
        <w:t>требования разделов 1.10.1, 1.10.2 и 1.10.3 применяются к упаковкам</w:t>
      </w:r>
      <w:r>
        <w:tab/>
        <w:t xml:space="preserve">класса 7 под № ООН 2910 и 2911, если уровень активности (на упаковку) </w:t>
      </w:r>
      <w:r>
        <w:tab/>
        <w:t>превышает значение А</w:t>
      </w:r>
      <w:r>
        <w:rPr>
          <w:vertAlign w:val="subscript"/>
        </w:rPr>
        <w:t>2</w:t>
      </w:r>
      <w:r>
        <w:t>;».</w:t>
      </w:r>
    </w:p>
    <w:p w14:paraId="361BA94F" w14:textId="77777777" w:rsidR="00AE6CED" w:rsidRPr="00D57295" w:rsidRDefault="00AE6CED" w:rsidP="00AE6CED">
      <w:pPr>
        <w:pStyle w:val="SingleTxtG"/>
      </w:pPr>
      <w:r>
        <w:t>Изменить нумерацию подпунктов b)–e) на c)–f).</w:t>
      </w:r>
    </w:p>
    <w:p w14:paraId="5E3B1670" w14:textId="77777777" w:rsidR="00AE6CED" w:rsidRPr="00D57295" w:rsidRDefault="00AE6CED" w:rsidP="00AE6CED">
      <w:pPr>
        <w:pStyle w:val="SingleTxtG"/>
      </w:pPr>
      <w:r>
        <w:t>Подпункт f) становится подпунктом g), а слова «подпунктов d) и e)» заменить словами «подпунктов e) и f)».</w:t>
      </w:r>
    </w:p>
    <w:p w14:paraId="1BD89F41" w14:textId="77777777" w:rsidR="00AE6CED" w:rsidRPr="00D57295" w:rsidRDefault="00AE6CED" w:rsidP="00AE6CED">
      <w:pPr>
        <w:pStyle w:val="SingleTxtG"/>
      </w:pPr>
      <w:r>
        <w:t>13.</w:t>
      </w:r>
      <w:r>
        <w:tab/>
        <w:t xml:space="preserve">Предлагается изменить пункт 1.10.4 ВОПОГ следующим образом (текст, который следует включить, </w:t>
      </w:r>
      <w:r>
        <w:rPr>
          <w:u w:val="single"/>
        </w:rPr>
        <w:t>подчеркнут</w:t>
      </w:r>
      <w:r>
        <w:t>):</w:t>
      </w:r>
    </w:p>
    <w:p w14:paraId="60624EE9" w14:textId="77777777" w:rsidR="00AE6CED" w:rsidRPr="00D57295" w:rsidRDefault="00AE6CED" w:rsidP="00AE6CED">
      <w:pPr>
        <w:pStyle w:val="SingleTxtG"/>
        <w:ind w:left="1701" w:hanging="567"/>
      </w:pPr>
      <w:r>
        <w:tab/>
      </w:r>
      <w:r>
        <w:tab/>
        <w:t>«1.10.4</w:t>
      </w:r>
      <w:r>
        <w:tab/>
        <w:t xml:space="preserve">За исключением требований, касающихся радиоактивных материалов </w:t>
      </w:r>
      <w:r>
        <w:rPr>
          <w:u w:val="single"/>
        </w:rPr>
        <w:t>под № ООН 2910 и 2911,</w:t>
      </w:r>
      <w:r>
        <w:t xml:space="preserve"> </w:t>
      </w:r>
      <w:r>
        <w:rPr>
          <w:u w:val="single"/>
        </w:rPr>
        <w:t>если уровень активности (на упаковку) не превышает значение А</w:t>
      </w:r>
      <w:r>
        <w:rPr>
          <w:u w:val="single"/>
          <w:vertAlign w:val="subscript"/>
        </w:rPr>
        <w:t>2</w:t>
      </w:r>
      <w:r>
        <w:rPr>
          <w:u w:val="single"/>
        </w:rPr>
        <w:t>,</w:t>
      </w:r>
      <w:r>
        <w:t xml:space="preserve"> требования разделов 1.10.1, 1.10.2 и 1.10.3 не применяются в тех случаях, когда количества, перевозимые в упаковках на судне, не превышают значений, указанных в пункте 1.1.3.6.1. Кроме того, положения настоящей главы не применяются к перевозке № ООН 2912 РАДИОАКТИВНЫЙ МАТЕРИАЛ, НИЗКАЯ УДЕЛЬНАЯ АКТИВНОСТЬ (LSA-I) и № ООН 2913 РАДИОАКТИВНЫЙ МАТЕРИАЛ, ОБЪЕКТЫ С ПОВЕРХНОСТНЫМ РАДИОАКТИВНЫМ ЗАГРЯЗНЕНИЕМ (SCO-I).».</w:t>
      </w:r>
    </w:p>
    <w:p w14:paraId="367A39BB" w14:textId="77777777" w:rsidR="00AE6CED" w:rsidRPr="00D57295" w:rsidRDefault="00AE6CED" w:rsidP="00AE6CED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>Обоснование</w:t>
      </w:r>
    </w:p>
    <w:p w14:paraId="0A0582CB" w14:textId="77777777" w:rsidR="00AE6CED" w:rsidRPr="00D57295" w:rsidRDefault="00AE6CED" w:rsidP="00AE6CED">
      <w:pPr>
        <w:pStyle w:val="SingleTxtG"/>
      </w:pPr>
      <w:r>
        <w:t>14.</w:t>
      </w:r>
      <w:r>
        <w:tab/>
        <w:t xml:space="preserve">В сентябре 2011 года Совместное совещание МПОГ/ДОПОГ/ВОПОГ предложило на основе документа </w:t>
      </w:r>
      <w:r>
        <w:rPr>
          <w:i/>
          <w:iCs/>
        </w:rPr>
        <w:t>ECE/TRANS/WP.15/AC.1/2011/30/Add.1</w:t>
      </w:r>
      <w:r>
        <w:t xml:space="preserve"> внести следующую поправку в тексты трех правил – МПОГ/ДОПОГ/ВОПОГ:</w:t>
      </w:r>
    </w:p>
    <w:p w14:paraId="107760A5" w14:textId="77777777" w:rsidR="00AE6CED" w:rsidRPr="00D57295" w:rsidRDefault="00AE6CED" w:rsidP="00E864A6">
      <w:pPr>
        <w:pStyle w:val="H4G"/>
        <w:spacing w:before="0" w:line="240" w:lineRule="auto"/>
      </w:pPr>
      <w:r>
        <w:tab/>
      </w:r>
      <w:r>
        <w:tab/>
      </w:r>
      <w:r>
        <w:rPr>
          <w:iCs/>
        </w:rPr>
        <w:t>«1.1.3.6.2</w:t>
      </w:r>
      <w:r>
        <w:t xml:space="preserve"> </w:t>
      </w:r>
      <w:r>
        <w:tab/>
      </w:r>
      <w:r>
        <w:rPr>
          <w:iCs/>
        </w:rPr>
        <w:t>В первом подпункте, начинающемся с тире, в конце перед точкой с запятой добавить:</w:t>
      </w:r>
    </w:p>
    <w:p w14:paraId="4EC34493" w14:textId="77777777" w:rsidR="00AE6CED" w:rsidRPr="00D57295" w:rsidRDefault="00AE6CED" w:rsidP="00E864A6">
      <w:pPr>
        <w:pStyle w:val="H4G"/>
        <w:spacing w:before="0" w:line="240" w:lineRule="auto"/>
        <w:ind w:left="2268"/>
        <w:rPr>
          <w:rFonts w:cs="Arial"/>
        </w:rPr>
      </w:pPr>
      <w:r>
        <w:tab/>
      </w:r>
      <w:r>
        <w:tab/>
      </w:r>
      <w:r>
        <w:rPr>
          <w:iCs/>
        </w:rPr>
        <w:t>"и за исключением освобожденных упаковок класса 7 под № ООН 2910 и 2911,</w:t>
      </w:r>
      <w:r>
        <w:t xml:space="preserve"> если уровень активности превышает значение А</w:t>
      </w:r>
      <w:r>
        <w:rPr>
          <w:vertAlign w:val="subscript"/>
        </w:rPr>
        <w:t>2</w:t>
      </w:r>
      <w:r>
        <w:t>".»</w:t>
      </w:r>
    </w:p>
    <w:p w14:paraId="342AA2CE" w14:textId="77777777" w:rsidR="00AE6CED" w:rsidRDefault="00AE6CED" w:rsidP="00E864A6">
      <w:pPr>
        <w:pStyle w:val="H4G"/>
        <w:spacing w:before="0"/>
        <w:rPr>
          <w:iCs/>
        </w:rPr>
      </w:pPr>
      <w:r>
        <w:tab/>
      </w:r>
      <w:r>
        <w:tab/>
      </w:r>
      <w:r>
        <w:rPr>
          <w:iCs/>
        </w:rPr>
        <w:t>[Сопутствующая поправка в связи с пунктом 1.10.4]</w:t>
      </w:r>
    </w:p>
    <w:p w14:paraId="62B485C9" w14:textId="77777777" w:rsidR="00AE6CED" w:rsidRDefault="00AE6CED" w:rsidP="00E864A6">
      <w:pPr>
        <w:pStyle w:val="H4G"/>
        <w:spacing w:before="0"/>
        <w:rPr>
          <w:iCs/>
        </w:rPr>
      </w:pPr>
      <w:r>
        <w:rPr>
          <w:iCs/>
        </w:rPr>
        <w:tab/>
      </w:r>
      <w:r>
        <w:rPr>
          <w:iCs/>
        </w:rPr>
        <w:tab/>
        <w:t>«1.10.4</w:t>
      </w:r>
      <w:r>
        <w:rPr>
          <w:iCs/>
        </w:rPr>
        <w:tab/>
        <w:t>После "класса 1/подкласса</w:t>
      </w:r>
      <w:r w:rsidR="00E864A6" w:rsidRPr="00E864A6">
        <w:rPr>
          <w:iCs/>
        </w:rPr>
        <w:t xml:space="preserve"> </w:t>
      </w:r>
      <w:r>
        <w:rPr>
          <w:iCs/>
        </w:rPr>
        <w:t>1.4" после "0500" включить:</w:t>
      </w:r>
    </w:p>
    <w:p w14:paraId="427D5EC4" w14:textId="77777777" w:rsidR="00AE6CED" w:rsidRPr="00D57295" w:rsidRDefault="00AE6CED" w:rsidP="00E864A6">
      <w:pPr>
        <w:pStyle w:val="H4G"/>
        <w:spacing w:before="0"/>
        <w:ind w:left="2265" w:firstLine="0"/>
        <w:rPr>
          <w:rFonts w:cs="Arial"/>
        </w:rPr>
      </w:pPr>
      <w:r>
        <w:rPr>
          <w:iCs/>
        </w:rPr>
        <w:tab/>
        <w:t>"и за исключением № ООН 2910 и 2911, если уровень активности превышает значение A2".»</w:t>
      </w:r>
    </w:p>
    <w:p w14:paraId="5EA94A83" w14:textId="77777777" w:rsidR="00AE6CED" w:rsidRPr="00D57295" w:rsidRDefault="00AE6CED" w:rsidP="00E864A6">
      <w:pPr>
        <w:pStyle w:val="H4G"/>
        <w:spacing w:before="0"/>
        <w:rPr>
          <w:rFonts w:cs="Arial"/>
        </w:rPr>
      </w:pPr>
      <w:r>
        <w:tab/>
      </w:r>
      <w:r>
        <w:tab/>
      </w:r>
      <w:r>
        <w:rPr>
          <w:iCs/>
        </w:rPr>
        <w:t>[Сопутствующая поправка, см. пункт 1.1.3.2.6]</w:t>
      </w:r>
    </w:p>
    <w:p w14:paraId="1F9C5E1B" w14:textId="77777777" w:rsidR="00AE6CED" w:rsidRPr="00D57295" w:rsidRDefault="00AE6CED" w:rsidP="00E864A6">
      <w:pPr>
        <w:pStyle w:val="H4G"/>
        <w:spacing w:before="0"/>
        <w:rPr>
          <w:rFonts w:cs="Arial"/>
        </w:rPr>
      </w:pPr>
      <w:r>
        <w:tab/>
      </w:r>
      <w:r>
        <w:tab/>
      </w:r>
      <w:r>
        <w:rPr>
          <w:iCs/>
        </w:rPr>
        <w:t>В конце добавить предложение следующего содержания:</w:t>
      </w:r>
    </w:p>
    <w:p w14:paraId="4CD2F578" w14:textId="77777777" w:rsidR="00AE6CED" w:rsidRPr="00D57295" w:rsidRDefault="00AE6CED" w:rsidP="00E864A6">
      <w:pPr>
        <w:pStyle w:val="H4G"/>
        <w:spacing w:before="0"/>
        <w:ind w:left="1701" w:hanging="1701"/>
        <w:jc w:val="both"/>
        <w:rPr>
          <w:rFonts w:cs="Arial"/>
        </w:rPr>
      </w:pPr>
      <w:r>
        <w:tab/>
      </w:r>
      <w:r>
        <w:tab/>
      </w:r>
      <w:r w:rsidR="00E864A6">
        <w:tab/>
      </w:r>
      <w:r>
        <w:t>«</w:t>
      </w:r>
      <w:r>
        <w:rPr>
          <w:iCs/>
        </w:rPr>
        <w:t>Кроме того, положения настоящей главы не применяются к перевозке №</w:t>
      </w:r>
      <w:r w:rsidR="00E864A6">
        <w:rPr>
          <w:iCs/>
          <w:lang w:val="en-US"/>
        </w:rPr>
        <w:t> </w:t>
      </w:r>
      <w:r>
        <w:rPr>
          <w:iCs/>
        </w:rPr>
        <w:t>ООН 2912 РАДИОАКТИВНЫЙ МАТЕРИАЛ, НИЗКАЯ УДЕЛЬНАЯ АКТИВНОСТЬ (LSA-I) и № ООН 2913 РАДИОАКТИВНЫЙ МАТЕРИАЛ, ОБЪЕКТЫ С ПОВЕРХНОСТНЫМ РАДИОАКТИВНЫМ ЗАГРЯЗНЕНИЕМ (SCO I).».</w:t>
      </w: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541FD742" w14:textId="77777777" w:rsidR="00AE6CED" w:rsidRPr="00D57295" w:rsidRDefault="00AE6CED" w:rsidP="00AE6CED">
      <w:pPr>
        <w:pStyle w:val="SingleTxtG"/>
        <w:rPr>
          <w:rFonts w:cs="Arial"/>
        </w:rPr>
      </w:pPr>
      <w:r>
        <w:t>15.</w:t>
      </w:r>
      <w:r>
        <w:tab/>
        <w:t>Последнее предложение было также добавлено в вариант ВОПОГ 2013 года. Изменения, касающиеся № 2910 и 2911, не были приняты. Согласно исследованию, проведенному делегацией Германии, никаких конкретных оснований для этого не было, поэтому можно предположить, что была допущена ошибка.</w:t>
      </w:r>
    </w:p>
    <w:p w14:paraId="6491D092" w14:textId="77777777" w:rsidR="00AE6CED" w:rsidRPr="00D57295" w:rsidRDefault="00AE6CED" w:rsidP="00AE6CED">
      <w:pPr>
        <w:pStyle w:val="SingleTxtG"/>
        <w:rPr>
          <w:rFonts w:cs="Arial"/>
        </w:rPr>
      </w:pPr>
      <w:r>
        <w:t>16.</w:t>
      </w:r>
      <w:r>
        <w:tab/>
        <w:t>Таким образом, поправку к ДОПОГ и МПОГ 2013 года следует также принять, хотя и с задержкой, для ВОПОГ.</w:t>
      </w:r>
    </w:p>
    <w:p w14:paraId="48FB69D3" w14:textId="77777777" w:rsidR="00AE6CED" w:rsidRPr="00D57295" w:rsidRDefault="00AE6CED" w:rsidP="00AE6CED">
      <w:pPr>
        <w:pStyle w:val="SingleTxtG"/>
        <w:rPr>
          <w:rFonts w:cs="Arial"/>
        </w:rPr>
      </w:pPr>
      <w:r>
        <w:t>17.</w:t>
      </w:r>
      <w:r>
        <w:tab/>
        <w:t>Нет необходимости применять все положения ВОПОГ в целом, за исключением главы 1.10, к материалам под № ООН 2910 и 2911, уровень активности которых (на</w:t>
      </w:r>
      <w:r>
        <w:rPr>
          <w:lang w:val="en-US"/>
        </w:rPr>
        <w:t> </w:t>
      </w:r>
      <w:r>
        <w:t>упаковку) превышает А</w:t>
      </w:r>
      <w:r>
        <w:rPr>
          <w:vertAlign w:val="subscript"/>
        </w:rPr>
        <w:t>2</w:t>
      </w:r>
      <w:r>
        <w:t>, или устанавливать большее чем прежде число условий (пункт 1.1.3.6.2 ВОПОГ).</w:t>
      </w:r>
    </w:p>
    <w:p w14:paraId="701795FF" w14:textId="77777777" w:rsidR="00AE6CED" w:rsidRPr="00D57295" w:rsidRDefault="00AE6CED" w:rsidP="00AE6CED">
      <w:pPr>
        <w:pStyle w:val="HChG"/>
      </w:pPr>
      <w:r>
        <w:tab/>
        <w:t>IV.</w:t>
      </w:r>
      <w:r>
        <w:tab/>
      </w:r>
      <w:r>
        <w:rPr>
          <w:bCs/>
        </w:rPr>
        <w:t>Безопасность</w:t>
      </w:r>
    </w:p>
    <w:p w14:paraId="53E24961" w14:textId="77777777" w:rsidR="00AE6CED" w:rsidRPr="00D57295" w:rsidRDefault="00AE6CED" w:rsidP="00AE6CED">
      <w:pPr>
        <w:pStyle w:val="SingleTxtG"/>
      </w:pPr>
      <w:r>
        <w:t>18.</w:t>
      </w:r>
      <w:r>
        <w:tab/>
        <w:t>Никаких проблем в области безопасности не возникнет, поскольку освобождение от соблюдения положений по обеспечению безопасности при перевозке автомобильным и железнодорожным транспортом материалов под № ООН 2908–2911 не вызывает серьезных проблем.</w:t>
      </w:r>
    </w:p>
    <w:p w14:paraId="2B25DDE3" w14:textId="77777777" w:rsidR="00AE6CED" w:rsidRPr="00D57295" w:rsidRDefault="00AE6CED" w:rsidP="00AE6CED">
      <w:pPr>
        <w:pStyle w:val="SingleTxtG"/>
      </w:pPr>
      <w:r>
        <w:t>19.</w:t>
      </w:r>
      <w:r>
        <w:tab/>
        <w:t>Противоречивые требования, которые могут привести к потере безопасности ввиду трудностей с толкованием, будут исправлены.</w:t>
      </w:r>
    </w:p>
    <w:p w14:paraId="66BE2A86" w14:textId="77777777" w:rsidR="00AE6CED" w:rsidRPr="00D57295" w:rsidRDefault="00AE6CED" w:rsidP="00AE6CED">
      <w:pPr>
        <w:pStyle w:val="HChG"/>
      </w:pPr>
      <w:r>
        <w:tab/>
      </w:r>
      <w:r>
        <w:tab/>
      </w:r>
      <w:r>
        <w:rPr>
          <w:bCs/>
        </w:rPr>
        <w:t>Применимость</w:t>
      </w:r>
    </w:p>
    <w:p w14:paraId="28724773" w14:textId="77777777" w:rsidR="00AE6CED" w:rsidRPr="00D57295" w:rsidRDefault="00AE6CED" w:rsidP="00AE6CED">
      <w:pPr>
        <w:pStyle w:val="SingleTxtG"/>
      </w:pPr>
      <w:r>
        <w:t>20.</w:t>
      </w:r>
      <w:r>
        <w:tab/>
        <w:t xml:space="preserve">Данное предложение не влечет за собой каких-либо изменений ни в организации перевозок упаковок класса 7, ни в области судостроения. </w:t>
      </w:r>
    </w:p>
    <w:p w14:paraId="432BC86A" w14:textId="77777777" w:rsidR="00AE6CED" w:rsidRPr="00D57295" w:rsidRDefault="00AE6CED" w:rsidP="00AE6CED">
      <w:pPr>
        <w:pStyle w:val="SingleTxtG"/>
      </w:pPr>
      <w:r>
        <w:t>21.</w:t>
      </w:r>
      <w:r>
        <w:tab/>
        <w:t xml:space="preserve">Данное предложение приведет к упрощению операций, поскольку требования в отношении обеспечения безопасности, применимые к № ООН 2908 и 2909 и к </w:t>
      </w:r>
      <w:r>
        <w:br/>
        <w:t>№ ООН 2910 и 2911, если уровень активности не превышает значение А</w:t>
      </w:r>
      <w:r>
        <w:rPr>
          <w:vertAlign w:val="subscript"/>
        </w:rPr>
        <w:t>2</w:t>
      </w:r>
      <w:r>
        <w:t>, не будут (больше не должны будут) выполняться.</w:t>
      </w:r>
    </w:p>
    <w:p w14:paraId="01B468D9" w14:textId="77777777" w:rsidR="00E12C5F" w:rsidRPr="008D53B6" w:rsidRDefault="00AE6CED" w:rsidP="00AE6CED">
      <w:pPr>
        <w:spacing w:before="240"/>
        <w:jc w:val="center"/>
      </w:pPr>
      <w:r w:rsidRPr="00D57295">
        <w:rPr>
          <w:u w:val="single"/>
        </w:rPr>
        <w:tab/>
      </w:r>
      <w:r w:rsidRPr="00D57295">
        <w:rPr>
          <w:u w:val="single"/>
        </w:rPr>
        <w:tab/>
      </w:r>
      <w:r w:rsidRPr="00D57295">
        <w:rPr>
          <w:u w:val="single"/>
        </w:rPr>
        <w:tab/>
      </w:r>
    </w:p>
    <w:sectPr w:rsidR="00E12C5F" w:rsidRPr="008D53B6" w:rsidSect="00AE6C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4E4B" w14:textId="77777777" w:rsidR="004F4415" w:rsidRPr="00A312BC" w:rsidRDefault="004F4415" w:rsidP="00A312BC"/>
  </w:endnote>
  <w:endnote w:type="continuationSeparator" w:id="0">
    <w:p w14:paraId="6413EEDC" w14:textId="77777777" w:rsidR="004F4415" w:rsidRPr="00A312BC" w:rsidRDefault="004F44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FCAB" w14:textId="77777777" w:rsidR="00AE6CED" w:rsidRPr="00AE6CED" w:rsidRDefault="00AE6CED">
    <w:pPr>
      <w:pStyle w:val="Footer"/>
    </w:pPr>
    <w:r w:rsidRPr="00AE6CED">
      <w:rPr>
        <w:b/>
        <w:sz w:val="18"/>
      </w:rPr>
      <w:fldChar w:fldCharType="begin"/>
    </w:r>
    <w:r w:rsidRPr="00AE6CED">
      <w:rPr>
        <w:b/>
        <w:sz w:val="18"/>
      </w:rPr>
      <w:instrText xml:space="preserve"> PAGE  \* MERGEFORMAT </w:instrText>
    </w:r>
    <w:r w:rsidRPr="00AE6CED">
      <w:rPr>
        <w:b/>
        <w:sz w:val="18"/>
      </w:rPr>
      <w:fldChar w:fldCharType="separate"/>
    </w:r>
    <w:r w:rsidRPr="00AE6CED">
      <w:rPr>
        <w:b/>
        <w:noProof/>
        <w:sz w:val="18"/>
      </w:rPr>
      <w:t>2</w:t>
    </w:r>
    <w:r w:rsidRPr="00AE6CED">
      <w:rPr>
        <w:b/>
        <w:sz w:val="18"/>
      </w:rPr>
      <w:fldChar w:fldCharType="end"/>
    </w:r>
    <w:r>
      <w:rPr>
        <w:b/>
        <w:sz w:val="18"/>
      </w:rPr>
      <w:tab/>
    </w:r>
    <w:r>
      <w:t>GE.19-09148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4101" w14:textId="77777777" w:rsidR="00AE6CED" w:rsidRPr="00AE6CED" w:rsidRDefault="00AE6CED" w:rsidP="00AE6CE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GE.19-09148</w:t>
    </w:r>
    <w:r>
      <w:tab/>
    </w:r>
    <w:r w:rsidRPr="00AE6CED">
      <w:rPr>
        <w:b/>
        <w:sz w:val="18"/>
      </w:rPr>
      <w:fldChar w:fldCharType="begin"/>
    </w:r>
    <w:r w:rsidRPr="00AE6CED">
      <w:rPr>
        <w:b/>
        <w:sz w:val="18"/>
      </w:rPr>
      <w:instrText xml:space="preserve"> PAGE  \* MERGEFORMAT </w:instrText>
    </w:r>
    <w:r w:rsidRPr="00AE6CED">
      <w:rPr>
        <w:b/>
        <w:sz w:val="18"/>
      </w:rPr>
      <w:fldChar w:fldCharType="separate"/>
    </w:r>
    <w:r w:rsidRPr="00AE6CED">
      <w:rPr>
        <w:b/>
        <w:noProof/>
        <w:sz w:val="18"/>
      </w:rPr>
      <w:t>3</w:t>
    </w:r>
    <w:r w:rsidRPr="00AE6C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D63E" w14:textId="77777777" w:rsidR="00042B72" w:rsidRPr="00AE6CED" w:rsidRDefault="00AE6CED" w:rsidP="00AE6CE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A35550" wp14:editId="320CB1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19-09148  (R)</w:t>
    </w:r>
    <w:r>
      <w:rPr>
        <w:lang w:val="en-US"/>
      </w:rPr>
      <w:t xml:space="preserve">   130619  130619</w:t>
    </w:r>
    <w:r>
      <w:br/>
    </w:r>
    <w:r w:rsidRPr="00AE6CED">
      <w:rPr>
        <w:rFonts w:ascii="C39T30Lfz" w:hAnsi="C39T30Lfz"/>
        <w:kern w:val="14"/>
        <w:sz w:val="56"/>
      </w:rPr>
      <w:t></w:t>
    </w:r>
    <w:r w:rsidRPr="00AE6CED">
      <w:rPr>
        <w:rFonts w:ascii="C39T30Lfz" w:hAnsi="C39T30Lfz"/>
        <w:kern w:val="14"/>
        <w:sz w:val="56"/>
      </w:rPr>
      <w:t></w:t>
    </w:r>
    <w:r w:rsidRPr="00AE6CED">
      <w:rPr>
        <w:rFonts w:ascii="C39T30Lfz" w:hAnsi="C39T30Lfz"/>
        <w:kern w:val="14"/>
        <w:sz w:val="56"/>
      </w:rPr>
      <w:t></w:t>
    </w:r>
    <w:r w:rsidRPr="00AE6CED">
      <w:rPr>
        <w:rFonts w:ascii="C39T30Lfz" w:hAnsi="C39T30Lfz"/>
        <w:kern w:val="14"/>
        <w:sz w:val="56"/>
      </w:rPr>
      <w:t></w:t>
    </w:r>
    <w:r w:rsidRPr="00AE6CED">
      <w:rPr>
        <w:rFonts w:ascii="C39T30Lfz" w:hAnsi="C39T30Lfz"/>
        <w:kern w:val="14"/>
        <w:sz w:val="56"/>
      </w:rPr>
      <w:t></w:t>
    </w:r>
    <w:r w:rsidRPr="00AE6CED">
      <w:rPr>
        <w:rFonts w:ascii="C39T30Lfz" w:hAnsi="C39T30Lfz"/>
        <w:kern w:val="14"/>
        <w:sz w:val="56"/>
      </w:rPr>
      <w:t></w:t>
    </w:r>
    <w:r w:rsidRPr="00AE6CED">
      <w:rPr>
        <w:rFonts w:ascii="C39T30Lfz" w:hAnsi="C39T30Lfz"/>
        <w:kern w:val="14"/>
        <w:sz w:val="56"/>
      </w:rPr>
      <w:t></w:t>
    </w:r>
    <w:r w:rsidRPr="00AE6CED">
      <w:rPr>
        <w:rFonts w:ascii="C39T30Lfz" w:hAnsi="C39T30Lfz"/>
        <w:kern w:val="14"/>
        <w:sz w:val="56"/>
      </w:rPr>
      <w:t></w:t>
    </w:r>
    <w:r w:rsidRPr="00AE6CE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FAF5F9" wp14:editId="55BB15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C962" w14:textId="77777777" w:rsidR="004F4415" w:rsidRPr="001075E9" w:rsidRDefault="004F44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451686" w14:textId="77777777" w:rsidR="004F4415" w:rsidRDefault="004F44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42B946" w14:textId="77777777" w:rsidR="00AE6CED" w:rsidRPr="00D57295" w:rsidRDefault="00AE6CED" w:rsidP="00AE6CED">
      <w:pPr>
        <w:pStyle w:val="FootnoteText"/>
      </w:pPr>
      <w:r>
        <w:tab/>
        <w:t>*</w:t>
      </w:r>
      <w:r>
        <w:tab/>
      </w:r>
      <w:r>
        <w:tab/>
        <w:t>Распространено на немецком языке Центральной комиссией судоходства по Рейну под условным обозначением CCNR/ZKR/ADN/WP.15/AC.2/2019/19.</w:t>
      </w:r>
    </w:p>
    <w:p w14:paraId="6BCA5AD0" w14:textId="77777777" w:rsidR="00AE6CED" w:rsidRPr="00D57295" w:rsidRDefault="00AE6CED" w:rsidP="00AE6CED">
      <w:pPr>
        <w:pStyle w:val="FootnoteText"/>
      </w:pPr>
      <w:r>
        <w:tab/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A0B1" w14:textId="5408CC67" w:rsidR="00AE6CED" w:rsidRPr="00AE6CED" w:rsidRDefault="002221BC">
    <w:pPr>
      <w:pStyle w:val="Header"/>
    </w:pPr>
    <w:fldSimple w:instr=" TITLE  \* MERGEFORMAT ">
      <w:r w:rsidR="00F80707">
        <w:t>ECE/TRANS/WP.15/AC.2/2019/19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4AED" w14:textId="560D7742" w:rsidR="00AE6CED" w:rsidRPr="00AE6CED" w:rsidRDefault="002221BC" w:rsidP="00AE6CED">
    <w:pPr>
      <w:pStyle w:val="Header"/>
      <w:jc w:val="right"/>
    </w:pPr>
    <w:fldSimple w:instr=" TITLE  \* MERGEFORMAT ">
      <w:r w:rsidR="00F80707">
        <w:t>ECE/TRANS/WP.15/AC.2/2019/19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B01D1"/>
    <w:multiLevelType w:val="multilevel"/>
    <w:tmpl w:val="91A85502"/>
    <w:lvl w:ilvl="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262" w:hanging="11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8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7" w:hanging="1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8" w:hanging="1440"/>
      </w:pPr>
      <w:rPr>
        <w:rFonts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  <w:lvlOverride w:ilvl="0">
      <w:lvl w:ilvl="0" w:tplc="3B64B33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15"/>
    <w:rsid w:val="00010D3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21B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F4415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6CED"/>
    <w:rsid w:val="00B10CC7"/>
    <w:rsid w:val="00B36DF7"/>
    <w:rsid w:val="00B539E7"/>
    <w:rsid w:val="00B62458"/>
    <w:rsid w:val="00B94A6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64A6"/>
    <w:rsid w:val="00EA2C9F"/>
    <w:rsid w:val="00EA420E"/>
    <w:rsid w:val="00ED0BDA"/>
    <w:rsid w:val="00EE142A"/>
    <w:rsid w:val="00EF1360"/>
    <w:rsid w:val="00EF3220"/>
    <w:rsid w:val="00F2523A"/>
    <w:rsid w:val="00F43903"/>
    <w:rsid w:val="00F8070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DDADE"/>
  <w15:docId w15:val="{AE4EC5BF-23E6-4790-ADAA-720E37E2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E6CED"/>
    <w:rPr>
      <w:lang w:val="ru-RU" w:eastAsia="en-US"/>
    </w:rPr>
  </w:style>
  <w:style w:type="character" w:customStyle="1" w:styleId="HChGChar">
    <w:name w:val="_ H _Ch_G Char"/>
    <w:link w:val="HChG"/>
    <w:rsid w:val="00AE6CE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ECE/TRANS/WP.15/AC.2/2019/19</vt:lpstr>
      <vt:lpstr>ECE/TRANS/WP.15/AC.2/2019/19</vt:lpstr>
      <vt:lpstr>A/</vt:lpstr>
    </vt:vector>
  </TitlesOfParts>
  <Company>DCM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ECE/TRANS/WP.15/AC.2/2019/19</dc:title>
  <dc:subject/>
  <dc:creator>Anna BLAGODATSKIKH</dc:creator>
  <cp:keywords/>
  <cp:lastModifiedBy>Marie-Claude Collet</cp:lastModifiedBy>
  <cp:revision>3</cp:revision>
  <cp:lastPrinted>2019-06-25T10:24:00Z</cp:lastPrinted>
  <dcterms:created xsi:type="dcterms:W3CDTF">2019-06-25T10:23:00Z</dcterms:created>
  <dcterms:modified xsi:type="dcterms:W3CDTF">2019-06-25T10:24:00Z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