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7" w:rsidRPr="00DD51EA" w:rsidRDefault="009D26E7" w:rsidP="009D26E7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bookmarkStart w:id="0" w:name="_GoBack"/>
      <w:bookmarkEnd w:id="0"/>
      <w:r w:rsidRPr="007E310E">
        <w:rPr>
          <w:rFonts w:ascii="Arial" w:eastAsia="Arial" w:hAnsi="Arial" w:cs="Arial"/>
          <w:bCs/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42D52033" wp14:editId="05412F14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1EA">
        <w:rPr>
          <w:rFonts w:ascii="Arial" w:eastAsia="Arial" w:hAnsi="Arial" w:cs="Arial"/>
          <w:bCs/>
          <w:szCs w:val="24"/>
          <w:lang w:eastAsia="de-DE"/>
        </w:rPr>
        <w:t>CCNR-ZKR/ADN/WP.15/AC.2/201</w:t>
      </w:r>
      <w:r w:rsidR="00DD51EA" w:rsidRPr="00DD51EA">
        <w:rPr>
          <w:rFonts w:ascii="Arial" w:eastAsia="Arial" w:hAnsi="Arial" w:cs="Arial"/>
          <w:bCs/>
          <w:szCs w:val="24"/>
          <w:lang w:eastAsia="de-DE"/>
        </w:rPr>
        <w:t>9</w:t>
      </w:r>
      <w:r w:rsidRPr="00DD51EA">
        <w:rPr>
          <w:rFonts w:ascii="Arial" w:eastAsia="Arial" w:hAnsi="Arial" w:cs="Arial"/>
          <w:bCs/>
          <w:szCs w:val="24"/>
          <w:lang w:eastAsia="de-DE"/>
        </w:rPr>
        <w:t>/</w:t>
      </w:r>
      <w:r w:rsidR="00B17FFC">
        <w:rPr>
          <w:rFonts w:ascii="Arial" w:eastAsia="Arial" w:hAnsi="Arial" w:cs="Arial"/>
          <w:bCs/>
          <w:szCs w:val="24"/>
          <w:lang w:eastAsia="de-DE"/>
        </w:rPr>
        <w:t>31</w:t>
      </w:r>
    </w:p>
    <w:p w:rsidR="009D26E7" w:rsidRPr="007E310E" w:rsidRDefault="009D26E7" w:rsidP="009D26E7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7E310E">
        <w:rPr>
          <w:rFonts w:ascii="Arial" w:hAnsi="Arial" w:cs="Arial"/>
          <w:sz w:val="16"/>
          <w:szCs w:val="24"/>
          <w:lang w:eastAsia="de-DE"/>
        </w:rPr>
        <w:t>Allgemeine Verteilung</w:t>
      </w:r>
    </w:p>
    <w:p w:rsidR="009D26E7" w:rsidRPr="007E310E" w:rsidRDefault="00B17FFC" w:rsidP="009D26E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12</w:t>
      </w:r>
      <w:r w:rsidR="009D26E7" w:rsidRPr="007E310E">
        <w:rPr>
          <w:rFonts w:ascii="Arial" w:eastAsia="Arial" w:hAnsi="Arial" w:cs="Arial"/>
          <w:szCs w:val="24"/>
          <w:lang w:eastAsia="de-DE"/>
        </w:rPr>
        <w:t xml:space="preserve">. </w:t>
      </w:r>
      <w:r w:rsidR="007E310E" w:rsidRPr="007E310E">
        <w:rPr>
          <w:rFonts w:ascii="Arial" w:eastAsia="Arial" w:hAnsi="Arial" w:cs="Arial"/>
          <w:szCs w:val="24"/>
          <w:lang w:eastAsia="de-DE"/>
        </w:rPr>
        <w:t>Juni</w:t>
      </w:r>
      <w:r w:rsidR="009D26E7" w:rsidRPr="007E310E">
        <w:rPr>
          <w:rFonts w:ascii="Arial" w:eastAsia="Arial" w:hAnsi="Arial" w:cs="Arial"/>
          <w:szCs w:val="24"/>
          <w:lang w:eastAsia="de-DE"/>
        </w:rPr>
        <w:t xml:space="preserve"> 201</w:t>
      </w:r>
      <w:r w:rsidR="00DD51EA">
        <w:rPr>
          <w:rFonts w:ascii="Arial" w:eastAsia="Arial" w:hAnsi="Arial" w:cs="Arial"/>
          <w:szCs w:val="24"/>
          <w:lang w:eastAsia="de-DE"/>
        </w:rPr>
        <w:t>9</w:t>
      </w:r>
    </w:p>
    <w:p w:rsidR="009D26E7" w:rsidRPr="007E310E" w:rsidRDefault="009D26E7" w:rsidP="009D26E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7E310E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7E310E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DD51EA">
        <w:rPr>
          <w:rFonts w:ascii="Arial" w:eastAsia="Arial" w:hAnsi="Arial" w:cs="Arial"/>
          <w:sz w:val="16"/>
          <w:szCs w:val="24"/>
          <w:lang w:eastAsia="de-DE"/>
        </w:rPr>
        <w:t>German</w:t>
      </w:r>
    </w:p>
    <w:p w:rsidR="009D26E7" w:rsidRPr="007E310E" w:rsidRDefault="009D26E7" w:rsidP="009D26E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9D26E7" w:rsidRPr="007E310E" w:rsidRDefault="009D26E7" w:rsidP="009D26E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GEMEINSAME EXPERTENTAGUNG FÜR DIE DEM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ÜBEREINKOMMEN ÜBER DIE INTERNATIONALE BEFÖRDERUNG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VON GEFÄHRLICHEN GÜTERN AUF BINNENWASSERSTRASSEN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BEIGEFÜGTE VERORDNUNG (ADN)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(SICHERHEITSAUSSCHUSS)</w:t>
      </w:r>
    </w:p>
    <w:p w:rsidR="009D26E7" w:rsidRPr="007E310E" w:rsidRDefault="00DD51EA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DD51EA">
        <w:rPr>
          <w:rFonts w:ascii="Arial" w:hAnsi="Arial"/>
          <w:sz w:val="16"/>
          <w:szCs w:val="24"/>
        </w:rPr>
        <w:t>(35. Tagung, Genf, 26. bis 30. August 2019)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7E310E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B17FFC">
        <w:rPr>
          <w:rFonts w:ascii="Arial" w:hAnsi="Arial" w:cs="Arial"/>
          <w:sz w:val="16"/>
          <w:szCs w:val="16"/>
          <w:lang w:eastAsia="en-US"/>
        </w:rPr>
        <w:t>4 b)</w:t>
      </w:r>
      <w:r w:rsidRPr="007E310E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:rsidR="009D26E7" w:rsidRPr="007E310E" w:rsidRDefault="009D26E7" w:rsidP="004E74C0">
      <w:pPr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7E310E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</w:t>
      </w:r>
      <w:r w:rsidR="00231A2D">
        <w:rPr>
          <w:rFonts w:ascii="Arial" w:hAnsi="Arial" w:cs="Arial"/>
          <w:b/>
          <w:sz w:val="16"/>
          <w:szCs w:val="16"/>
          <w:lang w:eastAsia="en-US"/>
        </w:rPr>
        <w:t xml:space="preserve">: </w:t>
      </w:r>
      <w:r w:rsidR="00231A2D" w:rsidRPr="004B1815">
        <w:rPr>
          <w:rFonts w:ascii="Arial" w:hAnsi="Arial" w:cs="Arial"/>
          <w:b/>
          <w:sz w:val="16"/>
          <w:szCs w:val="16"/>
          <w:lang w:eastAsia="en-US"/>
        </w:rPr>
        <w:t>Weitere Vorschläge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771690" w:rsidRPr="000B7D4A" w:rsidRDefault="00771690" w:rsidP="00771690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center"/>
        <w:textAlignment w:val="auto"/>
        <w:rPr>
          <w:b/>
          <w:noProof/>
          <w:snapToGrid w:val="0"/>
          <w:sz w:val="24"/>
          <w:szCs w:val="24"/>
          <w:u w:val="single"/>
        </w:rPr>
      </w:pPr>
    </w:p>
    <w:p w:rsidR="00771690" w:rsidRPr="000B7D4A" w:rsidRDefault="00771690" w:rsidP="00771690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center"/>
        <w:textAlignment w:val="auto"/>
        <w:rPr>
          <w:b/>
          <w:noProof/>
          <w:snapToGrid w:val="0"/>
          <w:sz w:val="24"/>
          <w:szCs w:val="24"/>
          <w:u w:val="single"/>
        </w:rPr>
      </w:pPr>
    </w:p>
    <w:p w:rsidR="00771690" w:rsidRPr="001F7796" w:rsidRDefault="00771690" w:rsidP="00AB7A38">
      <w:pPr>
        <w:widowControl/>
        <w:suppressAutoHyphens/>
        <w:overflowPunct/>
        <w:autoSpaceDE/>
        <w:autoSpaceDN/>
        <w:adjustRightInd/>
        <w:snapToGrid w:val="0"/>
        <w:spacing w:line="240" w:lineRule="atLeast"/>
        <w:ind w:right="565" w:firstLine="0"/>
        <w:textAlignment w:val="auto"/>
        <w:rPr>
          <w:b/>
          <w:noProof/>
          <w:sz w:val="28"/>
          <w:szCs w:val="28"/>
        </w:rPr>
      </w:pPr>
      <w:r w:rsidRPr="00A62791">
        <w:rPr>
          <w:b/>
          <w:noProof/>
          <w:snapToGrid w:val="0"/>
          <w:sz w:val="28"/>
          <w:szCs w:val="28"/>
        </w:rPr>
        <w:t>Änderung von 8.1.2.</w:t>
      </w:r>
      <w:r w:rsidR="004E2118">
        <w:rPr>
          <w:b/>
          <w:noProof/>
          <w:snapToGrid w:val="0"/>
          <w:sz w:val="28"/>
          <w:szCs w:val="28"/>
        </w:rPr>
        <w:t>2</w:t>
      </w:r>
      <w:r w:rsidRPr="00A62791">
        <w:rPr>
          <w:b/>
          <w:noProof/>
          <w:snapToGrid w:val="0"/>
          <w:sz w:val="28"/>
          <w:szCs w:val="28"/>
        </w:rPr>
        <w:t xml:space="preserve"> </w:t>
      </w:r>
      <w:r w:rsidR="0072242A">
        <w:rPr>
          <w:b/>
          <w:noProof/>
          <w:snapToGrid w:val="0"/>
          <w:sz w:val="28"/>
          <w:szCs w:val="28"/>
        </w:rPr>
        <w:t xml:space="preserve">: </w:t>
      </w:r>
      <w:r w:rsidRPr="00A62791">
        <w:rPr>
          <w:b/>
          <w:noProof/>
          <w:snapToGrid w:val="0"/>
          <w:sz w:val="28"/>
          <w:szCs w:val="28"/>
        </w:rPr>
        <w:t xml:space="preserve">Mitführen von Dokumenten </w:t>
      </w:r>
      <w:r w:rsidRPr="001F7796">
        <w:rPr>
          <w:b/>
          <w:noProof/>
          <w:snapToGrid w:val="0"/>
          <w:sz w:val="28"/>
          <w:szCs w:val="28"/>
        </w:rPr>
        <w:t>(</w:t>
      </w:r>
      <w:r w:rsidR="00A62791" w:rsidRPr="001F7796">
        <w:rPr>
          <w:b/>
          <w:noProof/>
          <w:snapToGrid w:val="0"/>
          <w:sz w:val="28"/>
          <w:szCs w:val="28"/>
        </w:rPr>
        <w:t>Trockengüterschifffahrt</w:t>
      </w:r>
      <w:r w:rsidRPr="001F7796">
        <w:rPr>
          <w:b/>
          <w:noProof/>
          <w:snapToGrid w:val="0"/>
          <w:sz w:val="28"/>
          <w:szCs w:val="28"/>
        </w:rPr>
        <w:t>)</w:t>
      </w:r>
    </w:p>
    <w:p w:rsidR="00771690" w:rsidRPr="00962008" w:rsidRDefault="00771690" w:rsidP="00AB7A38">
      <w:pPr>
        <w:keepNext/>
        <w:keepLines/>
        <w:widowControl/>
        <w:suppressAutoHyphens/>
        <w:overflowPunct/>
        <w:autoSpaceDE/>
        <w:autoSpaceDN/>
        <w:adjustRightInd/>
        <w:spacing w:before="360" w:after="240" w:line="270" w:lineRule="exact"/>
        <w:ind w:right="565" w:firstLine="0"/>
        <w:textAlignment w:val="auto"/>
        <w:rPr>
          <w:b/>
          <w:bCs/>
          <w:vertAlign w:val="superscript"/>
          <w:lang w:eastAsia="en-US"/>
        </w:rPr>
      </w:pPr>
      <w:r>
        <w:rPr>
          <w:b/>
          <w:sz w:val="24"/>
          <w:lang w:eastAsia="en-US"/>
        </w:rPr>
        <w:t>Gemeinsam e</w:t>
      </w:r>
      <w:r w:rsidRPr="004412EC">
        <w:rPr>
          <w:b/>
          <w:spacing w:val="-4"/>
          <w:sz w:val="24"/>
          <w:lang w:eastAsia="en-US"/>
        </w:rPr>
        <w:t>ingereicht von der Europäischen Binnenschifffahrts-Union (EBU) und der Europäischen Schifferorganisation (ESO)</w:t>
      </w:r>
      <w:r w:rsidRPr="004412EC">
        <w:rPr>
          <w:bCs/>
          <w:vertAlign w:val="superscript"/>
          <w:lang w:eastAsia="en-US"/>
        </w:rPr>
        <w:t xml:space="preserve"> </w:t>
      </w:r>
      <w:proofErr w:type="gramStart"/>
      <w:r w:rsidRPr="004412EC">
        <w:rPr>
          <w:bCs/>
          <w:vertAlign w:val="superscript"/>
          <w:lang w:eastAsia="en-US"/>
        </w:rPr>
        <w:footnoteReference w:customMarkFollows="1" w:id="1"/>
        <w:t>*,</w:t>
      </w:r>
      <w:r w:rsidRPr="004412EC">
        <w:rPr>
          <w:bCs/>
          <w:vertAlign w:val="superscript"/>
          <w:lang w:eastAsia="en-US"/>
        </w:rPr>
        <w:footnoteReference w:customMarkFollows="1" w:id="2"/>
        <w:t>*</w:t>
      </w:r>
      <w:proofErr w:type="gramEnd"/>
      <w:r w:rsidRPr="004412EC">
        <w:rPr>
          <w:bCs/>
          <w:vertAlign w:val="superscript"/>
          <w:lang w:eastAsia="en-US"/>
        </w:rPr>
        <w:t>*</w:t>
      </w:r>
    </w:p>
    <w:p w:rsidR="00A62791" w:rsidRPr="00A62791" w:rsidRDefault="00A62791" w:rsidP="00AB7A38">
      <w:pPr>
        <w:widowControl/>
        <w:suppressAutoHyphens/>
        <w:overflowPunct/>
        <w:autoSpaceDE/>
        <w:autoSpaceDN/>
        <w:adjustRightInd/>
        <w:ind w:left="0" w:right="565" w:firstLine="0"/>
        <w:textAlignment w:val="auto"/>
        <w:rPr>
          <w:color w:val="000000"/>
          <w:u w:val="single"/>
          <w:lang w:eastAsia="en-US"/>
        </w:rPr>
      </w:pPr>
    </w:p>
    <w:p w:rsidR="00AB7A38" w:rsidRDefault="00AB7A38" w:rsidP="00AB7A38">
      <w:pPr>
        <w:widowControl/>
        <w:suppressAutoHyphens/>
        <w:overflowPunct/>
        <w:autoSpaceDE/>
        <w:autoSpaceDN/>
        <w:adjustRightInd/>
        <w:ind w:left="0" w:right="565" w:firstLine="0"/>
        <w:textAlignment w:val="auto"/>
        <w:rPr>
          <w:b/>
          <w:color w:val="000000"/>
          <w:sz w:val="28"/>
          <w:szCs w:val="28"/>
          <w:lang w:eastAsia="en-US"/>
        </w:rPr>
      </w:pPr>
    </w:p>
    <w:p w:rsidR="00A62791" w:rsidRPr="00AB7A38" w:rsidRDefault="00A62791" w:rsidP="00AB7A38">
      <w:pPr>
        <w:widowControl/>
        <w:suppressAutoHyphens/>
        <w:overflowPunct/>
        <w:autoSpaceDE/>
        <w:autoSpaceDN/>
        <w:adjustRightInd/>
        <w:ind w:left="0" w:right="565" w:firstLine="0"/>
        <w:textAlignment w:val="auto"/>
        <w:rPr>
          <w:b/>
          <w:color w:val="000000"/>
          <w:sz w:val="28"/>
          <w:szCs w:val="28"/>
          <w:lang w:eastAsia="en-US"/>
        </w:rPr>
      </w:pPr>
      <w:r w:rsidRPr="00AB7A38">
        <w:rPr>
          <w:b/>
          <w:color w:val="000000"/>
          <w:sz w:val="28"/>
          <w:szCs w:val="28"/>
          <w:lang w:eastAsia="en-US"/>
        </w:rPr>
        <w:t>Problem</w:t>
      </w:r>
    </w:p>
    <w:p w:rsidR="00A62791" w:rsidRPr="00A62791" w:rsidRDefault="00A62791" w:rsidP="00AB7A38">
      <w:pPr>
        <w:widowControl/>
        <w:suppressAutoHyphens/>
        <w:overflowPunct/>
        <w:autoSpaceDE/>
        <w:autoSpaceDN/>
        <w:adjustRightInd/>
        <w:ind w:left="0" w:right="565" w:firstLine="0"/>
        <w:textAlignment w:val="auto"/>
        <w:rPr>
          <w:color w:val="000000"/>
          <w:u w:val="single"/>
          <w:lang w:eastAsia="en-US"/>
        </w:rPr>
      </w:pPr>
    </w:p>
    <w:p w:rsidR="00A62791" w:rsidRPr="00A62791" w:rsidRDefault="00A62791" w:rsidP="00AB7A38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567" w:right="565" w:hanging="567"/>
        <w:textAlignment w:val="auto"/>
        <w:rPr>
          <w:color w:val="000000"/>
          <w:lang w:eastAsia="en-US"/>
        </w:rPr>
      </w:pPr>
      <w:r w:rsidRPr="00A62791">
        <w:rPr>
          <w:color w:val="000000"/>
          <w:lang w:eastAsia="en-US"/>
        </w:rPr>
        <w:t>1.</w:t>
      </w:r>
      <w:r w:rsidRPr="00A62791">
        <w:rPr>
          <w:color w:val="000000"/>
          <w:lang w:eastAsia="en-US"/>
        </w:rPr>
        <w:tab/>
        <w:t xml:space="preserve">Mit Inkraftsetzung des neuen Explosionsschutzkonzeptes im ADN 2019 wird in Unterabschnitt 8.1.2.2 verlangt, bestimmte Dokumente mitzuführen, die vorher noch nicht mitgeführt werden mussten. </w:t>
      </w:r>
    </w:p>
    <w:p w:rsidR="00A62791" w:rsidRPr="00A62791" w:rsidRDefault="00A62791" w:rsidP="00AB7A38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567" w:right="565" w:hanging="567"/>
        <w:textAlignment w:val="auto"/>
        <w:rPr>
          <w:color w:val="000000"/>
          <w:lang w:eastAsia="en-US"/>
        </w:rPr>
      </w:pPr>
    </w:p>
    <w:p w:rsidR="00A62791" w:rsidRPr="00A62791" w:rsidRDefault="00A62791" w:rsidP="00AB7A38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567" w:right="565" w:hanging="567"/>
        <w:textAlignment w:val="auto"/>
        <w:rPr>
          <w:color w:val="000000"/>
          <w:lang w:eastAsia="en-US"/>
        </w:rPr>
      </w:pPr>
      <w:r w:rsidRPr="00A62791">
        <w:rPr>
          <w:color w:val="000000"/>
          <w:lang w:eastAsia="en-US"/>
        </w:rPr>
        <w:tab/>
        <w:t>Dazu gehören die Buchstaben g) und h) aus 8.1.2.2.</w:t>
      </w:r>
    </w:p>
    <w:p w:rsidR="00A62791" w:rsidRPr="00A62791" w:rsidRDefault="00A62791" w:rsidP="00AB7A38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567" w:right="565" w:hanging="567"/>
        <w:textAlignment w:val="auto"/>
        <w:rPr>
          <w:color w:val="000000"/>
          <w:lang w:eastAsia="en-US"/>
        </w:rPr>
      </w:pPr>
    </w:p>
    <w:p w:rsidR="00A62791" w:rsidRDefault="00A62791" w:rsidP="00AB7A38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567" w:right="565" w:hanging="567"/>
        <w:textAlignment w:val="auto"/>
        <w:rPr>
          <w:color w:val="000000"/>
          <w:lang w:eastAsia="en-US"/>
        </w:rPr>
      </w:pPr>
      <w:r w:rsidRPr="00A62791">
        <w:rPr>
          <w:color w:val="000000"/>
          <w:lang w:eastAsia="en-US"/>
        </w:rPr>
        <w:tab/>
        <w:t>Buchstabe g) lautet:</w:t>
      </w:r>
    </w:p>
    <w:p w:rsidR="00B17FFC" w:rsidRPr="00A62791" w:rsidRDefault="00B17FFC" w:rsidP="00AB7A38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567" w:right="565" w:hanging="567"/>
        <w:textAlignment w:val="auto"/>
        <w:rPr>
          <w:color w:val="000000"/>
          <w:lang w:eastAsia="en-US"/>
        </w:rPr>
      </w:pPr>
    </w:p>
    <w:p w:rsidR="00A62791" w:rsidRPr="00A62791" w:rsidRDefault="00DD6C25" w:rsidP="00AB7A38">
      <w:pPr>
        <w:widowControl/>
        <w:tabs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right="565" w:firstLine="0"/>
        <w:textAlignment w:val="auto"/>
        <w:rPr>
          <w:color w:val="000000"/>
          <w:lang w:eastAsia="en-US"/>
        </w:rPr>
      </w:pPr>
      <w:r>
        <w:rPr>
          <w:color w:val="000000"/>
          <w:lang w:eastAsia="en-US"/>
        </w:rPr>
        <w:t>„</w:t>
      </w:r>
      <w:r w:rsidR="001F7796">
        <w:rPr>
          <w:color w:val="000000"/>
          <w:lang w:eastAsia="en-US"/>
        </w:rPr>
        <w:t xml:space="preserve">g) </w:t>
      </w:r>
      <w:r w:rsidR="00A62791" w:rsidRPr="00A62791">
        <w:rPr>
          <w:color w:val="000000"/>
          <w:lang w:eastAsia="en-US"/>
        </w:rPr>
        <w:t>ein Plan mit den Grenzen der Zonen, auf dem die in der jeweiligen Zone installierten elektrischen und nicht-elektrischen Anlagen und Geräte zum Einsatz in explosionsgefährdeten Bereichen eingetragen sind;</w:t>
      </w:r>
      <w:r>
        <w:rPr>
          <w:color w:val="000000"/>
          <w:lang w:eastAsia="en-US"/>
        </w:rPr>
        <w:t>“.</w:t>
      </w:r>
    </w:p>
    <w:p w:rsidR="00A62791" w:rsidRPr="00A62791" w:rsidRDefault="00A62791" w:rsidP="00AB7A38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567" w:right="565" w:hanging="567"/>
        <w:textAlignment w:val="auto"/>
        <w:rPr>
          <w:color w:val="000000"/>
          <w:lang w:eastAsia="en-US"/>
        </w:rPr>
      </w:pPr>
    </w:p>
    <w:p w:rsidR="00A62791" w:rsidRPr="00A62791" w:rsidRDefault="00A62791" w:rsidP="00AB7A38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567" w:right="565" w:hanging="567"/>
        <w:textAlignment w:val="auto"/>
        <w:rPr>
          <w:color w:val="000000"/>
          <w:lang w:eastAsia="en-US"/>
        </w:rPr>
      </w:pPr>
      <w:r w:rsidRPr="00A62791">
        <w:rPr>
          <w:color w:val="000000"/>
          <w:lang w:eastAsia="en-US"/>
        </w:rPr>
        <w:tab/>
        <w:t>Buchstabe h) beginnt mit:</w:t>
      </w:r>
    </w:p>
    <w:p w:rsidR="00A62791" w:rsidRPr="00A62791" w:rsidRDefault="00A62791" w:rsidP="00AB7A38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right="565" w:hanging="567"/>
        <w:textAlignment w:val="auto"/>
        <w:rPr>
          <w:color w:val="000000"/>
          <w:lang w:eastAsia="en-US"/>
        </w:rPr>
      </w:pPr>
    </w:p>
    <w:p w:rsidR="00A62791" w:rsidRPr="00A62791" w:rsidRDefault="00DD6C25" w:rsidP="00AB7A38">
      <w:pPr>
        <w:widowControl/>
        <w:tabs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1701" w:right="565" w:hanging="567"/>
        <w:textAlignment w:val="auto"/>
        <w:rPr>
          <w:color w:val="000000"/>
          <w:lang w:eastAsia="en-US"/>
        </w:rPr>
      </w:pPr>
      <w:r>
        <w:rPr>
          <w:color w:val="000000"/>
          <w:lang w:eastAsia="en-US"/>
        </w:rPr>
        <w:t>„</w:t>
      </w:r>
      <w:r w:rsidR="001F7796">
        <w:rPr>
          <w:color w:val="000000"/>
          <w:lang w:eastAsia="en-US"/>
        </w:rPr>
        <w:t>h) E</w:t>
      </w:r>
      <w:r w:rsidR="00A62791" w:rsidRPr="00A62791">
        <w:rPr>
          <w:color w:val="000000"/>
          <w:lang w:eastAsia="en-US"/>
        </w:rPr>
        <w:t>ine Liste der unter g) aufgeführten Geräte mit folgenden Angaben:</w:t>
      </w:r>
    </w:p>
    <w:p w:rsidR="00A62791" w:rsidRPr="00A62791" w:rsidRDefault="00A62791" w:rsidP="00AB7A38">
      <w:pPr>
        <w:widowControl/>
        <w:numPr>
          <w:ilvl w:val="0"/>
          <w:numId w:val="5"/>
        </w:numPr>
        <w:tabs>
          <w:tab w:val="left" w:pos="1701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1418" w:right="565" w:firstLine="0"/>
        <w:textAlignment w:val="auto"/>
        <w:rPr>
          <w:color w:val="000000"/>
          <w:lang w:eastAsia="en-US"/>
        </w:rPr>
      </w:pPr>
      <w:r w:rsidRPr="00A62791">
        <w:rPr>
          <w:color w:val="000000"/>
          <w:lang w:eastAsia="en-US"/>
        </w:rPr>
        <w:t>(sinngemäß): Geräte zum Einsatz in Zone 1</w:t>
      </w:r>
    </w:p>
    <w:p w:rsidR="00A62791" w:rsidRPr="00A62791" w:rsidRDefault="00A62791" w:rsidP="00AB7A38">
      <w:pPr>
        <w:widowControl/>
        <w:numPr>
          <w:ilvl w:val="0"/>
          <w:numId w:val="5"/>
        </w:numPr>
        <w:tabs>
          <w:tab w:val="left" w:pos="1701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1418" w:right="565" w:firstLine="0"/>
        <w:textAlignment w:val="auto"/>
        <w:rPr>
          <w:color w:val="000000"/>
          <w:lang w:eastAsia="en-US"/>
        </w:rPr>
      </w:pPr>
      <w:r w:rsidRPr="00A62791">
        <w:rPr>
          <w:color w:val="000000"/>
          <w:lang w:eastAsia="en-US"/>
        </w:rPr>
        <w:t>(sinngemäß): Geräte zum Einsatz in Zone 2</w:t>
      </w:r>
      <w:r w:rsidR="00DD6C25">
        <w:rPr>
          <w:color w:val="000000"/>
          <w:lang w:eastAsia="en-US"/>
        </w:rPr>
        <w:t>„.</w:t>
      </w:r>
    </w:p>
    <w:p w:rsidR="00A62791" w:rsidRPr="00A62791" w:rsidRDefault="00A62791" w:rsidP="00AB7A38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567" w:right="565" w:hanging="567"/>
        <w:textAlignment w:val="auto"/>
        <w:rPr>
          <w:color w:val="000000"/>
          <w:lang w:eastAsia="en-US"/>
        </w:rPr>
      </w:pPr>
    </w:p>
    <w:p w:rsidR="00B17FFC" w:rsidRDefault="00B17FFC" w:rsidP="00AB7A38">
      <w:pPr>
        <w:widowControl/>
        <w:overflowPunct/>
        <w:autoSpaceDE/>
        <w:autoSpaceDN/>
        <w:adjustRightInd/>
        <w:ind w:left="0" w:right="565" w:firstLine="0"/>
        <w:textAlignment w:val="auto"/>
        <w:rPr>
          <w:color w:val="000000"/>
          <w:lang w:eastAsia="en-US"/>
        </w:rPr>
      </w:pPr>
      <w:r>
        <w:rPr>
          <w:color w:val="000000"/>
          <w:lang w:eastAsia="en-US"/>
        </w:rPr>
        <w:br w:type="page"/>
      </w:r>
    </w:p>
    <w:p w:rsidR="00A62791" w:rsidRPr="00A62791" w:rsidRDefault="00A62791" w:rsidP="00AB7A38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567" w:right="565" w:hanging="567"/>
        <w:textAlignment w:val="auto"/>
        <w:rPr>
          <w:color w:val="000000"/>
          <w:lang w:eastAsia="en-US"/>
        </w:rPr>
      </w:pPr>
      <w:r w:rsidRPr="00A62791">
        <w:rPr>
          <w:color w:val="000000"/>
          <w:lang w:eastAsia="en-US"/>
        </w:rPr>
        <w:lastRenderedPageBreak/>
        <w:t>2.</w:t>
      </w:r>
      <w:r w:rsidRPr="00A62791">
        <w:rPr>
          <w:color w:val="000000"/>
          <w:lang w:eastAsia="en-US"/>
        </w:rPr>
        <w:tab/>
        <w:t>Die Formulierung der Buchstaben g) und h) erweckt den Eindruck, dass alle Trockengüterschiffe ausnahmslos über einen Zonenplan und die Listen mit Anlagen und Geräte verfügen müssen.</w:t>
      </w:r>
    </w:p>
    <w:p w:rsidR="00A62791" w:rsidRPr="00A62791" w:rsidRDefault="00A62791" w:rsidP="00AB7A38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567" w:right="565" w:hanging="567"/>
        <w:textAlignment w:val="auto"/>
        <w:rPr>
          <w:color w:val="000000"/>
          <w:lang w:eastAsia="en-US"/>
        </w:rPr>
      </w:pPr>
    </w:p>
    <w:p w:rsidR="00A62791" w:rsidRPr="00A62791" w:rsidRDefault="00A62791" w:rsidP="00AB7A38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567" w:right="565" w:hanging="567"/>
        <w:textAlignment w:val="auto"/>
        <w:rPr>
          <w:color w:val="000000"/>
          <w:lang w:eastAsia="en-US"/>
        </w:rPr>
      </w:pPr>
      <w:r w:rsidRPr="00A62791">
        <w:rPr>
          <w:color w:val="000000"/>
          <w:lang w:eastAsia="en-US"/>
        </w:rPr>
        <w:t>3.</w:t>
      </w:r>
      <w:r w:rsidRPr="00A62791">
        <w:rPr>
          <w:color w:val="000000"/>
          <w:lang w:eastAsia="en-US"/>
        </w:rPr>
        <w:tab/>
        <w:t>Die Forderungen der Buchstaben g) und h) können nur solche Schiffe betreffen, die Stoffe befördern wollen, für die EX in Kapitel 3.2 Tabelle A Spalte (9) eingetragen ist.</w:t>
      </w:r>
    </w:p>
    <w:p w:rsidR="00A62791" w:rsidRPr="00A62791" w:rsidRDefault="00A62791" w:rsidP="00AB7A38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567" w:right="565" w:hanging="567"/>
        <w:textAlignment w:val="auto"/>
        <w:rPr>
          <w:color w:val="000000"/>
          <w:lang w:eastAsia="en-US"/>
        </w:rPr>
      </w:pPr>
    </w:p>
    <w:p w:rsidR="00E853C3" w:rsidRDefault="00E853C3" w:rsidP="00AB7A38">
      <w:pPr>
        <w:widowControl/>
        <w:overflowPunct/>
        <w:autoSpaceDE/>
        <w:autoSpaceDN/>
        <w:adjustRightInd/>
        <w:ind w:left="0" w:right="565" w:firstLine="0"/>
        <w:textAlignment w:val="auto"/>
        <w:rPr>
          <w:b/>
          <w:color w:val="000000"/>
          <w:sz w:val="24"/>
          <w:szCs w:val="24"/>
          <w:lang w:eastAsia="en-US"/>
        </w:rPr>
      </w:pPr>
    </w:p>
    <w:p w:rsidR="00A62791" w:rsidRPr="00AB7A38" w:rsidRDefault="00A62791" w:rsidP="00AB7A38">
      <w:pPr>
        <w:widowControl/>
        <w:suppressAutoHyphens/>
        <w:overflowPunct/>
        <w:autoSpaceDE/>
        <w:autoSpaceDN/>
        <w:adjustRightInd/>
        <w:ind w:left="0" w:right="565" w:firstLine="0"/>
        <w:textAlignment w:val="auto"/>
        <w:rPr>
          <w:b/>
          <w:color w:val="000000"/>
          <w:sz w:val="28"/>
          <w:szCs w:val="28"/>
          <w:lang w:eastAsia="en-US"/>
        </w:rPr>
      </w:pPr>
      <w:r w:rsidRPr="00AB7A38">
        <w:rPr>
          <w:b/>
          <w:color w:val="000000"/>
          <w:sz w:val="28"/>
          <w:szCs w:val="28"/>
          <w:lang w:eastAsia="en-US"/>
        </w:rPr>
        <w:t>Lösungsvorschlag</w:t>
      </w:r>
    </w:p>
    <w:p w:rsidR="00A62791" w:rsidRPr="00A62791" w:rsidRDefault="00A62791" w:rsidP="00AB7A38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567" w:right="565" w:hanging="567"/>
        <w:textAlignment w:val="auto"/>
        <w:rPr>
          <w:color w:val="000000"/>
          <w:lang w:eastAsia="en-US"/>
        </w:rPr>
      </w:pPr>
    </w:p>
    <w:p w:rsidR="00A62791" w:rsidRPr="00A62791" w:rsidRDefault="00A62791" w:rsidP="00AB7A38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567" w:right="565" w:hanging="567"/>
        <w:textAlignment w:val="auto"/>
        <w:rPr>
          <w:color w:val="000000"/>
          <w:lang w:eastAsia="en-US"/>
        </w:rPr>
      </w:pPr>
      <w:r w:rsidRPr="00A62791">
        <w:rPr>
          <w:color w:val="000000"/>
          <w:lang w:eastAsia="en-US"/>
        </w:rPr>
        <w:t xml:space="preserve">4. </w:t>
      </w:r>
      <w:r w:rsidRPr="00A62791">
        <w:rPr>
          <w:color w:val="000000"/>
          <w:lang w:eastAsia="en-US"/>
        </w:rPr>
        <w:tab/>
        <w:t>Das Binnenschifffahrtsgewerbe bittet um Prüfung des Sachverhalts, eine Bestätigung der vorstehenden Interpretation und ggf. eine Änderung im ADN 2021, z.B. durch folgende Formulierung:</w:t>
      </w:r>
    </w:p>
    <w:p w:rsidR="00A62791" w:rsidRPr="00A62791" w:rsidRDefault="00A62791" w:rsidP="00AB7A38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ind w:left="567" w:right="565" w:hanging="567"/>
        <w:textAlignment w:val="auto"/>
        <w:rPr>
          <w:color w:val="000000"/>
          <w:lang w:eastAsia="en-US"/>
        </w:rPr>
      </w:pPr>
    </w:p>
    <w:p w:rsidR="00A62791" w:rsidRDefault="00A62791" w:rsidP="00AB7A38">
      <w:pPr>
        <w:widowControl/>
        <w:tabs>
          <w:tab w:val="left" w:pos="567"/>
          <w:tab w:val="left" w:pos="1701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right="565" w:firstLine="0"/>
        <w:textAlignment w:val="auto"/>
        <w:rPr>
          <w:color w:val="000000"/>
          <w:lang w:eastAsia="en-US"/>
        </w:rPr>
      </w:pPr>
      <w:r w:rsidRPr="00A62791">
        <w:rPr>
          <w:color w:val="000000"/>
          <w:lang w:eastAsia="en-US"/>
        </w:rPr>
        <w:t xml:space="preserve">Die Buchstaben g) und h) aus </w:t>
      </w:r>
      <w:bookmarkStart w:id="1" w:name="_Hlk10809177"/>
      <w:r w:rsidRPr="00A62791">
        <w:rPr>
          <w:color w:val="000000"/>
          <w:lang w:eastAsia="en-US"/>
        </w:rPr>
        <w:t xml:space="preserve">8.1.2.2 </w:t>
      </w:r>
      <w:bookmarkEnd w:id="1"/>
      <w:r w:rsidRPr="00A62791">
        <w:rPr>
          <w:color w:val="000000"/>
          <w:lang w:eastAsia="en-US"/>
        </w:rPr>
        <w:t>betreffen nur Schiffe, die Stoffe befördern wollen, für die EX in Kapitel 3.2 Tabelle A Spalte (9) eingetragen ist.</w:t>
      </w:r>
    </w:p>
    <w:p w:rsidR="00AB7A38" w:rsidRPr="00A62791" w:rsidRDefault="00AB7A38" w:rsidP="00AB7A38">
      <w:pPr>
        <w:widowControl/>
        <w:tabs>
          <w:tab w:val="left" w:pos="567"/>
          <w:tab w:val="left" w:pos="1701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right="565" w:firstLine="0"/>
        <w:textAlignment w:val="auto"/>
        <w:rPr>
          <w:color w:val="000000"/>
          <w:lang w:eastAsia="en-US"/>
        </w:rPr>
      </w:pPr>
    </w:p>
    <w:p w:rsidR="00771690" w:rsidRPr="00771690" w:rsidRDefault="00A62791" w:rsidP="00AB7A38">
      <w:pPr>
        <w:widowControl/>
        <w:overflowPunct/>
        <w:spacing w:before="120" w:line="240" w:lineRule="atLeast"/>
        <w:ind w:right="565" w:firstLine="0"/>
        <w:jc w:val="center"/>
        <w:textAlignment w:val="auto"/>
        <w:rPr>
          <w:rFonts w:ascii="Arial" w:hAnsi="Arial" w:cs="Arial"/>
          <w:b/>
          <w:sz w:val="16"/>
          <w:szCs w:val="16"/>
        </w:rPr>
      </w:pPr>
      <w:r w:rsidRPr="00A62791">
        <w:rPr>
          <w:color w:val="000000"/>
          <w:lang w:eastAsia="en-US"/>
        </w:rPr>
        <w:t>***</w:t>
      </w:r>
    </w:p>
    <w:sectPr w:rsidR="00771690" w:rsidRPr="00771690" w:rsidSect="00DD51EA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F00" w:rsidRDefault="00A84F00" w:rsidP="006038DC">
      <w:r>
        <w:separator/>
      </w:r>
    </w:p>
  </w:endnote>
  <w:endnote w:type="continuationSeparator" w:id="0">
    <w:p w:rsidR="00A84F00" w:rsidRDefault="00A84F00" w:rsidP="0060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7" w:rsidRPr="00962008" w:rsidRDefault="003B2631" w:rsidP="009D26E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962008">
      <w:rPr>
        <w:rFonts w:ascii="Arial" w:hAnsi="Arial"/>
        <w:noProof/>
        <w:snapToGrid w:val="0"/>
        <w:sz w:val="12"/>
        <w:szCs w:val="24"/>
        <w:lang w:val="fr-FR"/>
      </w:rPr>
      <w:t>m</w:t>
    </w:r>
    <w:r w:rsidR="009D26E7" w:rsidRPr="00962008">
      <w:rPr>
        <w:rFonts w:ascii="Arial" w:hAnsi="Arial"/>
        <w:noProof/>
        <w:snapToGrid w:val="0"/>
        <w:sz w:val="12"/>
        <w:szCs w:val="24"/>
        <w:lang w:val="fr-FR"/>
      </w:rPr>
      <w:t>m/adn_wp15_ac2_201</w:t>
    </w:r>
    <w:r w:rsidR="00DD51EA">
      <w:rPr>
        <w:rFonts w:ascii="Arial" w:hAnsi="Arial"/>
        <w:noProof/>
        <w:snapToGrid w:val="0"/>
        <w:sz w:val="12"/>
        <w:szCs w:val="24"/>
        <w:lang w:val="fr-FR"/>
      </w:rPr>
      <w:t>9</w:t>
    </w:r>
    <w:r w:rsidR="009D26E7" w:rsidRPr="00962008">
      <w:rPr>
        <w:rFonts w:ascii="Arial" w:hAnsi="Arial"/>
        <w:noProof/>
        <w:snapToGrid w:val="0"/>
        <w:sz w:val="12"/>
        <w:szCs w:val="24"/>
        <w:lang w:val="fr-FR"/>
      </w:rPr>
      <w:t>_</w:t>
    </w:r>
    <w:r w:rsidR="00B17FFC">
      <w:rPr>
        <w:rFonts w:ascii="Arial" w:hAnsi="Arial"/>
        <w:noProof/>
        <w:snapToGrid w:val="0"/>
        <w:sz w:val="12"/>
        <w:szCs w:val="24"/>
        <w:lang w:val="fr-FR"/>
      </w:rPr>
      <w:t>31</w:t>
    </w:r>
    <w:r w:rsidR="009D26E7" w:rsidRPr="00962008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F00" w:rsidRDefault="00A84F00" w:rsidP="006038DC">
      <w:r>
        <w:separator/>
      </w:r>
    </w:p>
  </w:footnote>
  <w:footnote w:type="continuationSeparator" w:id="0">
    <w:p w:rsidR="00A84F00" w:rsidRDefault="00A84F00" w:rsidP="006038DC">
      <w:r>
        <w:continuationSeparator/>
      </w:r>
    </w:p>
  </w:footnote>
  <w:footnote w:id="1">
    <w:p w:rsidR="00771690" w:rsidRPr="00962008" w:rsidRDefault="00771690" w:rsidP="00771690">
      <w:pPr>
        <w:pStyle w:val="FootnoteText"/>
        <w:rPr>
          <w:lang w:val="de-DE"/>
        </w:rPr>
      </w:pPr>
      <w:r w:rsidRPr="005F51C2">
        <w:rPr>
          <w:lang w:val="fr-FR"/>
        </w:rPr>
        <w:tab/>
      </w:r>
      <w:r w:rsidRPr="00962008">
        <w:rPr>
          <w:rStyle w:val="FootnoteReference"/>
          <w:sz w:val="20"/>
          <w:lang w:val="de-DE"/>
        </w:rPr>
        <w:t>*</w:t>
      </w:r>
      <w:r w:rsidRPr="00962008">
        <w:rPr>
          <w:sz w:val="16"/>
          <w:szCs w:val="16"/>
          <w:lang w:val="de-DE"/>
        </w:rPr>
        <w:tab/>
      </w:r>
      <w:r w:rsidRPr="00947F64">
        <w:rPr>
          <w:lang w:val="de-DE"/>
        </w:rPr>
        <w:t>Von der UN-ECE in Englisch, Französisch und Russisch unter dem Aktenzeichen CCNR-ZKR/ADN/WP.15/AC.2/201</w:t>
      </w:r>
      <w:r>
        <w:rPr>
          <w:lang w:val="de-DE"/>
        </w:rPr>
        <w:t>9</w:t>
      </w:r>
      <w:r w:rsidRPr="00947F64">
        <w:rPr>
          <w:lang w:val="de-DE"/>
        </w:rPr>
        <w:t>/</w:t>
      </w:r>
      <w:r w:rsidR="00B17FFC">
        <w:rPr>
          <w:lang w:val="de-DE"/>
        </w:rPr>
        <w:t>31</w:t>
      </w:r>
      <w:r w:rsidRPr="00947F64">
        <w:rPr>
          <w:lang w:val="de-DE"/>
        </w:rPr>
        <w:t xml:space="preserve"> verteilt.</w:t>
      </w:r>
    </w:p>
  </w:footnote>
  <w:footnote w:id="2">
    <w:p w:rsidR="00771690" w:rsidRPr="00962008" w:rsidRDefault="00771690" w:rsidP="00771690">
      <w:pPr>
        <w:pStyle w:val="FootnoteText"/>
        <w:rPr>
          <w:lang w:val="de-DE"/>
        </w:rPr>
      </w:pPr>
      <w:r w:rsidRPr="00962008">
        <w:rPr>
          <w:lang w:val="de-DE"/>
        </w:rPr>
        <w:tab/>
      </w:r>
      <w:r w:rsidRPr="00962008">
        <w:rPr>
          <w:rStyle w:val="FootnoteReference"/>
          <w:sz w:val="20"/>
          <w:lang w:val="de-DE"/>
        </w:rPr>
        <w:t>**</w:t>
      </w:r>
      <w:r w:rsidRPr="00962008">
        <w:rPr>
          <w:lang w:val="de-DE"/>
        </w:rPr>
        <w:tab/>
      </w:r>
      <w:r w:rsidRPr="00947F64">
        <w:rPr>
          <w:lang w:val="de-DE"/>
        </w:rPr>
        <w:t>Gemäß dem Arbeitsprogramm des Binnenverkehrsausschusses für 2018-2019 (ECE/TRANS/2018/21/Add.1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7" w:rsidRDefault="009D26E7" w:rsidP="009D26E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8B0EB0">
      <w:rPr>
        <w:rFonts w:ascii="Arial" w:hAnsi="Arial"/>
        <w:snapToGrid w:val="0"/>
        <w:sz w:val="16"/>
        <w:szCs w:val="16"/>
      </w:rPr>
      <w:t>CCNR-ZKR/ADN/WP.15/AC.2/201</w:t>
    </w:r>
    <w:r w:rsidR="00DD51EA">
      <w:rPr>
        <w:rFonts w:ascii="Arial" w:hAnsi="Arial"/>
        <w:snapToGrid w:val="0"/>
        <w:sz w:val="16"/>
        <w:szCs w:val="16"/>
      </w:rPr>
      <w:t>9</w:t>
    </w:r>
    <w:r w:rsidRPr="008B0EB0">
      <w:rPr>
        <w:rFonts w:ascii="Arial" w:hAnsi="Arial"/>
        <w:snapToGrid w:val="0"/>
        <w:sz w:val="16"/>
        <w:szCs w:val="16"/>
      </w:rPr>
      <w:t>/</w:t>
    </w:r>
    <w:r w:rsidR="00B17FFC">
      <w:rPr>
        <w:rFonts w:ascii="Arial" w:hAnsi="Arial"/>
        <w:snapToGrid w:val="0"/>
        <w:sz w:val="16"/>
        <w:szCs w:val="16"/>
      </w:rPr>
      <w:t>31</w:t>
    </w:r>
  </w:p>
  <w:p w:rsidR="009D26E7" w:rsidRPr="008B0EB0" w:rsidRDefault="009D26E7" w:rsidP="009D26E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>
      <w:rPr>
        <w:rFonts w:ascii="Arial" w:hAnsi="Arial"/>
        <w:snapToGrid w:val="0"/>
        <w:sz w:val="16"/>
        <w:szCs w:val="16"/>
      </w:rPr>
      <w:t>Seite</w:t>
    </w:r>
    <w:r w:rsidRPr="008B0EB0">
      <w:rPr>
        <w:rFonts w:ascii="Arial" w:hAnsi="Arial"/>
        <w:snapToGrid w:val="0"/>
        <w:sz w:val="16"/>
        <w:szCs w:val="16"/>
      </w:rPr>
      <w:t xml:space="preserve"> </w:t>
    </w:r>
    <w:r w:rsidRPr="008B0EB0">
      <w:rPr>
        <w:rFonts w:ascii="Arial" w:hAnsi="Arial"/>
        <w:snapToGrid w:val="0"/>
        <w:sz w:val="16"/>
        <w:szCs w:val="16"/>
      </w:rPr>
      <w:fldChar w:fldCharType="begin"/>
    </w:r>
    <w:r w:rsidRPr="008B0EB0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8B0EB0">
      <w:rPr>
        <w:rFonts w:ascii="Arial" w:hAnsi="Arial"/>
        <w:snapToGrid w:val="0"/>
        <w:sz w:val="16"/>
        <w:szCs w:val="16"/>
      </w:rPr>
      <w:fldChar w:fldCharType="separate"/>
    </w:r>
    <w:r w:rsidR="00656BC5">
      <w:rPr>
        <w:rFonts w:ascii="Arial" w:hAnsi="Arial"/>
        <w:noProof/>
        <w:snapToGrid w:val="0"/>
        <w:sz w:val="16"/>
        <w:szCs w:val="16"/>
      </w:rPr>
      <w:t>3</w:t>
    </w:r>
    <w:r w:rsidRPr="008B0EB0">
      <w:rPr>
        <w:rFonts w:ascii="Arial" w:hAnsi="Arial"/>
        <w:snapToGrid w:val="0"/>
        <w:sz w:val="16"/>
        <w:szCs w:val="16"/>
      </w:rPr>
      <w:fldChar w:fldCharType="end"/>
    </w:r>
  </w:p>
  <w:p w:rsidR="0045374D" w:rsidRDefault="0045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C18"/>
    <w:multiLevelType w:val="hybridMultilevel"/>
    <w:tmpl w:val="902ED494"/>
    <w:lvl w:ilvl="0" w:tplc="A178EEB8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16CD"/>
    <w:multiLevelType w:val="hybridMultilevel"/>
    <w:tmpl w:val="43661D0E"/>
    <w:lvl w:ilvl="0" w:tplc="DC0A19EE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B"/>
    <w:rsid w:val="0001208F"/>
    <w:rsid w:val="0001303F"/>
    <w:rsid w:val="00016A8D"/>
    <w:rsid w:val="0009215A"/>
    <w:rsid w:val="000A4916"/>
    <w:rsid w:val="000C6E63"/>
    <w:rsid w:val="000D4763"/>
    <w:rsid w:val="001114F6"/>
    <w:rsid w:val="00141B2B"/>
    <w:rsid w:val="001D3451"/>
    <w:rsid w:val="001F2E91"/>
    <w:rsid w:val="001F7796"/>
    <w:rsid w:val="00231A2D"/>
    <w:rsid w:val="00277B5F"/>
    <w:rsid w:val="002C1A2D"/>
    <w:rsid w:val="002D7D59"/>
    <w:rsid w:val="0036481D"/>
    <w:rsid w:val="00365EA4"/>
    <w:rsid w:val="00367CDF"/>
    <w:rsid w:val="003A00B6"/>
    <w:rsid w:val="003B19D5"/>
    <w:rsid w:val="003B2631"/>
    <w:rsid w:val="003C0B9A"/>
    <w:rsid w:val="00432F4D"/>
    <w:rsid w:val="004336F6"/>
    <w:rsid w:val="00437C39"/>
    <w:rsid w:val="004412EC"/>
    <w:rsid w:val="00441383"/>
    <w:rsid w:val="0045374D"/>
    <w:rsid w:val="00460567"/>
    <w:rsid w:val="004A6242"/>
    <w:rsid w:val="004E2118"/>
    <w:rsid w:val="004E30A0"/>
    <w:rsid w:val="004E74C0"/>
    <w:rsid w:val="004F0992"/>
    <w:rsid w:val="00505C06"/>
    <w:rsid w:val="005455B7"/>
    <w:rsid w:val="00591A7D"/>
    <w:rsid w:val="006038DC"/>
    <w:rsid w:val="00616CA8"/>
    <w:rsid w:val="006263D8"/>
    <w:rsid w:val="00633F2B"/>
    <w:rsid w:val="006350C8"/>
    <w:rsid w:val="00643AEA"/>
    <w:rsid w:val="00653254"/>
    <w:rsid w:val="00656BC5"/>
    <w:rsid w:val="0072242A"/>
    <w:rsid w:val="00751575"/>
    <w:rsid w:val="00771690"/>
    <w:rsid w:val="007B2275"/>
    <w:rsid w:val="007B712A"/>
    <w:rsid w:val="007E310E"/>
    <w:rsid w:val="008975D9"/>
    <w:rsid w:val="008C0213"/>
    <w:rsid w:val="008F17F6"/>
    <w:rsid w:val="008F4811"/>
    <w:rsid w:val="0091229B"/>
    <w:rsid w:val="00944516"/>
    <w:rsid w:val="00962008"/>
    <w:rsid w:val="009D26E7"/>
    <w:rsid w:val="009F3523"/>
    <w:rsid w:val="00A05BD9"/>
    <w:rsid w:val="00A11868"/>
    <w:rsid w:val="00A15119"/>
    <w:rsid w:val="00A2238A"/>
    <w:rsid w:val="00A62791"/>
    <w:rsid w:val="00A84F00"/>
    <w:rsid w:val="00AB7A38"/>
    <w:rsid w:val="00AC2BD5"/>
    <w:rsid w:val="00AC52D6"/>
    <w:rsid w:val="00AD7465"/>
    <w:rsid w:val="00AF7617"/>
    <w:rsid w:val="00B17FFC"/>
    <w:rsid w:val="00B4533C"/>
    <w:rsid w:val="00BA5717"/>
    <w:rsid w:val="00BC637B"/>
    <w:rsid w:val="00C12225"/>
    <w:rsid w:val="00C25D17"/>
    <w:rsid w:val="00C55694"/>
    <w:rsid w:val="00CA7961"/>
    <w:rsid w:val="00CC0ED1"/>
    <w:rsid w:val="00CE73AD"/>
    <w:rsid w:val="00CF2E32"/>
    <w:rsid w:val="00D15368"/>
    <w:rsid w:val="00D203D4"/>
    <w:rsid w:val="00D464FB"/>
    <w:rsid w:val="00DB57E7"/>
    <w:rsid w:val="00DD187B"/>
    <w:rsid w:val="00DD51EA"/>
    <w:rsid w:val="00DD6C25"/>
    <w:rsid w:val="00DD7871"/>
    <w:rsid w:val="00DF190F"/>
    <w:rsid w:val="00E2168C"/>
    <w:rsid w:val="00E302A2"/>
    <w:rsid w:val="00E853C3"/>
    <w:rsid w:val="00EA330D"/>
    <w:rsid w:val="00ED557F"/>
    <w:rsid w:val="00ED5817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5:docId w15:val="{1B1DC995-4EBD-4690-8EAA-2A8EB47B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F2B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2F4D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32F4D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432F4D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CommentText">
    <w:name w:val="annotation text"/>
    <w:basedOn w:val="Normal"/>
    <w:link w:val="CommentTextChar"/>
    <w:rsid w:val="001114F6"/>
  </w:style>
  <w:style w:type="character" w:customStyle="1" w:styleId="CommentTextChar">
    <w:name w:val="Comment Text Char"/>
    <w:basedOn w:val="DefaultParagraphFont"/>
    <w:link w:val="CommentText"/>
    <w:rsid w:val="001114F6"/>
    <w:rPr>
      <w:lang w:eastAsia="fr-FR"/>
    </w:rPr>
  </w:style>
  <w:style w:type="table" w:customStyle="1" w:styleId="Grilledutableau6">
    <w:name w:val="Grille du tableau6"/>
    <w:basedOn w:val="TableNormal"/>
    <w:uiPriority w:val="59"/>
    <w:rsid w:val="00367CDF"/>
    <w:rPr>
      <w:rFonts w:ascii="Arial" w:eastAsia="Calibri" w:hAnsi="Arial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CDF"/>
    <w:pPr>
      <w:widowControl/>
      <w:suppressAutoHyphens/>
      <w:overflowPunct/>
      <w:autoSpaceDE/>
      <w:autoSpaceDN/>
      <w:adjustRightInd/>
      <w:spacing w:line="240" w:lineRule="atLeast"/>
      <w:ind w:left="720" w:firstLine="0"/>
      <w:contextualSpacing/>
      <w:jc w:val="left"/>
      <w:textAlignment w:val="auto"/>
    </w:pPr>
    <w:rPr>
      <w:lang w:val="fr-CH"/>
    </w:rPr>
  </w:style>
  <w:style w:type="character" w:styleId="FootnoteReference">
    <w:name w:val="footnote reference"/>
    <w:aliases w:val="4_G,Footnote Reference/"/>
    <w:rsid w:val="006038D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038DC"/>
    <w:pPr>
      <w:widowControl/>
      <w:tabs>
        <w:tab w:val="right" w:pos="1021"/>
      </w:tabs>
      <w:suppressAutoHyphens/>
      <w:overflowPunct/>
      <w:autoSpaceDE/>
      <w:autoSpaceDN/>
      <w:adjustRightInd/>
      <w:spacing w:line="220" w:lineRule="exact"/>
      <w:ind w:right="1134"/>
      <w:jc w:val="left"/>
      <w:textAlignment w:val="auto"/>
    </w:pPr>
    <w:rPr>
      <w:sz w:val="18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038DC"/>
    <w:rPr>
      <w:sz w:val="18"/>
      <w:lang w:val="en-GB" w:eastAsia="en-US"/>
    </w:rPr>
  </w:style>
  <w:style w:type="paragraph" w:styleId="Header">
    <w:name w:val="header"/>
    <w:basedOn w:val="Normal"/>
    <w:link w:val="HeaderChar"/>
    <w:rsid w:val="004537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74D"/>
    <w:rPr>
      <w:lang w:eastAsia="fr-FR"/>
    </w:rPr>
  </w:style>
  <w:style w:type="paragraph" w:styleId="Footer">
    <w:name w:val="footer"/>
    <w:basedOn w:val="Normal"/>
    <w:link w:val="FooterChar"/>
    <w:rsid w:val="004537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74D"/>
    <w:rPr>
      <w:lang w:eastAsia="fr-FR"/>
    </w:rPr>
  </w:style>
  <w:style w:type="paragraph" w:styleId="BalloonText">
    <w:name w:val="Balloon Text"/>
    <w:basedOn w:val="Normal"/>
    <w:link w:val="BalloonTextChar"/>
    <w:rsid w:val="00D1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368"/>
    <w:rPr>
      <w:rFonts w:ascii="Tahoma" w:hAnsi="Tahoma" w:cs="Tahoma"/>
      <w:sz w:val="16"/>
      <w:szCs w:val="16"/>
      <w:lang w:eastAsia="fr-FR"/>
    </w:rPr>
  </w:style>
  <w:style w:type="character" w:styleId="CommentReference">
    <w:name w:val="annotation reference"/>
    <w:rsid w:val="005455B7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58A8-9942-48F0-A3D4-B16C4DB7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4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2019-06-14T11:39:00Z</cp:lastPrinted>
  <dcterms:created xsi:type="dcterms:W3CDTF">2019-06-17T05:39:00Z</dcterms:created>
  <dcterms:modified xsi:type="dcterms:W3CDTF">2019-06-17T05:39:00Z</dcterms:modified>
</cp:coreProperties>
</file>