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6E1DD8">
      <w:pPr>
        <w:spacing w:before="120" w:after="0" w:line="240" w:lineRule="atLeast"/>
        <w:rPr>
          <w:b/>
          <w:sz w:val="28"/>
          <w:szCs w:val="28"/>
        </w:rPr>
      </w:pPr>
      <w:r w:rsidRPr="00560572">
        <w:rPr>
          <w:b/>
          <w:sz w:val="28"/>
          <w:szCs w:val="28"/>
        </w:rPr>
        <w:t>Economic Commission for Europe</w:t>
      </w:r>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FD40BF">
        <w:rPr>
          <w:b/>
        </w:rPr>
        <w:t>29 July</w:t>
      </w:r>
      <w:bookmarkStart w:id="0" w:name="_GoBack"/>
      <w:bookmarkEnd w:id="0"/>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070668" w:rsidRPr="00AD79E9" w:rsidRDefault="00097793" w:rsidP="00070668">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r>
      <w:r w:rsidR="00070668" w:rsidRPr="00560572">
        <w:t xml:space="preserve">Item </w:t>
      </w:r>
      <w:r w:rsidR="00070668">
        <w:t>8</w:t>
      </w:r>
      <w:r w:rsidR="00070668" w:rsidRPr="00560572">
        <w:t xml:space="preserve"> of the provisional agenda</w:t>
      </w:r>
      <w:r w:rsidR="00070668">
        <w:t>:</w:t>
      </w:r>
      <w:r w:rsidR="00070668" w:rsidRPr="00560572">
        <w:br/>
      </w:r>
      <w:r w:rsidR="00070668" w:rsidRPr="00AD79E9">
        <w:rPr>
          <w:b/>
          <w:bCs/>
        </w:rPr>
        <w:t>Accidents and risk management</w:t>
      </w:r>
    </w:p>
    <w:p w:rsidR="00C254F4" w:rsidRPr="00AD1508" w:rsidRDefault="002574B9" w:rsidP="00C254F4">
      <w:pPr>
        <w:pStyle w:val="HChG"/>
        <w:rPr>
          <w:lang w:val="en-US"/>
        </w:rPr>
      </w:pPr>
      <w:r w:rsidRPr="00560572">
        <w:tab/>
      </w:r>
      <w:r w:rsidR="00C03A88">
        <w:tab/>
      </w:r>
      <w:r w:rsidR="00C03A88">
        <w:tab/>
      </w:r>
      <w:r w:rsidR="00C254F4" w:rsidRPr="00A1116B">
        <w:rPr>
          <w:lang w:val="en-US"/>
        </w:rPr>
        <w:t xml:space="preserve">Reporting from the Expert Users and Development Group (EUDG) </w:t>
      </w:r>
      <w:r w:rsidR="00C254F4">
        <w:rPr>
          <w:lang w:val="en-US"/>
        </w:rPr>
        <w:t xml:space="preserve">concerning the use of Risk Acceptance Criteria with </w:t>
      </w:r>
      <w:r w:rsidR="00C254F4" w:rsidRPr="00A1116B">
        <w:rPr>
          <w:lang w:val="en-US"/>
        </w:rPr>
        <w:t xml:space="preserve">the </w:t>
      </w:r>
      <w:r w:rsidR="00C254F4">
        <w:rPr>
          <w:lang w:val="en-US"/>
        </w:rPr>
        <w:t>Inland TDG Risk Management Framework</w:t>
      </w:r>
      <w:r w:rsidR="00C254F4">
        <w:t xml:space="preserve"> </w:t>
      </w:r>
    </w:p>
    <w:p w:rsidR="00C254F4" w:rsidRPr="00F5634F" w:rsidRDefault="00C254F4" w:rsidP="00C254F4">
      <w:pPr>
        <w:pStyle w:val="H1G"/>
      </w:pPr>
      <w:r>
        <w:rPr>
          <w:lang w:val="x-none"/>
        </w:rPr>
        <w:tab/>
      </w:r>
      <w:r>
        <w:rPr>
          <w:lang w:val="x-none"/>
        </w:rPr>
        <w:tab/>
      </w:r>
      <w:r>
        <w:tab/>
      </w:r>
      <w:r w:rsidR="00291419">
        <w:t>Submitted</w:t>
      </w:r>
      <w:r>
        <w:t xml:space="preserve"> by the European Union Agency for Railways (ERA) on behalf of the Expert Users and Development Group of the Inland TDG Risk Management Framework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C254F4" w:rsidRPr="00835C1F" w:rsidTr="006A6C12">
        <w:trPr>
          <w:jc w:val="center"/>
        </w:trPr>
        <w:tc>
          <w:tcPr>
            <w:tcW w:w="9629" w:type="dxa"/>
            <w:tcBorders>
              <w:bottom w:val="nil"/>
            </w:tcBorders>
            <w:shd w:val="clear" w:color="auto" w:fill="auto"/>
          </w:tcPr>
          <w:p w:rsidR="00C254F4" w:rsidRPr="00E62341" w:rsidRDefault="00C254F4" w:rsidP="006A6C12">
            <w:pPr>
              <w:tabs>
                <w:tab w:val="left" w:pos="255"/>
              </w:tabs>
              <w:spacing w:before="120" w:after="120"/>
              <w:rPr>
                <w:rFonts w:eastAsia="Arial"/>
                <w:sz w:val="24"/>
              </w:rPr>
            </w:pPr>
            <w:r>
              <w:br w:type="page"/>
            </w:r>
            <w:r w:rsidRPr="00E62341">
              <w:rPr>
                <w:rFonts w:eastAsia="Arial"/>
              </w:rPr>
              <w:tab/>
            </w:r>
            <w:r w:rsidRPr="00E62341">
              <w:rPr>
                <w:rFonts w:eastAsia="Arial"/>
                <w:i/>
                <w:sz w:val="24"/>
              </w:rPr>
              <w:t>Summary</w:t>
            </w:r>
          </w:p>
        </w:tc>
      </w:tr>
      <w:tr w:rsidR="00C254F4" w:rsidRPr="00E62341" w:rsidTr="006A6C12">
        <w:trPr>
          <w:jc w:val="center"/>
        </w:trPr>
        <w:tc>
          <w:tcPr>
            <w:tcW w:w="9629" w:type="dxa"/>
            <w:tcBorders>
              <w:top w:val="nil"/>
              <w:bottom w:val="nil"/>
            </w:tcBorders>
            <w:shd w:val="clear" w:color="auto" w:fill="auto"/>
          </w:tcPr>
          <w:p w:rsidR="00C254F4" w:rsidRPr="0025362A" w:rsidRDefault="00C254F4" w:rsidP="006A6C12">
            <w:pPr>
              <w:pStyle w:val="SingleTxtG"/>
              <w:ind w:left="3402" w:hanging="2268"/>
              <w:rPr>
                <w:b/>
                <w:szCs w:val="22"/>
                <w:lang w:val="en-US"/>
              </w:rPr>
            </w:pPr>
            <w:r w:rsidRPr="00835C1F">
              <w:rPr>
                <w:b/>
                <w:szCs w:val="22"/>
              </w:rPr>
              <w:t>Executive</w:t>
            </w:r>
            <w:r w:rsidRPr="00E62341">
              <w:rPr>
                <w:b/>
                <w:szCs w:val="22"/>
              </w:rPr>
              <w:t xml:space="preserve"> summary</w:t>
            </w:r>
            <w:r w:rsidRPr="00E62341">
              <w:rPr>
                <w:szCs w:val="22"/>
              </w:rPr>
              <w:t>:</w:t>
            </w:r>
            <w:r w:rsidRPr="00E62341">
              <w:rPr>
                <w:szCs w:val="22"/>
              </w:rPr>
              <w:tab/>
            </w:r>
            <w:r>
              <w:rPr>
                <w:szCs w:val="22"/>
                <w:lang w:val="en-US"/>
              </w:rPr>
              <w:t>On behalf the EUDG, ERA is reporting the conclusions of the discussions on Risk Acceptance Criteria held at the 2</w:t>
            </w:r>
            <w:r w:rsidRPr="00A1116B">
              <w:rPr>
                <w:szCs w:val="22"/>
                <w:vertAlign w:val="superscript"/>
                <w:lang w:val="en-US"/>
              </w:rPr>
              <w:t>nd</w:t>
            </w:r>
            <w:r>
              <w:rPr>
                <w:szCs w:val="22"/>
                <w:lang w:val="en-US"/>
              </w:rPr>
              <w:t>, 3</w:t>
            </w:r>
            <w:r w:rsidRPr="00A1116B">
              <w:rPr>
                <w:szCs w:val="22"/>
                <w:vertAlign w:val="superscript"/>
                <w:lang w:val="en-US"/>
              </w:rPr>
              <w:t>rd</w:t>
            </w:r>
            <w:r>
              <w:rPr>
                <w:szCs w:val="22"/>
                <w:lang w:val="en-US"/>
              </w:rPr>
              <w:t>, 4</w:t>
            </w:r>
            <w:r w:rsidRPr="00A1116B">
              <w:rPr>
                <w:szCs w:val="22"/>
                <w:vertAlign w:val="superscript"/>
                <w:lang w:val="en-US"/>
              </w:rPr>
              <w:t>th</w:t>
            </w:r>
            <w:r>
              <w:rPr>
                <w:szCs w:val="22"/>
                <w:lang w:val="en-US"/>
              </w:rPr>
              <w:t xml:space="preserve"> EUDG meeting and reviewed at the 5</w:t>
            </w:r>
            <w:r w:rsidRPr="00760E97">
              <w:rPr>
                <w:szCs w:val="22"/>
                <w:vertAlign w:val="superscript"/>
                <w:lang w:val="en-US"/>
              </w:rPr>
              <w:t>th</w:t>
            </w:r>
            <w:r>
              <w:rPr>
                <w:szCs w:val="22"/>
                <w:lang w:val="en-US"/>
              </w:rPr>
              <w:t xml:space="preserve"> meeting.</w:t>
            </w:r>
            <w:r w:rsidRPr="0025362A">
              <w:rPr>
                <w:szCs w:val="22"/>
                <w:lang w:val="en-US"/>
              </w:rPr>
              <w:t xml:space="preserve"> </w:t>
            </w:r>
          </w:p>
        </w:tc>
      </w:tr>
      <w:tr w:rsidR="00C254F4" w:rsidRPr="00E62341" w:rsidTr="006A6C12">
        <w:trPr>
          <w:jc w:val="center"/>
        </w:trPr>
        <w:tc>
          <w:tcPr>
            <w:tcW w:w="9629" w:type="dxa"/>
            <w:tcBorders>
              <w:top w:val="nil"/>
            </w:tcBorders>
            <w:shd w:val="clear" w:color="auto" w:fill="auto"/>
          </w:tcPr>
          <w:p w:rsidR="00C254F4" w:rsidRPr="00E62341" w:rsidRDefault="00C254F4" w:rsidP="006A6C12">
            <w:pPr>
              <w:rPr>
                <w:rFonts w:eastAsia="Arial"/>
              </w:rPr>
            </w:pPr>
          </w:p>
        </w:tc>
      </w:tr>
    </w:tbl>
    <w:p w:rsidR="00C254F4" w:rsidRPr="00E746D9" w:rsidRDefault="00C254F4" w:rsidP="00C254F4">
      <w:pPr>
        <w:pStyle w:val="HChG"/>
      </w:pPr>
      <w:r>
        <w:tab/>
      </w:r>
      <w:r>
        <w:tab/>
      </w:r>
      <w:r>
        <w:tab/>
        <w:t>Background</w:t>
      </w:r>
    </w:p>
    <w:p w:rsidR="00C254F4" w:rsidRDefault="00C254F4" w:rsidP="00C254F4">
      <w:pPr>
        <w:pStyle w:val="SingleTxtG"/>
        <w:rPr>
          <w:lang w:val="en-US"/>
        </w:rPr>
      </w:pPr>
      <w:r>
        <w:rPr>
          <w:lang w:val="en-US"/>
        </w:rPr>
        <w:t xml:space="preserve">The Expert Users and Development Group (EUDG) of the Inland TDG Risk Management Framework (RMF) is contributing to the maintenance and continuous improvement of the framework as described in section 6 of the Framework guide published at this address: </w:t>
      </w:r>
      <w:hyperlink r:id="rId8" w:history="1">
        <w:r w:rsidRPr="00FA19F9">
          <w:rPr>
            <w:rStyle w:val="Hyperlink"/>
            <w:lang w:val="en-US"/>
          </w:rPr>
          <w:t>https://ec.europa.eu/transport/themes/dangerous_good/risk_management_framework_en</w:t>
        </w:r>
      </w:hyperlink>
      <w:r>
        <w:rPr>
          <w:lang w:val="en-US"/>
        </w:rPr>
        <w:t>.</w:t>
      </w:r>
    </w:p>
    <w:p w:rsidR="00C254F4" w:rsidRDefault="00C254F4" w:rsidP="00C254F4">
      <w:pPr>
        <w:pStyle w:val="SingleTxtG"/>
        <w:rPr>
          <w:lang w:val="en-US"/>
        </w:rPr>
      </w:pPr>
      <w:r w:rsidRPr="009B1534">
        <w:rPr>
          <w:lang w:val="en-US"/>
        </w:rPr>
        <w:t>EUDG</w:t>
      </w:r>
      <w:r>
        <w:rPr>
          <w:lang w:val="en-US"/>
        </w:rPr>
        <w:t xml:space="preserve"> members are working </w:t>
      </w:r>
      <w:r w:rsidRPr="009B1534">
        <w:rPr>
          <w:lang w:val="en-US"/>
        </w:rPr>
        <w:t>under the supervision of DG MOVE and the European Union Agency for Railways (ERA).</w:t>
      </w:r>
    </w:p>
    <w:p w:rsidR="00C254F4" w:rsidRDefault="00C254F4" w:rsidP="00C254F4">
      <w:pPr>
        <w:pStyle w:val="SingleTxtG"/>
        <w:rPr>
          <w:lang w:val="en-US"/>
        </w:rPr>
      </w:pPr>
      <w:r>
        <w:rPr>
          <w:lang w:val="en-US"/>
        </w:rPr>
        <w:t xml:space="preserve">ERA is </w:t>
      </w:r>
      <w:proofErr w:type="gramStart"/>
      <w:r>
        <w:rPr>
          <w:lang w:val="en-US"/>
        </w:rPr>
        <w:t>providing assistance</w:t>
      </w:r>
      <w:proofErr w:type="gramEnd"/>
      <w:r>
        <w:rPr>
          <w:lang w:val="en-US"/>
        </w:rPr>
        <w:t xml:space="preserve"> for the </w:t>
      </w:r>
      <w:proofErr w:type="spellStart"/>
      <w:r>
        <w:rPr>
          <w:lang w:val="en-US"/>
        </w:rPr>
        <w:t>organisation</w:t>
      </w:r>
      <w:proofErr w:type="spellEnd"/>
      <w:r>
        <w:rPr>
          <w:lang w:val="en-US"/>
        </w:rPr>
        <w:t xml:space="preserve"> of the meetings and chairs the meetings.</w:t>
      </w:r>
    </w:p>
    <w:p w:rsidR="00C254F4" w:rsidRPr="00E746D9" w:rsidRDefault="00C254F4" w:rsidP="00C254F4">
      <w:pPr>
        <w:pStyle w:val="HChG"/>
      </w:pPr>
      <w:r>
        <w:tab/>
      </w:r>
      <w:r>
        <w:tab/>
        <w:t>Current state of play of the Risk Management Framework</w:t>
      </w:r>
    </w:p>
    <w:p w:rsidR="00C254F4" w:rsidRDefault="00C254F4" w:rsidP="00C254F4">
      <w:pPr>
        <w:pStyle w:val="SingleTxtG"/>
        <w:rPr>
          <w:lang w:val="en-US"/>
        </w:rPr>
      </w:pPr>
      <w:r>
        <w:rPr>
          <w:lang w:val="en-US"/>
        </w:rPr>
        <w:t>The Inland TDG RMF is of voluntary application and is published, as indicated in INF</w:t>
      </w:r>
      <w:r w:rsidR="00291419">
        <w:rPr>
          <w:lang w:val="en-US"/>
        </w:rPr>
        <w:t>.5</w:t>
      </w:r>
      <w:r>
        <w:rPr>
          <w:lang w:val="en-US"/>
        </w:rPr>
        <w:t>, on DG MOVE and ERA websites.</w:t>
      </w:r>
    </w:p>
    <w:p w:rsidR="00C254F4" w:rsidRDefault="00C254F4" w:rsidP="00C254F4">
      <w:pPr>
        <w:pStyle w:val="SingleTxtG"/>
        <w:rPr>
          <w:lang w:val="en-US"/>
        </w:rPr>
      </w:pPr>
      <w:r>
        <w:rPr>
          <w:lang w:val="en-US"/>
        </w:rPr>
        <w:t xml:space="preserve">In relation with Risk Acceptance Criteria (RACs), it must be noted that the framework does not impose any RAC but only decision-making principles which should be observed and that were commonly agreed during the development of the framework. </w:t>
      </w:r>
    </w:p>
    <w:p w:rsidR="00C254F4" w:rsidRPr="003F6C7A" w:rsidRDefault="00C254F4" w:rsidP="00C254F4">
      <w:pPr>
        <w:pStyle w:val="HChG"/>
        <w:rPr>
          <w:lang w:val="en-US"/>
        </w:rPr>
      </w:pPr>
      <w:r>
        <w:tab/>
      </w:r>
      <w:r>
        <w:tab/>
      </w:r>
      <w:r w:rsidRPr="003F6C7A">
        <w:rPr>
          <w:lang w:val="en-US"/>
        </w:rPr>
        <w:t>Overview</w:t>
      </w:r>
      <w:r w:rsidRPr="003F6C7A">
        <w:t xml:space="preserve"> of discussions</w:t>
      </w:r>
      <w:r w:rsidRPr="003F6C7A">
        <w:rPr>
          <w:lang w:val="en-US"/>
        </w:rPr>
        <w:t xml:space="preserve"> </w:t>
      </w:r>
      <w:r>
        <w:rPr>
          <w:lang w:val="en-US"/>
        </w:rPr>
        <w:t xml:space="preserve">on RACs </w:t>
      </w:r>
      <w:r w:rsidRPr="003F6C7A">
        <w:rPr>
          <w:lang w:val="en-US"/>
        </w:rPr>
        <w:t>at EUDG meetings</w:t>
      </w:r>
    </w:p>
    <w:p w:rsidR="00C254F4" w:rsidRDefault="00C254F4" w:rsidP="00C254F4">
      <w:pPr>
        <w:pStyle w:val="SingleTxtG"/>
        <w:rPr>
          <w:lang w:val="en-US"/>
        </w:rPr>
      </w:pPr>
      <w:r>
        <w:rPr>
          <w:lang w:val="en-US"/>
        </w:rPr>
        <w:t>At the 2</w:t>
      </w:r>
      <w:r w:rsidRPr="00A1116B">
        <w:rPr>
          <w:vertAlign w:val="superscript"/>
          <w:lang w:val="en-US"/>
        </w:rPr>
        <w:t>nd</w:t>
      </w:r>
      <w:r>
        <w:rPr>
          <w:lang w:val="en-US"/>
        </w:rPr>
        <w:t xml:space="preserve"> EUDG meeting, several members considered that a discussion concerning the use of RACs within the RMF should take place while others were strongly opposed to the setting of </w:t>
      </w:r>
      <w:proofErr w:type="spellStart"/>
      <w:r>
        <w:rPr>
          <w:lang w:val="en-US"/>
        </w:rPr>
        <w:t>harmonised</w:t>
      </w:r>
      <w:proofErr w:type="spellEnd"/>
      <w:r>
        <w:rPr>
          <w:lang w:val="en-US"/>
        </w:rPr>
        <w:t xml:space="preserve"> RACs or even to discuss this topic.</w:t>
      </w:r>
    </w:p>
    <w:p w:rsidR="00C254F4" w:rsidRDefault="00C254F4" w:rsidP="00EE7651">
      <w:pPr>
        <w:pStyle w:val="SingleTxtG"/>
        <w:rPr>
          <w:lang w:val="en-US"/>
        </w:rPr>
      </w:pPr>
      <w:r>
        <w:rPr>
          <w:lang w:val="en-US"/>
        </w:rPr>
        <w:t xml:space="preserve">As Chair, ERA recalled that the establishment of the Framework started with a feasibility study on the setting of </w:t>
      </w:r>
      <w:proofErr w:type="spellStart"/>
      <w:r>
        <w:rPr>
          <w:lang w:val="en-US"/>
        </w:rPr>
        <w:t>harmonised</w:t>
      </w:r>
      <w:proofErr w:type="spellEnd"/>
      <w:r>
        <w:rPr>
          <w:lang w:val="en-US"/>
        </w:rPr>
        <w:t xml:space="preserve"> multimodal RACs for the transport of dangerous goods. </w:t>
      </w:r>
      <w:r>
        <w:rPr>
          <w:lang w:val="en-US"/>
        </w:rPr>
        <w:lastRenderedPageBreak/>
        <w:t xml:space="preserve">The </w:t>
      </w:r>
      <w:r w:rsidRPr="00557C91">
        <w:rPr>
          <w:lang w:val="en-US"/>
        </w:rPr>
        <w:t xml:space="preserve">2014 </w:t>
      </w:r>
      <w:r>
        <w:rPr>
          <w:lang w:val="en-US"/>
        </w:rPr>
        <w:t xml:space="preserve">DNV </w:t>
      </w:r>
      <w:r w:rsidRPr="00557C91">
        <w:rPr>
          <w:lang w:val="en-US"/>
        </w:rPr>
        <w:t>study</w:t>
      </w:r>
      <w:r>
        <w:rPr>
          <w:lang w:val="en-US"/>
        </w:rPr>
        <w:t xml:space="preserve"> concluded positively that setting RACs was possible if appropriate steps* would be undertaken, and this might include the adoption of a new legal act.</w:t>
      </w:r>
    </w:p>
    <w:p w:rsidR="00C254F4" w:rsidRDefault="00C254F4" w:rsidP="00C254F4">
      <w:pPr>
        <w:pStyle w:val="SingleTxtG"/>
        <w:rPr>
          <w:lang w:val="en-US"/>
        </w:rPr>
      </w:pPr>
      <w:r>
        <w:rPr>
          <w:lang w:val="en-US"/>
        </w:rPr>
        <w:t>EUDG members agreed that a technical discussion should be possible at the 3</w:t>
      </w:r>
      <w:r w:rsidRPr="00477794">
        <w:rPr>
          <w:vertAlign w:val="superscript"/>
          <w:lang w:val="en-US"/>
        </w:rPr>
        <w:t>rd</w:t>
      </w:r>
      <w:r>
        <w:rPr>
          <w:lang w:val="en-US"/>
        </w:rPr>
        <w:t xml:space="preserve"> meeting </w:t>
      </w:r>
      <w:proofErr w:type="gramStart"/>
      <w:r>
        <w:rPr>
          <w:lang w:val="en-US"/>
        </w:rPr>
        <w:t>in order to</w:t>
      </w:r>
      <w:proofErr w:type="gramEnd"/>
      <w:r>
        <w:rPr>
          <w:lang w:val="en-US"/>
        </w:rPr>
        <w:t xml:space="preserve"> assess the technical (not political) feasibility to use RACs within the RMF and to clarify what type of RACs may be used. </w:t>
      </w:r>
    </w:p>
    <w:p w:rsidR="00C254F4" w:rsidRDefault="00C254F4" w:rsidP="00C254F4">
      <w:pPr>
        <w:pStyle w:val="SingleTxtG"/>
        <w:rPr>
          <w:lang w:val="en-US"/>
        </w:rPr>
      </w:pPr>
      <w:r>
        <w:rPr>
          <w:lang w:val="en-US"/>
        </w:rPr>
        <w:t>At the 3</w:t>
      </w:r>
      <w:r w:rsidRPr="00477794">
        <w:rPr>
          <w:vertAlign w:val="superscript"/>
          <w:lang w:val="en-US"/>
        </w:rPr>
        <w:t>rd</w:t>
      </w:r>
      <w:r>
        <w:rPr>
          <w:lang w:val="en-US"/>
        </w:rPr>
        <w:t xml:space="preserve"> EUDG meeting, a very controversial discussion continued with pros and cons for the use and/or establishment of </w:t>
      </w:r>
      <w:proofErr w:type="spellStart"/>
      <w:r>
        <w:rPr>
          <w:lang w:val="en-US"/>
        </w:rPr>
        <w:t>harmonised</w:t>
      </w:r>
      <w:proofErr w:type="spellEnd"/>
      <w:r>
        <w:rPr>
          <w:lang w:val="en-US"/>
        </w:rPr>
        <w:t xml:space="preserve"> RACs, mixing technical and decision-making positions. It was recalled that the EUDG was a technical group, however the discussion indicated that the question of RACs was highly political. EUDG members felt that it was still possible to continue the technical discussion to list the typical situations in which RACs could be used and to further explain their implementation. </w:t>
      </w:r>
    </w:p>
    <w:p w:rsidR="00C254F4" w:rsidRDefault="00C254F4" w:rsidP="00C254F4">
      <w:pPr>
        <w:pStyle w:val="SingleTxtG"/>
        <w:rPr>
          <w:lang w:val="en-US"/>
        </w:rPr>
      </w:pPr>
      <w:r>
        <w:rPr>
          <w:lang w:val="en-US"/>
        </w:rPr>
        <w:t>This discussion was held at the 4</w:t>
      </w:r>
      <w:r w:rsidRPr="00557C91">
        <w:rPr>
          <w:vertAlign w:val="superscript"/>
          <w:lang w:val="en-US"/>
        </w:rPr>
        <w:t>th</w:t>
      </w:r>
      <w:r>
        <w:rPr>
          <w:lang w:val="en-US"/>
        </w:rPr>
        <w:t xml:space="preserve"> EUDG meeting. The conclusions reported in this document and reviewed at the 5</w:t>
      </w:r>
      <w:r w:rsidRPr="00760E97">
        <w:rPr>
          <w:vertAlign w:val="superscript"/>
          <w:lang w:val="en-US"/>
        </w:rPr>
        <w:t>th</w:t>
      </w:r>
      <w:r>
        <w:rPr>
          <w:lang w:val="en-US"/>
        </w:rPr>
        <w:t xml:space="preserve"> meeting </w:t>
      </w:r>
      <w:proofErr w:type="gramStart"/>
      <w:r>
        <w:rPr>
          <w:lang w:val="en-US"/>
        </w:rPr>
        <w:t>are</w:t>
      </w:r>
      <w:proofErr w:type="gramEnd"/>
      <w:r>
        <w:rPr>
          <w:lang w:val="en-US"/>
        </w:rPr>
        <w:t xml:space="preserve"> reported hereinafter.</w:t>
      </w:r>
    </w:p>
    <w:p w:rsidR="00C254F4" w:rsidRPr="003F6C7A" w:rsidRDefault="00C254F4" w:rsidP="00F05CCA">
      <w:pPr>
        <w:pStyle w:val="HChG"/>
        <w:tabs>
          <w:tab w:val="clear" w:pos="851"/>
        </w:tabs>
        <w:rPr>
          <w:lang w:val="en-US"/>
        </w:rPr>
      </w:pPr>
      <w:r>
        <w:tab/>
      </w:r>
      <w:r>
        <w:tab/>
      </w:r>
      <w:r>
        <w:rPr>
          <w:lang w:val="en-US"/>
        </w:rPr>
        <w:t>Conclusions from EUDG members on RACs</w:t>
      </w:r>
    </w:p>
    <w:p w:rsidR="00C254F4" w:rsidRDefault="00C254F4" w:rsidP="00C254F4">
      <w:pPr>
        <w:pStyle w:val="SingleTxtG"/>
        <w:rPr>
          <w:lang w:val="en-US"/>
        </w:rPr>
      </w:pPr>
      <w:r>
        <w:rPr>
          <w:lang w:val="en-US"/>
        </w:rPr>
        <w:t>After 3 meetings where the question of RACs was discussed</w:t>
      </w:r>
      <w:r w:rsidR="00291419">
        <w:rPr>
          <w:lang w:val="en-US"/>
        </w:rPr>
        <w:t>,</w:t>
      </w:r>
      <w:r>
        <w:rPr>
          <w:lang w:val="en-US"/>
        </w:rPr>
        <w:t xml:space="preserve"> the EUDG members agreed on the following conclusions:</w:t>
      </w:r>
    </w:p>
    <w:p w:rsidR="00C254F4" w:rsidRPr="00557C91" w:rsidRDefault="00C254F4" w:rsidP="001643C2">
      <w:pPr>
        <w:pStyle w:val="SingleTxtG"/>
        <w:numPr>
          <w:ilvl w:val="0"/>
          <w:numId w:val="27"/>
        </w:numPr>
        <w:suppressAutoHyphens/>
        <w:spacing w:line="240" w:lineRule="atLeast"/>
        <w:ind w:left="1134" w:firstLine="567"/>
        <w:rPr>
          <w:lang w:val="en-US"/>
        </w:rPr>
      </w:pPr>
      <w:r w:rsidRPr="00557C91">
        <w:rPr>
          <w:lang w:val="en-US"/>
        </w:rPr>
        <w:t>Currently</w:t>
      </w:r>
      <w:r>
        <w:rPr>
          <w:lang w:val="en-US"/>
        </w:rPr>
        <w:t>,</w:t>
      </w:r>
      <w:r w:rsidRPr="00557C91">
        <w:rPr>
          <w:lang w:val="en-US"/>
        </w:rPr>
        <w:t xml:space="preserve"> the RMF is using a comparative approach to assess the acceptability of risk situations</w:t>
      </w:r>
      <w:r w:rsidR="00291419">
        <w:rPr>
          <w:lang w:val="en-US"/>
        </w:rPr>
        <w:t>;</w:t>
      </w:r>
      <w:r w:rsidRPr="00557C91">
        <w:rPr>
          <w:lang w:val="en-US"/>
        </w:rPr>
        <w:t xml:space="preserve"> </w:t>
      </w:r>
    </w:p>
    <w:p w:rsidR="00C254F4" w:rsidRPr="00557C91" w:rsidRDefault="00C254F4" w:rsidP="00EE7651">
      <w:pPr>
        <w:pStyle w:val="SingleTxtG"/>
        <w:numPr>
          <w:ilvl w:val="0"/>
          <w:numId w:val="27"/>
        </w:numPr>
        <w:suppressAutoHyphens/>
        <w:spacing w:line="240" w:lineRule="atLeast"/>
        <w:ind w:left="1134" w:firstLine="633"/>
        <w:rPr>
          <w:lang w:val="en-US"/>
        </w:rPr>
      </w:pPr>
      <w:r w:rsidRPr="00557C91">
        <w:rPr>
          <w:lang w:val="en-US"/>
        </w:rPr>
        <w:t xml:space="preserve">However, the RMF approach is also fully compatible with the use </w:t>
      </w:r>
      <w:r>
        <w:rPr>
          <w:lang w:val="en-US"/>
        </w:rPr>
        <w:t xml:space="preserve">of </w:t>
      </w:r>
      <w:r w:rsidRPr="00557C91">
        <w:rPr>
          <w:lang w:val="en-US"/>
        </w:rPr>
        <w:t xml:space="preserve">risk acceptance </w:t>
      </w:r>
      <w:r>
        <w:rPr>
          <w:lang w:val="en-US"/>
        </w:rPr>
        <w:t>criteria (</w:t>
      </w:r>
      <w:r w:rsidRPr="00557C91">
        <w:rPr>
          <w:lang w:val="en-US"/>
        </w:rPr>
        <w:t>thresholds</w:t>
      </w:r>
      <w:r>
        <w:rPr>
          <w:lang w:val="en-US"/>
        </w:rPr>
        <w:t>)</w:t>
      </w:r>
      <w:r w:rsidRPr="00557C91">
        <w:rPr>
          <w:lang w:val="en-US"/>
        </w:rPr>
        <w:t>, when they are defined by the user</w:t>
      </w:r>
      <w:r w:rsidR="00291419">
        <w:rPr>
          <w:lang w:val="en-US"/>
        </w:rPr>
        <w:t>;</w:t>
      </w:r>
      <w:r w:rsidRPr="00557C91">
        <w:rPr>
          <w:lang w:val="en-US"/>
        </w:rPr>
        <w:t xml:space="preserve"> </w:t>
      </w:r>
    </w:p>
    <w:p w:rsidR="00C254F4" w:rsidRPr="00557C91" w:rsidRDefault="00C254F4" w:rsidP="00EE7651">
      <w:pPr>
        <w:pStyle w:val="SingleTxtG"/>
        <w:numPr>
          <w:ilvl w:val="0"/>
          <w:numId w:val="27"/>
        </w:numPr>
        <w:suppressAutoHyphens/>
        <w:spacing w:line="240" w:lineRule="atLeast"/>
        <w:ind w:left="1134" w:firstLine="633"/>
        <w:rPr>
          <w:lang w:val="en-US"/>
        </w:rPr>
      </w:pPr>
      <w:r w:rsidRPr="00557C91">
        <w:rPr>
          <w:lang w:val="en-US"/>
        </w:rPr>
        <w:t>The RMF is also fully compatible with the RACs considered in the</w:t>
      </w:r>
      <w:r>
        <w:rPr>
          <w:lang w:val="en-US"/>
        </w:rPr>
        <w:t xml:space="preserve"> </w:t>
      </w:r>
      <w:r w:rsidRPr="00557C91">
        <w:rPr>
          <w:lang w:val="en-US"/>
        </w:rPr>
        <w:t>DNV</w:t>
      </w:r>
      <w:r w:rsidRPr="00557C91" w:rsidDel="00043F83">
        <w:rPr>
          <w:lang w:val="en-US"/>
        </w:rPr>
        <w:t xml:space="preserve"> </w:t>
      </w:r>
      <w:r>
        <w:rPr>
          <w:lang w:val="en-US"/>
        </w:rPr>
        <w:t>study,</w:t>
      </w:r>
      <w:r w:rsidRPr="00557C91">
        <w:rPr>
          <w:lang w:val="en-US"/>
        </w:rPr>
        <w:t xml:space="preserve"> (</w:t>
      </w:r>
      <w:r>
        <w:rPr>
          <w:lang w:val="en-US"/>
        </w:rPr>
        <w:t xml:space="preserve">this was </w:t>
      </w:r>
      <w:r w:rsidRPr="00557C91">
        <w:rPr>
          <w:lang w:val="en-US"/>
        </w:rPr>
        <w:t>checked by the decision-making group during the development of the RMF)</w:t>
      </w:r>
      <w:r w:rsidR="00291419">
        <w:rPr>
          <w:lang w:val="en-US"/>
        </w:rPr>
        <w:t>;</w:t>
      </w:r>
      <w:r w:rsidRPr="00557C91">
        <w:rPr>
          <w:lang w:val="en-US"/>
        </w:rPr>
        <w:t xml:space="preserve"> </w:t>
      </w:r>
    </w:p>
    <w:p w:rsidR="00C254F4" w:rsidRPr="00557C91" w:rsidRDefault="00C254F4" w:rsidP="00EE7651">
      <w:pPr>
        <w:pStyle w:val="SingleTxtG"/>
        <w:numPr>
          <w:ilvl w:val="0"/>
          <w:numId w:val="27"/>
        </w:numPr>
        <w:suppressAutoHyphens/>
        <w:spacing w:line="240" w:lineRule="atLeast"/>
        <w:ind w:left="1134" w:firstLine="633"/>
        <w:rPr>
          <w:lang w:val="en-US"/>
        </w:rPr>
      </w:pPr>
      <w:r>
        <w:rPr>
          <w:lang w:val="en-US"/>
        </w:rPr>
        <w:t>U</w:t>
      </w:r>
      <w:r w:rsidRPr="00557C91">
        <w:rPr>
          <w:lang w:val="en-US"/>
        </w:rPr>
        <w:t xml:space="preserve">sers of the RMF who would like to use </w:t>
      </w:r>
      <w:r>
        <w:rPr>
          <w:lang w:val="en-US"/>
        </w:rPr>
        <w:t>it</w:t>
      </w:r>
      <w:r w:rsidRPr="00557C91">
        <w:rPr>
          <w:lang w:val="en-US"/>
        </w:rPr>
        <w:t xml:space="preserve"> in combination with their </w:t>
      </w:r>
      <w:r>
        <w:rPr>
          <w:lang w:val="en-US"/>
        </w:rPr>
        <w:t xml:space="preserve">own </w:t>
      </w:r>
      <w:r w:rsidRPr="00557C91">
        <w:rPr>
          <w:lang w:val="en-US"/>
        </w:rPr>
        <w:t>risk acceptance thresholds should be allowed to do so</w:t>
      </w:r>
      <w:r w:rsidR="00291419">
        <w:rPr>
          <w:lang w:val="en-US"/>
        </w:rPr>
        <w:t>;</w:t>
      </w:r>
      <w:r w:rsidRPr="00557C91">
        <w:rPr>
          <w:lang w:val="en-US"/>
        </w:rPr>
        <w:t xml:space="preserve"> </w:t>
      </w:r>
    </w:p>
    <w:p w:rsidR="00C254F4" w:rsidRPr="00557C91" w:rsidRDefault="00C254F4" w:rsidP="00EE7651">
      <w:pPr>
        <w:pStyle w:val="SingleTxtG"/>
        <w:numPr>
          <w:ilvl w:val="0"/>
          <w:numId w:val="27"/>
        </w:numPr>
        <w:suppressAutoHyphens/>
        <w:spacing w:line="240" w:lineRule="atLeast"/>
        <w:ind w:left="1134" w:firstLine="633"/>
        <w:rPr>
          <w:lang w:val="en-US"/>
        </w:rPr>
      </w:pPr>
      <w:r w:rsidRPr="00557C91">
        <w:rPr>
          <w:lang w:val="en-US"/>
        </w:rPr>
        <w:t>EUDG members should not oppose the publication of RMF user case examples containing the use of risk acceptance thresholds</w:t>
      </w:r>
      <w:r w:rsidR="00291419">
        <w:rPr>
          <w:lang w:val="en-US"/>
        </w:rPr>
        <w:t>;</w:t>
      </w:r>
      <w:r w:rsidRPr="00557C91">
        <w:rPr>
          <w:lang w:val="en-US"/>
        </w:rPr>
        <w:t xml:space="preserve">  </w:t>
      </w:r>
    </w:p>
    <w:p w:rsidR="00C254F4" w:rsidRDefault="00C254F4" w:rsidP="00EE7651">
      <w:pPr>
        <w:pStyle w:val="SingleTxtG"/>
        <w:numPr>
          <w:ilvl w:val="0"/>
          <w:numId w:val="27"/>
        </w:numPr>
        <w:suppressAutoHyphens/>
        <w:spacing w:line="240" w:lineRule="atLeast"/>
        <w:ind w:left="1134" w:firstLine="633"/>
        <w:rPr>
          <w:lang w:val="en-US"/>
        </w:rPr>
      </w:pPr>
      <w:r w:rsidRPr="00557C91">
        <w:rPr>
          <w:lang w:val="en-US"/>
        </w:rPr>
        <w:t>EUDG members are fully aware that</w:t>
      </w:r>
      <w:r>
        <w:rPr>
          <w:lang w:val="en-US"/>
        </w:rPr>
        <w:t xml:space="preserve"> currently used </w:t>
      </w:r>
      <w:r w:rsidRPr="00557C91">
        <w:rPr>
          <w:lang w:val="en-US"/>
        </w:rPr>
        <w:t xml:space="preserve">risk acceptance thresholds are not </w:t>
      </w:r>
      <w:proofErr w:type="spellStart"/>
      <w:r w:rsidRPr="00557C91">
        <w:rPr>
          <w:lang w:val="en-US"/>
        </w:rPr>
        <w:t>harmonised</w:t>
      </w:r>
      <w:proofErr w:type="spellEnd"/>
      <w:r w:rsidRPr="00557C91">
        <w:rPr>
          <w:lang w:val="en-US"/>
        </w:rPr>
        <w:t xml:space="preserve"> between RMF users</w:t>
      </w:r>
      <w:r w:rsidR="00291419">
        <w:rPr>
          <w:lang w:val="en-US"/>
        </w:rPr>
        <w:t>;</w:t>
      </w:r>
    </w:p>
    <w:p w:rsidR="00C254F4" w:rsidRPr="001E2E9C" w:rsidRDefault="00C254F4" w:rsidP="00EE7651">
      <w:pPr>
        <w:pStyle w:val="SingleTxtG"/>
        <w:numPr>
          <w:ilvl w:val="0"/>
          <w:numId w:val="27"/>
        </w:numPr>
        <w:suppressAutoHyphens/>
        <w:spacing w:line="240" w:lineRule="atLeast"/>
        <w:ind w:left="1134" w:firstLine="633"/>
        <w:rPr>
          <w:lang w:val="en-US"/>
        </w:rPr>
      </w:pPr>
      <w:proofErr w:type="gramStart"/>
      <w:r>
        <w:rPr>
          <w:lang w:val="en-US"/>
        </w:rPr>
        <w:t>A</w:t>
      </w:r>
      <w:r w:rsidRPr="00760E97">
        <w:rPr>
          <w:lang w:val="en-US"/>
        </w:rPr>
        <w:t>t this time</w:t>
      </w:r>
      <w:proofErr w:type="gramEnd"/>
      <w:r w:rsidRPr="00760E97">
        <w:rPr>
          <w:lang w:val="en-US"/>
        </w:rPr>
        <w:t xml:space="preserve"> </w:t>
      </w:r>
      <w:r>
        <w:rPr>
          <w:lang w:val="en-US"/>
        </w:rPr>
        <w:t>t</w:t>
      </w:r>
      <w:r w:rsidRPr="00760E97">
        <w:rPr>
          <w:lang w:val="en-US"/>
        </w:rPr>
        <w:t xml:space="preserve">he EUDG does not anticipate developing </w:t>
      </w:r>
      <w:proofErr w:type="spellStart"/>
      <w:r w:rsidRPr="00760E97">
        <w:rPr>
          <w:lang w:val="en-US"/>
        </w:rPr>
        <w:t>harmonised</w:t>
      </w:r>
      <w:proofErr w:type="spellEnd"/>
      <w:r w:rsidRPr="00760E97">
        <w:rPr>
          <w:lang w:val="en-US"/>
        </w:rPr>
        <w:t xml:space="preserve"> thresholds for the RMF. It may do so in future with further experience and if requested by regulators</w:t>
      </w:r>
      <w:r w:rsidRPr="001E2E9C">
        <w:rPr>
          <w:lang w:val="en-US"/>
        </w:rPr>
        <w:t>.</w:t>
      </w:r>
    </w:p>
    <w:p w:rsidR="00C254F4" w:rsidRDefault="00C254F4" w:rsidP="00C254F4">
      <w:pPr>
        <w:pStyle w:val="SingleTxtG"/>
        <w:rPr>
          <w:lang w:val="en-US"/>
        </w:rPr>
      </w:pPr>
      <w:r w:rsidRPr="00760E97">
        <w:rPr>
          <w:lang w:val="en-US"/>
        </w:rPr>
        <w:t xml:space="preserve">This is an information to the </w:t>
      </w:r>
      <w:r w:rsidR="00291419">
        <w:rPr>
          <w:lang w:val="en-US"/>
        </w:rPr>
        <w:t>J</w:t>
      </w:r>
      <w:r w:rsidRPr="00760E97">
        <w:rPr>
          <w:lang w:val="en-US"/>
        </w:rPr>
        <w:t xml:space="preserve">oint </w:t>
      </w:r>
      <w:r w:rsidR="00291419">
        <w:rPr>
          <w:lang w:val="en-US"/>
        </w:rPr>
        <w:t>M</w:t>
      </w:r>
      <w:r w:rsidRPr="00760E97">
        <w:rPr>
          <w:lang w:val="en-US"/>
        </w:rPr>
        <w:t>eeting for its consideration</w:t>
      </w:r>
      <w:r>
        <w:rPr>
          <w:lang w:val="en-US"/>
        </w:rPr>
        <w:t xml:space="preserve">. The Joint Meeting delegates are kindly invited to consider the above conclusions and to suggest, if they would wish so, relevant follow-up actions. </w:t>
      </w:r>
    </w:p>
    <w:p w:rsidR="00C254F4" w:rsidRDefault="00C254F4" w:rsidP="00C254F4">
      <w:pPr>
        <w:pStyle w:val="SingleTxtG"/>
        <w:rPr>
          <w:rStyle w:val="Hyperlink"/>
          <w:lang w:val="en-US"/>
        </w:rPr>
      </w:pPr>
      <w:r>
        <w:rPr>
          <w:lang w:val="en-US"/>
        </w:rPr>
        <w:br/>
      </w:r>
      <w:r>
        <w:rPr>
          <w:lang w:val="en-US"/>
        </w:rPr>
        <w:br/>
        <w:t xml:space="preserve">*see study at </w:t>
      </w:r>
      <w:hyperlink r:id="rId9" w:history="1">
        <w:r w:rsidRPr="00753914">
          <w:rPr>
            <w:rStyle w:val="Hyperlink"/>
            <w:lang w:val="en-US"/>
          </w:rPr>
          <w:t>https://ec.europa.eu/transport/sites/transport/files/modes/rail/studies/doc/2014-03-25-dangerous-goods.pdf</w:t>
        </w:r>
      </w:hyperlink>
    </w:p>
    <w:p w:rsidR="00070668" w:rsidRPr="00070668" w:rsidRDefault="00070668" w:rsidP="00070668">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070668" w:rsidRPr="00070668" w:rsidSect="00070668">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070668">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INF.2</w:t>
    </w:r>
    <w:r w:rsidR="007F1E0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C254F4">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37421"/>
    <w:multiLevelType w:val="hybridMultilevel"/>
    <w:tmpl w:val="FC0E53D4"/>
    <w:lvl w:ilvl="0" w:tplc="6636850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6"/>
  </w:num>
  <w:num w:numId="23">
    <w:abstractNumId w:val="17"/>
  </w:num>
  <w:num w:numId="24">
    <w:abstractNumId w:val="20"/>
  </w:num>
  <w:num w:numId="25">
    <w:abstractNumId w:val="23"/>
  </w:num>
  <w:num w:numId="26">
    <w:abstractNumId w:val="19"/>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0668"/>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43C2"/>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1419"/>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1DD8"/>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0FCC"/>
    <w:rsid w:val="008B389E"/>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254F4"/>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E7651"/>
    <w:rsid w:val="00EF1D7F"/>
    <w:rsid w:val="00EF4426"/>
    <w:rsid w:val="00F0137E"/>
    <w:rsid w:val="00F0148F"/>
    <w:rsid w:val="00F05CCA"/>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40BF"/>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4D2199E"/>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character" w:styleId="CommentReference">
    <w:name w:val="annotation reference"/>
    <w:basedOn w:val="DefaultParagraphFont"/>
    <w:rsid w:val="006E1DD8"/>
    <w:rPr>
      <w:sz w:val="16"/>
      <w:szCs w:val="16"/>
    </w:rPr>
  </w:style>
  <w:style w:type="paragraph" w:styleId="CommentText">
    <w:name w:val="annotation text"/>
    <w:basedOn w:val="Normal"/>
    <w:link w:val="CommentTextChar"/>
    <w:rsid w:val="006E1DD8"/>
  </w:style>
  <w:style w:type="character" w:customStyle="1" w:styleId="CommentTextChar">
    <w:name w:val="Comment Text Char"/>
    <w:basedOn w:val="DefaultParagraphFont"/>
    <w:link w:val="CommentText"/>
    <w:rsid w:val="006E1DD8"/>
    <w:rPr>
      <w:lang w:val="en-GB"/>
    </w:rPr>
  </w:style>
  <w:style w:type="paragraph" w:styleId="CommentSubject">
    <w:name w:val="annotation subject"/>
    <w:basedOn w:val="CommentText"/>
    <w:next w:val="CommentText"/>
    <w:link w:val="CommentSubjectChar"/>
    <w:rsid w:val="006E1DD8"/>
    <w:rPr>
      <w:b/>
      <w:bCs/>
    </w:rPr>
  </w:style>
  <w:style w:type="character" w:customStyle="1" w:styleId="CommentSubjectChar">
    <w:name w:val="Comment Subject Char"/>
    <w:basedOn w:val="CommentTextChar"/>
    <w:link w:val="CommentSubject"/>
    <w:rsid w:val="006E1DD8"/>
    <w:rPr>
      <w:b/>
      <w:bCs/>
      <w:lang w:val="en-GB"/>
    </w:rPr>
  </w:style>
  <w:style w:type="paragraph" w:styleId="Revision">
    <w:name w:val="Revision"/>
    <w:hidden/>
    <w:uiPriority w:val="99"/>
    <w:semiHidden/>
    <w:rsid w:val="006E1DD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themes/dangerous_good/risk_management_framework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transport/sites/transport/files/modes/rail/studies/doc/2014-03-25-dangerous-good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F346-A10C-44E3-BCC7-3ED6B6BA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741</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8</cp:revision>
  <cp:lastPrinted>2019-07-26T14:19:00Z</cp:lastPrinted>
  <dcterms:created xsi:type="dcterms:W3CDTF">2019-07-26T13:12:00Z</dcterms:created>
  <dcterms:modified xsi:type="dcterms:W3CDTF">2019-07-29T15:00:00Z</dcterms:modified>
</cp:coreProperties>
</file>