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0929E0">
        <w:rPr>
          <w:b/>
        </w:rPr>
        <w:t>2</w:t>
      </w:r>
      <w:bookmarkStart w:id="0" w:name="_GoBack"/>
      <w:bookmarkEnd w:id="0"/>
      <w:r w:rsidR="001C3A25" w:rsidRPr="00560572">
        <w:rPr>
          <w:b/>
        </w:rPr>
        <w:t xml:space="preserve"> </w:t>
      </w:r>
      <w:r w:rsidR="0047429E" w:rsidRPr="00560572">
        <w:rPr>
          <w:b/>
        </w:rPr>
        <w:t>September</w:t>
      </w:r>
      <w:r w:rsidR="00FE1314">
        <w:rPr>
          <w:b/>
        </w:rPr>
        <w:t xml:space="preserve"> </w:t>
      </w:r>
      <w:r w:rsidR="00367BBF">
        <w:rPr>
          <w:b/>
        </w:rPr>
        <w:t>201</w:t>
      </w:r>
      <w:r w:rsidR="00EF7C9E">
        <w:rPr>
          <w:b/>
        </w:rPr>
        <w:t>9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294042" w:rsidP="00294042">
      <w:pPr>
        <w:rPr>
          <w:b/>
        </w:rPr>
      </w:pPr>
      <w:r>
        <w:t>Geneva, 17-27 September 2019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:rsidR="004B5B23" w:rsidRPr="00E235D2" w:rsidRDefault="004B5B23" w:rsidP="00E235D2">
      <w:pPr>
        <w:pStyle w:val="SingleTxtG"/>
      </w:pPr>
      <w:r w:rsidRPr="00E235D2">
        <w:t>ECE/TRANS/WP.15/AC.1/15</w:t>
      </w:r>
      <w:r w:rsidR="00DC0A90" w:rsidRPr="00E235D2">
        <w:t>5</w:t>
      </w:r>
      <w:r w:rsidRPr="00E235D2">
        <w:t xml:space="preserve">, -/Add.1 </w:t>
      </w:r>
    </w:p>
    <w:p w:rsidR="004B5B23" w:rsidRPr="00E235D2" w:rsidRDefault="004B5B23" w:rsidP="00E235D2">
      <w:pPr>
        <w:pStyle w:val="SingleTxtG"/>
      </w:pPr>
      <w:r w:rsidRPr="00E235D2">
        <w:t>ECE/TRANS/WP.15/AC.1/15</w:t>
      </w:r>
      <w:r w:rsidR="00DC0A90" w:rsidRPr="00E235D2">
        <w:t>4</w:t>
      </w:r>
      <w:r w:rsidRPr="00E235D2">
        <w:t>, -/Add.1 (Report of the spring 201</w:t>
      </w:r>
      <w:r w:rsidR="00DC0A90" w:rsidRPr="00E235D2">
        <w:t>9</w:t>
      </w:r>
      <w:r w:rsidRPr="00E235D2">
        <w:t xml:space="preserve"> session)</w:t>
      </w:r>
    </w:p>
    <w:p w:rsidR="004B5B23" w:rsidRPr="00E235D2" w:rsidRDefault="004B5B23" w:rsidP="00E235D2">
      <w:pPr>
        <w:pStyle w:val="SingleTxtG"/>
      </w:pPr>
      <w:r w:rsidRPr="00E235D2">
        <w:t>ECE/TRANS/WP.15/24</w:t>
      </w:r>
      <w:r w:rsidR="00AD3135" w:rsidRPr="00E235D2">
        <w:t>6</w:t>
      </w:r>
      <w:r w:rsidRPr="00E235D2">
        <w:t xml:space="preserve"> (Secretariat)</w:t>
      </w:r>
    </w:p>
    <w:p w:rsidR="004B5B23" w:rsidRPr="00E235D2" w:rsidRDefault="004B5B23" w:rsidP="00E235D2">
      <w:pPr>
        <w:pStyle w:val="SingleTxtG"/>
      </w:pPr>
      <w:r w:rsidRPr="00E235D2">
        <w:t>OTIF/RID/CE/GTP/201</w:t>
      </w:r>
      <w:r w:rsidR="00AD3135" w:rsidRPr="00E235D2">
        <w:t>9</w:t>
      </w:r>
      <w:r w:rsidRPr="00E235D2">
        <w:t>-A (OTIF Secretariat)</w:t>
      </w:r>
    </w:p>
    <w:p w:rsidR="004B5B23" w:rsidRPr="00E235D2" w:rsidRDefault="004B5B23" w:rsidP="00E235D2">
      <w:pPr>
        <w:pStyle w:val="SingleTxtG"/>
      </w:pPr>
      <w:r w:rsidRPr="00E235D2">
        <w:t>OTIF/RID/CE/201</w:t>
      </w:r>
      <w:r w:rsidR="00AD3135" w:rsidRPr="00E235D2">
        <w:t>9</w:t>
      </w:r>
      <w:r w:rsidRPr="00E235D2">
        <w:t>-A (OTIF Secretariat)</w:t>
      </w:r>
    </w:p>
    <w:p w:rsidR="004B5B23" w:rsidRPr="00746694" w:rsidRDefault="00E235D2" w:rsidP="004B5B23">
      <w:pPr>
        <w:pStyle w:val="SingleTxtG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22</w:t>
      </w:r>
      <w:r w:rsidRPr="00E235D2">
        <w:t xml:space="preserve"> (</w:t>
      </w:r>
      <w:r w:rsidR="00F71DA2" w:rsidRPr="00E235D2">
        <w:t>Secretariat</w:t>
      </w:r>
      <w:r w:rsidRPr="00E235D2">
        <w:t>)</w:t>
      </w:r>
    </w:p>
    <w:p w:rsidR="00746694" w:rsidRPr="00E235D2" w:rsidRDefault="00746694" w:rsidP="00E235D2">
      <w:pPr>
        <w:pStyle w:val="SingleTxtG"/>
      </w:pPr>
      <w:r w:rsidRPr="00E235D2">
        <w:t>ECE/TRANS/WP.15/AC.1/2019/22/Add.1 (Secretariat)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23</w:t>
      </w:r>
      <w:r w:rsidRPr="00E235D2">
        <w:t xml:space="preserve"> (</w:t>
      </w:r>
      <w:r w:rsidR="00746694" w:rsidRPr="00E235D2">
        <w:t>Ukraine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24</w:t>
      </w:r>
      <w:r w:rsidRPr="00E235D2">
        <w:t xml:space="preserve"> (</w:t>
      </w:r>
      <w:r w:rsidR="00F71DA2" w:rsidRPr="00E235D2">
        <w:t>United Kingdom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25</w:t>
      </w:r>
      <w:r w:rsidRPr="00E235D2">
        <w:t xml:space="preserve"> (</w:t>
      </w:r>
      <w:r w:rsidR="00F71DA2" w:rsidRPr="00E235D2">
        <w:t>United Kingdom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26</w:t>
      </w:r>
      <w:r w:rsidRPr="00E235D2">
        <w:t xml:space="preserve"> (</w:t>
      </w:r>
      <w:r w:rsidR="00F71DA2" w:rsidRPr="00E235D2">
        <w:t>United Kingdom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/2</w:t>
      </w:r>
      <w:r w:rsidR="00340D8D" w:rsidRPr="00E235D2">
        <w:t>7</w:t>
      </w:r>
      <w:r w:rsidRPr="00E235D2">
        <w:t xml:space="preserve"> (</w:t>
      </w:r>
      <w:r w:rsidR="00F71DA2" w:rsidRPr="00E235D2">
        <w:t>Portugal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/2</w:t>
      </w:r>
      <w:r w:rsidR="00340D8D" w:rsidRPr="00E235D2">
        <w:t>8</w:t>
      </w:r>
      <w:r w:rsidRPr="00E235D2">
        <w:t xml:space="preserve"> (</w:t>
      </w:r>
      <w:r w:rsidR="00F71DA2" w:rsidRPr="00E235D2">
        <w:t>Germany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/2</w:t>
      </w:r>
      <w:r w:rsidR="00340D8D" w:rsidRPr="00E235D2">
        <w:t>9</w:t>
      </w:r>
      <w:r w:rsidRPr="00E235D2">
        <w:t xml:space="preserve"> (</w:t>
      </w:r>
      <w:r w:rsidR="00F71DA2" w:rsidRPr="00E235D2">
        <w:t>France</w:t>
      </w:r>
      <w:r w:rsidRPr="00E235D2">
        <w:t xml:space="preserve">) 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30</w:t>
      </w:r>
      <w:r w:rsidRPr="00E235D2">
        <w:t xml:space="preserve"> (</w:t>
      </w:r>
      <w:r w:rsidR="00F71DA2" w:rsidRPr="00E235D2">
        <w:t>ITCO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31</w:t>
      </w:r>
      <w:r w:rsidRPr="00E235D2">
        <w:t xml:space="preserve"> (</w:t>
      </w:r>
      <w:r w:rsidR="00F71DA2" w:rsidRPr="00E235D2">
        <w:t>OTIF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32</w:t>
      </w:r>
      <w:r w:rsidRPr="00E235D2">
        <w:t xml:space="preserve"> (</w:t>
      </w:r>
      <w:r w:rsidR="00F71DA2" w:rsidRPr="00E235D2">
        <w:t>Spain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33</w:t>
      </w:r>
      <w:r w:rsidRPr="00E235D2">
        <w:t xml:space="preserve"> (</w:t>
      </w:r>
      <w:r w:rsidR="00F71DA2" w:rsidRPr="00E235D2">
        <w:t>Spain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34</w:t>
      </w:r>
      <w:r w:rsidRPr="00E235D2">
        <w:t xml:space="preserve"> (</w:t>
      </w:r>
      <w:r w:rsidR="00F71DA2" w:rsidRPr="00E235D2">
        <w:t>FEAD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</w:t>
      </w:r>
      <w:r w:rsidR="00340D8D" w:rsidRPr="00E235D2">
        <w:t>35</w:t>
      </w:r>
      <w:r w:rsidRPr="00E235D2">
        <w:t xml:space="preserve"> (F</w:t>
      </w:r>
      <w:r w:rsidR="00F71DA2" w:rsidRPr="00E235D2">
        <w:t>inland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/3</w:t>
      </w:r>
      <w:r w:rsidR="00340D8D" w:rsidRPr="00E235D2">
        <w:t>6</w:t>
      </w:r>
      <w:r w:rsidRPr="00E235D2">
        <w:t xml:space="preserve"> (</w:t>
      </w:r>
      <w:r w:rsidR="00F71DA2" w:rsidRPr="00E235D2">
        <w:t>Finland</w:t>
      </w:r>
      <w:r w:rsidRPr="00E235D2">
        <w:t>)</w:t>
      </w:r>
    </w:p>
    <w:p w:rsidR="004B5B23" w:rsidRPr="00E235D2" w:rsidRDefault="004B5B23" w:rsidP="00E235D2">
      <w:pPr>
        <w:pStyle w:val="SingleTxtG"/>
      </w:pPr>
      <w:r w:rsidRPr="00E235D2">
        <w:t>ECE/TRANS/WP.15/AC.1/</w:t>
      </w:r>
      <w:r w:rsidR="00AD3135" w:rsidRPr="00E235D2">
        <w:t>2019</w:t>
      </w:r>
      <w:r w:rsidRPr="00E235D2">
        <w:t>/3</w:t>
      </w:r>
      <w:r w:rsidR="00340D8D" w:rsidRPr="00E235D2">
        <w:t>7</w:t>
      </w:r>
      <w:r w:rsidRPr="00E235D2">
        <w:t xml:space="preserve"> (</w:t>
      </w:r>
      <w:r w:rsidR="00F71DA2" w:rsidRPr="00E235D2">
        <w:t>EIGA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ECE/TRANS/WP.15/AC.1/2019/38 (</w:t>
      </w:r>
      <w:r w:rsidR="00F71DA2" w:rsidRPr="00E235D2">
        <w:t>Sweden/Switzerland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ECE/TRANS/WP.15/AC.1/2019/39 (</w:t>
      </w:r>
      <w:r w:rsidR="00F71DA2" w:rsidRPr="00E235D2">
        <w:t>United Kingdom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ECE/TRANS/WP.15/AC.1/2019/40 (</w:t>
      </w:r>
      <w:r w:rsidR="00F71DA2" w:rsidRPr="00E235D2">
        <w:t>United Kingdom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lastRenderedPageBreak/>
        <w:t>ECE/TRANS/WP.15/AC.1/2019/41 (</w:t>
      </w:r>
      <w:r w:rsidR="00F71DA2" w:rsidRPr="00E235D2">
        <w:t>Italy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ECE/TRANS/WP.15/AC.1/2019/42 (</w:t>
      </w:r>
      <w:r w:rsidR="00F71DA2" w:rsidRPr="00E235D2">
        <w:t>Italy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ECE/TRANS/WP.15/AC.1/2019/43 (</w:t>
      </w:r>
      <w:r w:rsidR="00F71DA2" w:rsidRPr="00E235D2">
        <w:t>Italy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ECE/TRANS/WP.15/AC.1/2019/44 (</w:t>
      </w:r>
      <w:r w:rsidR="00F71DA2" w:rsidRPr="00E235D2">
        <w:t>Germany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ECE/TRANS/WP.15/AC.1/2019/45 (</w:t>
      </w:r>
      <w:r w:rsidR="00FA06F9" w:rsidRPr="00E235D2">
        <w:t>Switzerland</w:t>
      </w:r>
      <w:r w:rsidRPr="00E235D2">
        <w:t>)</w:t>
      </w:r>
    </w:p>
    <w:p w:rsidR="00340D8D" w:rsidRPr="00E235D2" w:rsidRDefault="00340D8D" w:rsidP="00E235D2">
      <w:pPr>
        <w:pStyle w:val="SingleTxtG"/>
      </w:pPr>
      <w:r w:rsidRPr="00E235D2">
        <w:t>ECE/TRANS/WP.15/AC.1/2019/46 (CEN)</w:t>
      </w:r>
    </w:p>
    <w:p w:rsidR="00340D8D" w:rsidRPr="00E235D2" w:rsidRDefault="00340D8D" w:rsidP="00E235D2">
      <w:pPr>
        <w:pStyle w:val="SingleTxtG"/>
      </w:pPr>
      <w:r w:rsidRPr="00E235D2">
        <w:t>ECE/TRANS/WP.15/AC.1/2019/47 (Switzerland)</w:t>
      </w:r>
    </w:p>
    <w:p w:rsidR="00340D8D" w:rsidRPr="00E235D2" w:rsidRDefault="00340D8D" w:rsidP="00E235D2">
      <w:pPr>
        <w:pStyle w:val="SingleTxtG"/>
      </w:pPr>
      <w:r w:rsidRPr="00E235D2">
        <w:t>ECE/TRANS/WP.15/AC.1/2019/48 (UIC)</w:t>
      </w:r>
    </w:p>
    <w:p w:rsidR="00340D8D" w:rsidRPr="00E235D2" w:rsidRDefault="00340D8D" w:rsidP="00E235D2">
      <w:pPr>
        <w:pStyle w:val="SingleTxtG"/>
      </w:pPr>
      <w:r w:rsidRPr="00E235D2">
        <w:t>ECE/TRANS/WP.15/AC.1/2019/49 (Netherlands)</w:t>
      </w:r>
    </w:p>
    <w:p w:rsidR="006E6FC4" w:rsidRPr="00746694" w:rsidRDefault="006E6FC4" w:rsidP="006E6FC4">
      <w:pPr>
        <w:pStyle w:val="SingleTxtG"/>
        <w:suppressAutoHyphens/>
        <w:spacing w:before="240" w:after="0" w:line="240" w:lineRule="atLeast"/>
        <w:jc w:val="center"/>
        <w:rPr>
          <w:sz w:val="24"/>
          <w:szCs w:val="24"/>
          <w:u w:val="single"/>
        </w:rPr>
      </w:pPr>
      <w:r w:rsidRPr="00746694">
        <w:rPr>
          <w:sz w:val="24"/>
          <w:szCs w:val="24"/>
          <w:u w:val="single"/>
        </w:rPr>
        <w:tab/>
      </w:r>
      <w:r w:rsidRPr="00746694">
        <w:rPr>
          <w:sz w:val="24"/>
          <w:szCs w:val="24"/>
          <w:u w:val="single"/>
        </w:rPr>
        <w:tab/>
      </w:r>
      <w:r w:rsidRPr="00746694">
        <w:rPr>
          <w:sz w:val="24"/>
          <w:szCs w:val="24"/>
          <w:u w:val="single"/>
        </w:rPr>
        <w:tab/>
      </w:r>
    </w:p>
    <w:p w:rsidR="006E6FC4" w:rsidRPr="00746694" w:rsidRDefault="006E6FC4" w:rsidP="006E6FC4">
      <w:pPr>
        <w:pStyle w:val="SingleTxtG"/>
        <w:spacing w:after="0"/>
        <w:ind w:left="0"/>
        <w:rPr>
          <w:b/>
          <w:sz w:val="24"/>
          <w:szCs w:val="24"/>
        </w:rPr>
      </w:pPr>
    </w:p>
    <w:sectPr w:rsidR="006E6FC4" w:rsidRPr="00746694" w:rsidSect="0073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15" w:rsidRDefault="00117315"/>
  </w:endnote>
  <w:endnote w:type="continuationSeparator" w:id="0">
    <w:p w:rsidR="00117315" w:rsidRDefault="00117315"/>
  </w:endnote>
  <w:endnote w:type="continuationNotice" w:id="1">
    <w:p w:rsidR="00117315" w:rsidRDefault="0011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6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15" w:rsidRPr="000B175B" w:rsidRDefault="001173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7315" w:rsidRPr="00FC68B7" w:rsidRDefault="001173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7315" w:rsidRDefault="00117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073BC9" w:rsidRDefault="00021E68" w:rsidP="0009455D">
    <w:pPr>
      <w:pStyle w:val="Header"/>
      <w:jc w:val="right"/>
    </w:pPr>
    <w:r>
      <w:t>INF.2/Rev.1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2A69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47EAE"/>
    <w:rsid w:val="00453060"/>
    <w:rsid w:val="00462880"/>
    <w:rsid w:val="0047298C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503BEA"/>
    <w:rsid w:val="0050410A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6FC4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1DA2"/>
    <w:rsid w:val="00F754D7"/>
    <w:rsid w:val="00F80C99"/>
    <w:rsid w:val="00F867EC"/>
    <w:rsid w:val="00F91B2B"/>
    <w:rsid w:val="00FA06F9"/>
    <w:rsid w:val="00FA3135"/>
    <w:rsid w:val="00FB6CF1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16A414DD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2C7C-BF7E-4994-9625-1BF6CE2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8</cp:revision>
  <cp:lastPrinted>2015-09-14T14:10:00Z</cp:lastPrinted>
  <dcterms:created xsi:type="dcterms:W3CDTF">2019-06-27T09:23:00Z</dcterms:created>
  <dcterms:modified xsi:type="dcterms:W3CDTF">2019-09-02T13:34:00Z</dcterms:modified>
</cp:coreProperties>
</file>