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B75036" w:rsidP="00B75036">
            <w:pPr>
              <w:jc w:val="right"/>
            </w:pPr>
            <w:r w:rsidRPr="00B75036">
              <w:rPr>
                <w:sz w:val="40"/>
              </w:rPr>
              <w:t>ECE</w:t>
            </w:r>
            <w:r>
              <w:t>/TRANS/WP.15/AC.1/2019/38</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B75036" w:rsidP="00B75036">
            <w:pPr>
              <w:spacing w:before="240" w:line="240" w:lineRule="exact"/>
            </w:pPr>
            <w:r>
              <w:t>Distr.: General</w:t>
            </w:r>
          </w:p>
          <w:p w:rsidR="00B75036" w:rsidRDefault="00FE3FCC" w:rsidP="00B75036">
            <w:pPr>
              <w:spacing w:line="240" w:lineRule="exact"/>
            </w:pPr>
            <w:r>
              <w:t>21</w:t>
            </w:r>
            <w:r w:rsidR="00B75036">
              <w:t xml:space="preserve"> June 2019</w:t>
            </w:r>
          </w:p>
          <w:p w:rsidR="00B75036" w:rsidRDefault="00B75036" w:rsidP="00B75036">
            <w:pPr>
              <w:spacing w:line="240" w:lineRule="exact"/>
            </w:pPr>
          </w:p>
          <w:p w:rsidR="00B75036" w:rsidRDefault="00B75036" w:rsidP="00B75036">
            <w:pPr>
              <w:spacing w:line="240" w:lineRule="exact"/>
            </w:pPr>
            <w:r>
              <w:t>Original: English</w:t>
            </w:r>
          </w:p>
        </w:tc>
      </w:tr>
    </w:tbl>
    <w:p w:rsidR="006F2AD4" w:rsidRDefault="006F2AD4" w:rsidP="006F2AD4">
      <w:pPr>
        <w:spacing w:before="120"/>
        <w:rPr>
          <w:b/>
          <w:sz w:val="28"/>
          <w:szCs w:val="28"/>
        </w:rPr>
      </w:pPr>
      <w:r>
        <w:rPr>
          <w:b/>
          <w:sz w:val="28"/>
          <w:szCs w:val="28"/>
        </w:rPr>
        <w:t>Economic Commission for Europe</w:t>
      </w:r>
    </w:p>
    <w:p w:rsidR="006F2AD4" w:rsidRDefault="006F2AD4" w:rsidP="006F2AD4">
      <w:pPr>
        <w:spacing w:before="120"/>
        <w:rPr>
          <w:sz w:val="28"/>
          <w:szCs w:val="28"/>
        </w:rPr>
      </w:pPr>
      <w:r>
        <w:rPr>
          <w:sz w:val="28"/>
          <w:szCs w:val="28"/>
        </w:rPr>
        <w:t>Inland Transport Committee</w:t>
      </w:r>
    </w:p>
    <w:p w:rsidR="006F2AD4" w:rsidRDefault="006F2AD4" w:rsidP="006F2AD4">
      <w:pPr>
        <w:spacing w:before="120" w:after="120"/>
        <w:rPr>
          <w:b/>
          <w:sz w:val="24"/>
          <w:szCs w:val="24"/>
        </w:rPr>
      </w:pPr>
      <w:r>
        <w:rPr>
          <w:b/>
          <w:sz w:val="24"/>
          <w:szCs w:val="24"/>
        </w:rPr>
        <w:t>Working Party on the Transport of Dangerous Goods</w:t>
      </w:r>
    </w:p>
    <w:p w:rsidR="006F2AD4" w:rsidRDefault="006F2AD4" w:rsidP="006F2AD4">
      <w:pPr>
        <w:rPr>
          <w:b/>
        </w:rPr>
      </w:pPr>
      <w:r>
        <w:rPr>
          <w:b/>
        </w:rPr>
        <w:t>Joint Meeting of the RID Committee of Experts and the</w:t>
      </w:r>
    </w:p>
    <w:p w:rsidR="006F2AD4" w:rsidRPr="00FB76E2" w:rsidRDefault="006F2AD4" w:rsidP="006F2AD4">
      <w:pPr>
        <w:rPr>
          <w:b/>
        </w:rPr>
      </w:pPr>
      <w:r w:rsidRPr="00FB76E2">
        <w:rPr>
          <w:b/>
        </w:rPr>
        <w:t>Working Party on the Transport of Dangerous Goods</w:t>
      </w:r>
    </w:p>
    <w:p w:rsidR="006F2AD4" w:rsidRPr="00FB76E2" w:rsidRDefault="006F2AD4" w:rsidP="006F2AD4">
      <w:r w:rsidRPr="00FB76E2">
        <w:t>Geneva, 17–27 September 2019</w:t>
      </w:r>
    </w:p>
    <w:p w:rsidR="006F2AD4" w:rsidRDefault="006F2AD4" w:rsidP="006F2AD4">
      <w:r w:rsidRPr="00FB76E2">
        <w:t>Item 5</w:t>
      </w:r>
      <w:bookmarkStart w:id="0" w:name="_GoBack"/>
      <w:bookmarkEnd w:id="0"/>
      <w:r w:rsidRPr="00FB76E2">
        <w:t>(a) of the</w:t>
      </w:r>
      <w:r>
        <w:t xml:space="preserve"> provisional agenda</w:t>
      </w:r>
    </w:p>
    <w:p w:rsidR="006F2AD4" w:rsidRDefault="006F2AD4" w:rsidP="006F2AD4">
      <w:pPr>
        <w:spacing w:line="240" w:lineRule="auto"/>
        <w:rPr>
          <w:b/>
          <w:bCs/>
        </w:rPr>
      </w:pPr>
      <w:r>
        <w:rPr>
          <w:b/>
        </w:rPr>
        <w:t>Proposals for amendments to RID/ADR/ADN:</w:t>
      </w:r>
      <w:r>
        <w:rPr>
          <w:b/>
        </w:rPr>
        <w:br/>
      </w:r>
      <w:r>
        <w:rPr>
          <w:b/>
          <w:bCs/>
        </w:rPr>
        <w:t>p</w:t>
      </w:r>
      <w:r w:rsidRPr="00500503">
        <w:rPr>
          <w:b/>
          <w:bCs/>
        </w:rPr>
        <w:t>ending issues</w:t>
      </w:r>
    </w:p>
    <w:p w:rsidR="006F2AD4" w:rsidRPr="00302B8D" w:rsidRDefault="006F2AD4" w:rsidP="006F2AD4">
      <w:pPr>
        <w:pStyle w:val="HChG"/>
      </w:pPr>
      <w:r w:rsidRPr="00302B8D">
        <w:tab/>
      </w:r>
      <w:r w:rsidRPr="00302B8D">
        <w:tab/>
      </w:r>
      <w:r>
        <w:rPr>
          <w:lang w:val="en-US"/>
        </w:rPr>
        <w:t>Marking of wagons and containers loaded with limited quantities</w:t>
      </w:r>
    </w:p>
    <w:p w:rsidR="006F2AD4" w:rsidRPr="00382FF6" w:rsidRDefault="006F2AD4" w:rsidP="006F2AD4">
      <w:pPr>
        <w:pStyle w:val="HChG"/>
        <w:rPr>
          <w:sz w:val="24"/>
        </w:rPr>
      </w:pPr>
      <w:r>
        <w:tab/>
      </w:r>
      <w:r>
        <w:tab/>
      </w:r>
      <w:r>
        <w:tab/>
      </w:r>
      <w:r w:rsidRPr="00382FF6">
        <w:rPr>
          <w:sz w:val="24"/>
        </w:rPr>
        <w:t>Transmitted by the Governments of Sweden and Switzerland</w:t>
      </w:r>
      <w:r w:rsidRPr="007C75A8">
        <w:rPr>
          <w:rStyle w:val="FootnoteReference"/>
          <w:sz w:val="20"/>
        </w:rPr>
        <w:footnoteReference w:customMarkFollows="1" w:id="2"/>
        <w:t>*</w:t>
      </w:r>
      <w:r w:rsidRPr="007C75A8">
        <w:rPr>
          <w:sz w:val="20"/>
          <w:vertAlign w:val="superscript"/>
        </w:rPr>
        <w:t xml:space="preserve">, </w:t>
      </w:r>
      <w:r w:rsidRPr="007C75A8">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6F2AD4" w:rsidRPr="00E940D0" w:rsidTr="009A7D3B">
        <w:trPr>
          <w:jc w:val="center"/>
        </w:trPr>
        <w:tc>
          <w:tcPr>
            <w:tcW w:w="9082" w:type="dxa"/>
            <w:shd w:val="clear" w:color="auto" w:fill="auto"/>
          </w:tcPr>
          <w:p w:rsidR="006F2AD4" w:rsidRPr="00E940D0" w:rsidRDefault="006F2AD4" w:rsidP="009A7D3B">
            <w:pPr>
              <w:spacing w:before="240" w:after="120"/>
              <w:ind w:left="255"/>
              <w:rPr>
                <w:i/>
                <w:sz w:val="24"/>
              </w:rPr>
            </w:pPr>
            <w:r w:rsidRPr="00E940D0">
              <w:rPr>
                <w:i/>
                <w:sz w:val="24"/>
              </w:rPr>
              <w:t>Summary</w:t>
            </w:r>
          </w:p>
        </w:tc>
      </w:tr>
      <w:tr w:rsidR="006F2AD4" w:rsidRPr="0035523F" w:rsidTr="009A7D3B">
        <w:trPr>
          <w:jc w:val="center"/>
        </w:trPr>
        <w:tc>
          <w:tcPr>
            <w:tcW w:w="9082" w:type="dxa"/>
            <w:shd w:val="clear" w:color="auto" w:fill="auto"/>
          </w:tcPr>
          <w:p w:rsidR="006F2AD4" w:rsidRPr="00CD0808" w:rsidRDefault="006F2AD4" w:rsidP="009A7D3B">
            <w:pPr>
              <w:pStyle w:val="SingleTxtG"/>
              <w:tabs>
                <w:tab w:val="left" w:pos="3260"/>
              </w:tabs>
              <w:ind w:left="3260" w:hanging="2126"/>
              <w:jc w:val="left"/>
            </w:pPr>
            <w:r w:rsidRPr="00CD0808">
              <w:rPr>
                <w:b/>
              </w:rPr>
              <w:t>Executive summary:</w:t>
            </w:r>
            <w:r>
              <w:rPr>
                <w:b/>
              </w:rPr>
              <w:t xml:space="preserve"> </w:t>
            </w:r>
            <w:r w:rsidRPr="00CD0808">
              <w:tab/>
            </w:r>
            <w:r>
              <w:t xml:space="preserve">Wagons and containers loaded with limited quantities together with fully regulated dangerous goods do not have to bear the mark for limited quantities. This might result in that the marking on the wagon or container does not reflect the actual hazard which could lead to serious safety issues in case of an accident.  </w:t>
            </w:r>
          </w:p>
        </w:tc>
      </w:tr>
      <w:tr w:rsidR="006F2AD4" w:rsidRPr="00597302" w:rsidTr="009A7D3B">
        <w:trPr>
          <w:jc w:val="center"/>
        </w:trPr>
        <w:tc>
          <w:tcPr>
            <w:tcW w:w="9082" w:type="dxa"/>
            <w:shd w:val="clear" w:color="auto" w:fill="auto"/>
          </w:tcPr>
          <w:p w:rsidR="006F2AD4" w:rsidRPr="00CD0808" w:rsidRDefault="006F2AD4" w:rsidP="009A7D3B">
            <w:pPr>
              <w:pStyle w:val="SingleTxtG"/>
              <w:tabs>
                <w:tab w:val="left" w:pos="3260"/>
              </w:tabs>
              <w:ind w:left="3260" w:hanging="2126"/>
            </w:pPr>
            <w:r w:rsidRPr="00CD0808">
              <w:rPr>
                <w:b/>
              </w:rPr>
              <w:t>Action to be taken:</w:t>
            </w:r>
            <w:r>
              <w:rPr>
                <w:b/>
              </w:rPr>
              <w:t xml:space="preserve">     </w:t>
            </w:r>
            <w:r>
              <w:rPr>
                <w:b/>
              </w:rPr>
              <w:tab/>
            </w:r>
            <w:r>
              <w:t>Amend sub-section 3.4.13 (b) in ADR and sub-sections 3.4.13 (a) and (b) in RID.</w:t>
            </w:r>
          </w:p>
        </w:tc>
      </w:tr>
      <w:tr w:rsidR="006F2AD4" w:rsidRPr="008F1BFF" w:rsidTr="009A7D3B">
        <w:trPr>
          <w:jc w:val="center"/>
        </w:trPr>
        <w:tc>
          <w:tcPr>
            <w:tcW w:w="9082" w:type="dxa"/>
            <w:shd w:val="clear" w:color="auto" w:fill="auto"/>
          </w:tcPr>
          <w:p w:rsidR="006F2AD4" w:rsidRDefault="006F2AD4" w:rsidP="009A7D3B">
            <w:pPr>
              <w:pStyle w:val="SingleTxtG"/>
              <w:tabs>
                <w:tab w:val="left" w:pos="3260"/>
              </w:tabs>
              <w:spacing w:after="0"/>
              <w:ind w:left="3260" w:hanging="2126"/>
              <w:jc w:val="left"/>
              <w:rPr>
                <w:highlight w:val="yellow"/>
              </w:rPr>
            </w:pPr>
            <w:r w:rsidRPr="00CD0808">
              <w:rPr>
                <w:b/>
              </w:rPr>
              <w:t>Related documents:</w:t>
            </w:r>
            <w:r>
              <w:rPr>
                <w:b/>
              </w:rPr>
              <w:t xml:space="preserve">        </w:t>
            </w:r>
            <w:r w:rsidRPr="008F1BFF">
              <w:t>OTIF/RID/CE/GTP/2017/9 (Sweden)</w:t>
            </w:r>
            <w:r w:rsidRPr="008F1BFF">
              <w:br/>
            </w:r>
            <w:hyperlink r:id="rId9" w:tgtFrame="_blank" w:history="1">
              <w:r w:rsidRPr="008F1BFF">
                <w:t>OTIF/RID/CE/GTP/2017-A</w:t>
              </w:r>
            </w:hyperlink>
            <w:r w:rsidRPr="008F1BFF">
              <w:t xml:space="preserve"> TRANS/WP.15/AC.1/2018/14</w:t>
            </w:r>
            <w:r w:rsidRPr="008F1BFF">
              <w:br/>
              <w:t>ECE/TRANS/WP.15/AC.1/150</w:t>
            </w:r>
            <w:r w:rsidRPr="008F1BFF">
              <w:br/>
              <w:t>ECE/TRANS/WP.15/2019/7</w:t>
            </w:r>
            <w:r w:rsidRPr="008F1BFF">
              <w:br/>
              <w:t>Informal document INF.7 Comments on 2019/7</w:t>
            </w:r>
          </w:p>
          <w:p w:rsidR="006F2AD4" w:rsidRPr="008F1BFF" w:rsidRDefault="006F2AD4" w:rsidP="009A7D3B">
            <w:pPr>
              <w:pStyle w:val="SingleTxtG"/>
              <w:tabs>
                <w:tab w:val="left" w:pos="3260"/>
              </w:tabs>
              <w:spacing w:after="0"/>
              <w:ind w:left="3260" w:hanging="2126"/>
              <w:jc w:val="left"/>
              <w:rPr>
                <w:b/>
              </w:rPr>
            </w:pPr>
          </w:p>
        </w:tc>
      </w:tr>
      <w:tr w:rsidR="006F2AD4" w:rsidRPr="008F1BFF" w:rsidTr="009A7D3B">
        <w:trPr>
          <w:jc w:val="center"/>
        </w:trPr>
        <w:tc>
          <w:tcPr>
            <w:tcW w:w="9082" w:type="dxa"/>
            <w:shd w:val="clear" w:color="auto" w:fill="auto"/>
          </w:tcPr>
          <w:p w:rsidR="006F2AD4" w:rsidRPr="008F1BFF" w:rsidRDefault="006F2AD4" w:rsidP="009A7D3B"/>
        </w:tc>
      </w:tr>
    </w:tbl>
    <w:p w:rsidR="006F2AD4" w:rsidRPr="009950AD" w:rsidRDefault="006F2AD4" w:rsidP="006F2AD4">
      <w:pPr>
        <w:pStyle w:val="HChG"/>
        <w:ind w:firstLine="0"/>
      </w:pPr>
      <w:r>
        <w:lastRenderedPageBreak/>
        <w:t>Background</w:t>
      </w:r>
    </w:p>
    <w:p w:rsidR="006F2AD4" w:rsidRPr="00EF5957" w:rsidRDefault="006F2AD4" w:rsidP="006F2AD4">
      <w:pPr>
        <w:pStyle w:val="SingleTxtG"/>
      </w:pPr>
      <w:r w:rsidRPr="00EF5957">
        <w:rPr>
          <w:rFonts w:eastAsiaTheme="minorEastAsia"/>
          <w:lang w:val="en-US" w:eastAsia="zh-CN"/>
        </w:rPr>
        <w:t>1.</w:t>
      </w:r>
      <w:r w:rsidRPr="00EF5957">
        <w:rPr>
          <w:rFonts w:eastAsiaTheme="minorEastAsia"/>
          <w:lang w:val="en-US" w:eastAsia="zh-CN"/>
        </w:rPr>
        <w:tab/>
        <w:t>At the 8</w:t>
      </w:r>
      <w:r w:rsidRPr="00EF5957">
        <w:rPr>
          <w:rFonts w:eastAsiaTheme="minorEastAsia"/>
          <w:vertAlign w:val="superscript"/>
          <w:lang w:val="en-US" w:eastAsia="zh-CN"/>
        </w:rPr>
        <w:t>th</w:t>
      </w:r>
      <w:r w:rsidRPr="00EF5957">
        <w:rPr>
          <w:rFonts w:eastAsiaTheme="minorEastAsia"/>
          <w:lang w:val="en-US" w:eastAsia="zh-CN"/>
        </w:rPr>
        <w:t xml:space="preserve"> session of the RID standing working group, Sweden submitted a document (2017/9) concerning marking of wagons containing limited quantities. However, the working group was of the view that also containers should be considered and that, therefore, the question should be dealt with by the Joint Meeting in March 2018.</w:t>
      </w:r>
      <w:r w:rsidRPr="00EF5957">
        <w:t xml:space="preserve"> At the Joint meeting the opinions differed. Sweden agreed to consider the comments further and come back to a future session. </w:t>
      </w:r>
    </w:p>
    <w:p w:rsidR="006F2AD4" w:rsidRDefault="006F2AD4" w:rsidP="006F2AD4">
      <w:pPr>
        <w:pStyle w:val="SingleTxtG"/>
      </w:pPr>
      <w:r w:rsidRPr="00EF5957">
        <w:t>2.</w:t>
      </w:r>
      <w:r w:rsidRPr="00EF5957">
        <w:tab/>
        <w:t>Due to a proposal from Switzerland (</w:t>
      </w:r>
      <w:hyperlink r:id="rId10" w:history="1">
        <w:r w:rsidRPr="00EF5957">
          <w:rPr>
            <w:rStyle w:val="Hyperlink"/>
            <w:color w:val="auto"/>
          </w:rPr>
          <w:t>2019/7</w:t>
        </w:r>
      </w:hyperlink>
      <w:r w:rsidRPr="00EF5957">
        <w:t>), followed by an informal document from Sweden (</w:t>
      </w:r>
      <w:hyperlink r:id="rId11" w:history="1">
        <w:r w:rsidRPr="00EF5957">
          <w:rPr>
            <w:rStyle w:val="Hyperlink"/>
            <w:color w:val="auto"/>
          </w:rPr>
          <w:t>INF.7</w:t>
        </w:r>
      </w:hyperlink>
      <w:r w:rsidRPr="00EF5957">
        <w:t xml:space="preserve">), the matter was also discussed by the Working Party on the Transport of Dangerous Goods (WP.15) in May 2019. The proposal in INF.7 gained some support but was once again transferred </w:t>
      </w:r>
      <w:r>
        <w:t>to the Joint meeting to consider both rail and road.</w:t>
      </w:r>
    </w:p>
    <w:p w:rsidR="006F2AD4" w:rsidRDefault="006F2AD4" w:rsidP="006F2AD4">
      <w:pPr>
        <w:pStyle w:val="HChG"/>
        <w:ind w:firstLine="0"/>
      </w:pPr>
      <w:r>
        <w:t>Introduction</w:t>
      </w:r>
    </w:p>
    <w:p w:rsidR="006F2AD4" w:rsidRPr="00473CE3" w:rsidRDefault="006F2AD4" w:rsidP="006F2AD4">
      <w:pPr>
        <w:pStyle w:val="SingleTxtG"/>
      </w:pPr>
      <w:r>
        <w:t>3.</w:t>
      </w:r>
      <w:r>
        <w:tab/>
        <w:t xml:space="preserve">According to the report from the Joint meeting in March last year, </w:t>
      </w:r>
      <w:r w:rsidRPr="00473CE3">
        <w:t xml:space="preserve">most of the delegations who took the floor pointed out that dangerous goods allowed to be carried in limited quantities were those posing a low hazard during carriage. They therefore considered that affixing the LQ mark would not increase safety, as the mark did not give any indication of the nature of the hazard of the goods carried. </w:t>
      </w:r>
    </w:p>
    <w:p w:rsidR="006F2AD4" w:rsidRDefault="006F2AD4" w:rsidP="006F2AD4">
      <w:pPr>
        <w:pStyle w:val="SingleTxtG"/>
      </w:pPr>
      <w:r>
        <w:t>4.</w:t>
      </w:r>
      <w:r>
        <w:tab/>
        <w:t xml:space="preserve">Sweden and Switzerland do not agree that the LQ mark would not increase safety, </w:t>
      </w:r>
      <w:proofErr w:type="gramStart"/>
      <w:r>
        <w:t>based on the fact that</w:t>
      </w:r>
      <w:proofErr w:type="gramEnd"/>
      <w:r>
        <w:t xml:space="preserve"> above 8 tonnes</w:t>
      </w:r>
      <w:r w:rsidRPr="00473CE3">
        <w:t xml:space="preserve"> the LQ-mark </w:t>
      </w:r>
      <w:r w:rsidRPr="007B6B6B">
        <w:rPr>
          <w:u w:val="single"/>
        </w:rPr>
        <w:t>is</w:t>
      </w:r>
      <w:r>
        <w:t xml:space="preserve"> required</w:t>
      </w:r>
      <w:r w:rsidRPr="00473CE3">
        <w:t xml:space="preserve">. </w:t>
      </w:r>
      <w:r>
        <w:t xml:space="preserve">According to our understanding, </w:t>
      </w:r>
      <w:r w:rsidRPr="00473CE3">
        <w:t>the</w:t>
      </w:r>
      <w:r>
        <w:t xml:space="preserve"> justification for requiring the</w:t>
      </w:r>
      <w:r w:rsidRPr="00473CE3">
        <w:t xml:space="preserve"> LQ-mark </w:t>
      </w:r>
      <w:r>
        <w:t xml:space="preserve">above 8 tonnes </w:t>
      </w:r>
      <w:r w:rsidRPr="00473CE3">
        <w:t xml:space="preserve">is </w:t>
      </w:r>
      <w:r>
        <w:t xml:space="preserve">that </w:t>
      </w:r>
      <w:r w:rsidRPr="00473CE3">
        <w:t xml:space="preserve">the permitted amount of load is </w:t>
      </w:r>
      <w:r>
        <w:t xml:space="preserve">considered </w:t>
      </w:r>
      <w:r w:rsidRPr="00473CE3">
        <w:t xml:space="preserve">so big that it </w:t>
      </w:r>
      <w:proofErr w:type="gramStart"/>
      <w:r w:rsidRPr="00473CE3">
        <w:t xml:space="preserve">actually </w:t>
      </w:r>
      <w:r w:rsidRPr="00200BD5">
        <w:rPr>
          <w:i/>
        </w:rPr>
        <w:t>is</w:t>
      </w:r>
      <w:proofErr w:type="gramEnd"/>
      <w:r w:rsidRPr="00473CE3">
        <w:t xml:space="preserve"> relevant to inform the rescue services about its existence. It is true that it does not give any indication of the nature of the hazard, but it informs the rescue services that there is a hazard which might vary – information that is quite relevant during e.g. firefighting. The same kind of information is given by an orange-colo</w:t>
      </w:r>
      <w:r>
        <w:t>u</w:t>
      </w:r>
      <w:r w:rsidRPr="00473CE3">
        <w:t xml:space="preserve">red plate. </w:t>
      </w:r>
    </w:p>
    <w:p w:rsidR="006F2AD4" w:rsidRDefault="00FE3FCC" w:rsidP="006F2AD4">
      <w:pPr>
        <w:pStyle w:val="SingleTxtG"/>
      </w:pPr>
      <w:r>
        <w:t>5.</w:t>
      </w:r>
      <w:r>
        <w:tab/>
      </w:r>
      <w:r w:rsidR="006F2AD4" w:rsidRPr="00473CE3">
        <w:t xml:space="preserve">However, </w:t>
      </w:r>
      <w:r w:rsidR="006F2AD4">
        <w:t>orange-coloured plates may never be dispensed with in the way that the LQ-mark may be dispensed with according to 3.4.13. This means that in</w:t>
      </w:r>
      <w:r w:rsidR="006F2AD4" w:rsidRPr="00473CE3">
        <w:t xml:space="preserve"> case </w:t>
      </w:r>
      <w:r w:rsidR="006F2AD4">
        <w:t>a wagon or container loaded with LQ</w:t>
      </w:r>
      <w:r w:rsidR="006F2AD4" w:rsidRPr="00473CE3">
        <w:t xml:space="preserve"> also contains dangerous goods requiring a placard, </w:t>
      </w:r>
      <w:r w:rsidR="006F2AD4">
        <w:t xml:space="preserve">the LQ-mark may be removed. This results in the loss of information on the type of goods carried and a risk that the </w:t>
      </w:r>
      <w:r w:rsidR="006F2AD4" w:rsidRPr="00473CE3">
        <w:t xml:space="preserve">placard </w:t>
      </w:r>
      <w:r w:rsidR="006F2AD4">
        <w:t xml:space="preserve">is </w:t>
      </w:r>
      <w:r w:rsidR="006F2AD4" w:rsidRPr="00473CE3">
        <w:t>understood as representing the whole load</w:t>
      </w:r>
      <w:r w:rsidR="006F2AD4">
        <w:t xml:space="preserve">. </w:t>
      </w:r>
      <w:r w:rsidR="006F2AD4" w:rsidRPr="00B26F86">
        <w:t>Based on safety concerns, w</w:t>
      </w:r>
      <w:r w:rsidR="006F2AD4">
        <w:t xml:space="preserve">e find this very </w:t>
      </w:r>
      <w:r w:rsidR="006F2AD4" w:rsidRPr="00473CE3">
        <w:t>unfortunate</w:t>
      </w:r>
      <w:r w:rsidR="006F2AD4">
        <w:t>.</w:t>
      </w:r>
      <w:r w:rsidR="006F2AD4" w:rsidRPr="00B26F86">
        <w:t xml:space="preserve"> </w:t>
      </w:r>
    </w:p>
    <w:p w:rsidR="006F2AD4" w:rsidRPr="00473CE3" w:rsidRDefault="00FE3FCC" w:rsidP="006F2AD4">
      <w:pPr>
        <w:pStyle w:val="SingleTxtG"/>
      </w:pPr>
      <w:r>
        <w:t>6</w:t>
      </w:r>
      <w:r w:rsidR="006F2AD4">
        <w:t>.</w:t>
      </w:r>
      <w:r w:rsidR="006F2AD4">
        <w:tab/>
      </w:r>
      <w:r w:rsidR="006F2AD4" w:rsidRPr="00473CE3">
        <w:t>In the report from th</w:t>
      </w:r>
      <w:r w:rsidR="006F2AD4">
        <w:t>e</w:t>
      </w:r>
      <w:r w:rsidR="006F2AD4" w:rsidRPr="00473CE3">
        <w:t xml:space="preserve"> Joint meeting the following is also stated:</w:t>
      </w:r>
    </w:p>
    <w:p w:rsidR="006F2AD4" w:rsidRPr="00473CE3" w:rsidRDefault="006F2AD4" w:rsidP="006F2AD4">
      <w:pPr>
        <w:pStyle w:val="SingleTxtG"/>
      </w:pPr>
      <w:r w:rsidRPr="00473CE3">
        <w:t>“Others considered that the same argument (</w:t>
      </w:r>
      <w:r w:rsidRPr="0004501D">
        <w:rPr>
          <w:i/>
        </w:rPr>
        <w:t>concerning that the nature of hazard is not informed</w:t>
      </w:r>
      <w:r w:rsidRPr="00473CE3">
        <w:t>) could be used to question the utility of the orange-coloured plate. It was noted however, that when the orange-coloured plate was required, the information about the nature of the goods carried had to be included in the transport document, while this was not the case for dangerous goods carried in limited quantities.”</w:t>
      </w:r>
    </w:p>
    <w:p w:rsidR="006F2AD4" w:rsidRDefault="00FE3FCC" w:rsidP="006F2AD4">
      <w:pPr>
        <w:pStyle w:val="SingleTxtG"/>
        <w:rPr>
          <w:b/>
          <w:i/>
        </w:rPr>
      </w:pPr>
      <w:r>
        <w:t>7.</w:t>
      </w:r>
      <w:r>
        <w:tab/>
      </w:r>
      <w:r w:rsidR="006F2AD4" w:rsidRPr="00473CE3">
        <w:t xml:space="preserve">In our view, this proves it even more important to display the LQ-mark since this is the only indication given that the transport unit contains dangerous goods that might </w:t>
      </w:r>
      <w:r w:rsidR="006F2AD4">
        <w:t>pose</w:t>
      </w:r>
      <w:r w:rsidR="006F2AD4" w:rsidRPr="00473CE3">
        <w:t xml:space="preserve"> different kind</w:t>
      </w:r>
      <w:r w:rsidR="006F2AD4">
        <w:t xml:space="preserve"> of hazards.</w:t>
      </w:r>
    </w:p>
    <w:p w:rsidR="006F2AD4" w:rsidRPr="00CF4171" w:rsidRDefault="006F2AD4" w:rsidP="006F2AD4">
      <w:pPr>
        <w:pStyle w:val="SingleTxtG"/>
        <w:rPr>
          <w:b/>
        </w:rPr>
      </w:pPr>
      <w:r>
        <w:rPr>
          <w:b/>
          <w:i/>
        </w:rPr>
        <w:t>Scenarios</w:t>
      </w:r>
      <w:r w:rsidRPr="00CD40B8">
        <w:rPr>
          <w:b/>
          <w:i/>
        </w:rPr>
        <w:t>:</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690"/>
        <w:gridCol w:w="3243"/>
      </w:tblGrid>
      <w:tr w:rsidR="006F2AD4" w:rsidTr="009A7D3B">
        <w:tc>
          <w:tcPr>
            <w:tcW w:w="8665" w:type="dxa"/>
            <w:gridSpan w:val="3"/>
            <w:tcBorders>
              <w:top w:val="single" w:sz="4" w:space="0" w:color="auto"/>
              <w:left w:val="single" w:sz="4" w:space="0" w:color="auto"/>
              <w:bottom w:val="single" w:sz="4" w:space="0" w:color="auto"/>
              <w:right w:val="single" w:sz="4" w:space="0" w:color="auto"/>
            </w:tcBorders>
          </w:tcPr>
          <w:p w:rsidR="006F2AD4" w:rsidRDefault="006F2AD4" w:rsidP="009A7D3B">
            <w:pPr>
              <w:spacing w:after="200" w:line="276" w:lineRule="auto"/>
              <w:ind w:left="1134"/>
              <w:jc w:val="center"/>
              <w:rPr>
                <w:rFonts w:ascii="Calibri" w:eastAsia="Calibri" w:hAnsi="Calibri"/>
                <w:b/>
                <w:lang w:val="en-US"/>
              </w:rPr>
            </w:pPr>
            <w:r>
              <w:rPr>
                <w:b/>
              </w:rPr>
              <w:t>Container or wagon</w:t>
            </w:r>
          </w:p>
        </w:tc>
      </w:tr>
      <w:tr w:rsidR="006F2AD4" w:rsidTr="009A7D3B">
        <w:tc>
          <w:tcPr>
            <w:tcW w:w="732" w:type="dxa"/>
            <w:tcBorders>
              <w:top w:val="single" w:sz="4" w:space="0" w:color="auto"/>
              <w:left w:val="single" w:sz="4" w:space="0" w:color="auto"/>
              <w:bottom w:val="single" w:sz="4" w:space="0" w:color="auto"/>
              <w:right w:val="single" w:sz="4" w:space="0" w:color="auto"/>
            </w:tcBorders>
          </w:tcPr>
          <w:p w:rsidR="006F2AD4" w:rsidRDefault="006F2AD4" w:rsidP="009A7D3B">
            <w:pPr>
              <w:ind w:left="1134"/>
              <w:rPr>
                <w:b/>
              </w:rPr>
            </w:pPr>
          </w:p>
        </w:tc>
        <w:tc>
          <w:tcPr>
            <w:tcW w:w="4690" w:type="dxa"/>
            <w:tcBorders>
              <w:top w:val="single" w:sz="4" w:space="0" w:color="auto"/>
              <w:left w:val="single" w:sz="4" w:space="0" w:color="auto"/>
              <w:bottom w:val="single" w:sz="4" w:space="0" w:color="auto"/>
              <w:right w:val="single" w:sz="4" w:space="0" w:color="auto"/>
            </w:tcBorders>
            <w:hideMark/>
          </w:tcPr>
          <w:p w:rsidR="006F2AD4" w:rsidRDefault="006F2AD4" w:rsidP="009A7D3B">
            <w:pPr>
              <w:ind w:left="1134"/>
              <w:rPr>
                <w:b/>
              </w:rPr>
            </w:pPr>
            <w:r>
              <w:rPr>
                <w:b/>
              </w:rPr>
              <w:t>Content</w:t>
            </w:r>
          </w:p>
        </w:tc>
        <w:tc>
          <w:tcPr>
            <w:tcW w:w="3243" w:type="dxa"/>
            <w:tcBorders>
              <w:top w:val="single" w:sz="4" w:space="0" w:color="auto"/>
              <w:left w:val="single" w:sz="4" w:space="0" w:color="auto"/>
              <w:bottom w:val="single" w:sz="4" w:space="0" w:color="auto"/>
              <w:right w:val="single" w:sz="4" w:space="0" w:color="auto"/>
            </w:tcBorders>
            <w:hideMark/>
          </w:tcPr>
          <w:p w:rsidR="006F2AD4" w:rsidRDefault="006F2AD4" w:rsidP="009A7D3B">
            <w:pPr>
              <w:ind w:left="1134"/>
              <w:rPr>
                <w:b/>
              </w:rPr>
            </w:pPr>
            <w:r>
              <w:rPr>
                <w:b/>
                <w:i/>
              </w:rPr>
              <w:t>Required</w:t>
            </w:r>
            <w:r>
              <w:rPr>
                <w:b/>
              </w:rPr>
              <w:t xml:space="preserve"> placarding/marking</w:t>
            </w:r>
          </w:p>
        </w:tc>
      </w:tr>
      <w:tr w:rsidR="006F2AD4" w:rsidTr="009A7D3B">
        <w:trPr>
          <w:trHeight w:val="1129"/>
        </w:trPr>
        <w:tc>
          <w:tcPr>
            <w:tcW w:w="732" w:type="dxa"/>
            <w:tcBorders>
              <w:top w:val="single" w:sz="4" w:space="0" w:color="auto"/>
              <w:left w:val="single" w:sz="4" w:space="0" w:color="auto"/>
              <w:bottom w:val="single" w:sz="4" w:space="0" w:color="auto"/>
              <w:right w:val="single" w:sz="4" w:space="0" w:color="auto"/>
            </w:tcBorders>
          </w:tcPr>
          <w:p w:rsidR="006F2AD4" w:rsidRPr="00A2156F" w:rsidRDefault="006F2AD4" w:rsidP="009A7D3B">
            <w:pPr>
              <w:jc w:val="center"/>
              <w:rPr>
                <w:rFonts w:eastAsia="Calibri"/>
                <w:b/>
              </w:rPr>
            </w:pPr>
            <w:r w:rsidRPr="00A2156F">
              <w:rPr>
                <w:rFonts w:eastAsia="Calibri"/>
                <w:b/>
              </w:rPr>
              <w:t>1</w:t>
            </w:r>
          </w:p>
        </w:tc>
        <w:tc>
          <w:tcPr>
            <w:tcW w:w="4690" w:type="dxa"/>
            <w:tcBorders>
              <w:top w:val="single" w:sz="4" w:space="0" w:color="auto"/>
              <w:left w:val="single" w:sz="4" w:space="0" w:color="auto"/>
              <w:bottom w:val="single" w:sz="4" w:space="0" w:color="auto"/>
              <w:right w:val="single" w:sz="4" w:space="0" w:color="auto"/>
            </w:tcBorders>
            <w:hideMark/>
          </w:tcPr>
          <w:p w:rsidR="006F2AD4" w:rsidRPr="00A2156F" w:rsidRDefault="006F2AD4" w:rsidP="006F2AD4">
            <w:pPr>
              <w:pStyle w:val="ListParagraph"/>
              <w:numPr>
                <w:ilvl w:val="0"/>
                <w:numId w:val="21"/>
              </w:numPr>
              <w:ind w:left="483" w:hanging="284"/>
              <w:rPr>
                <w:rFonts w:ascii="Times New Roman" w:eastAsia="Calibri" w:hAnsi="Times New Roman"/>
                <w:sz w:val="20"/>
                <w:szCs w:val="20"/>
                <w:lang w:val="en-GB"/>
              </w:rPr>
            </w:pPr>
            <w:r w:rsidRPr="00A2156F">
              <w:rPr>
                <w:rFonts w:ascii="Times New Roman" w:eastAsia="Calibri" w:hAnsi="Times New Roman"/>
                <w:sz w:val="20"/>
                <w:szCs w:val="20"/>
                <w:lang w:val="en-GB"/>
              </w:rPr>
              <w:t xml:space="preserve">28 000 litres UN 1170 Ethanol, 3, </w:t>
            </w:r>
            <w:proofErr w:type="gramStart"/>
            <w:r w:rsidRPr="00A2156F">
              <w:rPr>
                <w:rFonts w:ascii="Times New Roman" w:eastAsia="Calibri" w:hAnsi="Times New Roman"/>
                <w:sz w:val="20"/>
                <w:szCs w:val="20"/>
                <w:lang w:val="en-GB"/>
              </w:rPr>
              <w:t>III  in</w:t>
            </w:r>
            <w:proofErr w:type="gramEnd"/>
            <w:r w:rsidRPr="00A2156F">
              <w:rPr>
                <w:rFonts w:ascii="Times New Roman" w:eastAsia="Calibri" w:hAnsi="Times New Roman"/>
                <w:sz w:val="20"/>
                <w:szCs w:val="20"/>
                <w:lang w:val="en-GB"/>
              </w:rPr>
              <w:t xml:space="preserve"> 5600 plastic </w:t>
            </w:r>
            <w:proofErr w:type="spellStart"/>
            <w:r w:rsidRPr="00A2156F">
              <w:rPr>
                <w:rFonts w:ascii="Times New Roman" w:eastAsia="Calibri" w:hAnsi="Times New Roman"/>
                <w:sz w:val="20"/>
                <w:szCs w:val="20"/>
                <w:lang w:val="en-GB"/>
              </w:rPr>
              <w:t>jerricans</w:t>
            </w:r>
            <w:proofErr w:type="spellEnd"/>
            <w:r w:rsidRPr="00A2156F">
              <w:rPr>
                <w:rFonts w:ascii="Times New Roman" w:eastAsia="Calibri" w:hAnsi="Times New Roman"/>
                <w:sz w:val="20"/>
                <w:szCs w:val="20"/>
                <w:lang w:val="en-GB"/>
              </w:rPr>
              <w:t xml:space="preserve"> á 5 litres (LQ)</w:t>
            </w:r>
          </w:p>
        </w:tc>
        <w:tc>
          <w:tcPr>
            <w:tcW w:w="3243" w:type="dxa"/>
            <w:tcBorders>
              <w:top w:val="single" w:sz="4" w:space="0" w:color="auto"/>
              <w:left w:val="single" w:sz="4" w:space="0" w:color="auto"/>
              <w:bottom w:val="single" w:sz="4" w:space="0" w:color="auto"/>
              <w:right w:val="single" w:sz="4" w:space="0" w:color="auto"/>
            </w:tcBorders>
          </w:tcPr>
          <w:p w:rsidR="006F2AD4" w:rsidRDefault="006F2AD4" w:rsidP="009A7D3B">
            <w:pPr>
              <w:spacing w:after="200" w:line="276" w:lineRule="auto"/>
              <w:ind w:left="249"/>
              <w:rPr>
                <w:rFonts w:eastAsia="Calibri"/>
                <w:lang w:val="en-US"/>
              </w:rPr>
            </w:pPr>
            <w:r>
              <w:rPr>
                <w:noProof/>
                <w:lang w:val="sv-SE" w:eastAsia="sv-SE"/>
              </w:rPr>
              <w:drawing>
                <wp:anchor distT="0" distB="0" distL="114300" distR="114300" simplePos="0" relativeHeight="251659264" behindDoc="1" locked="0" layoutInCell="1" allowOverlap="1" wp14:anchorId="22E67FD1" wp14:editId="7FC230DE">
                  <wp:simplePos x="0" y="0"/>
                  <wp:positionH relativeFrom="column">
                    <wp:posOffset>755650</wp:posOffset>
                  </wp:positionH>
                  <wp:positionV relativeFrom="paragraph">
                    <wp:posOffset>183515</wp:posOffset>
                  </wp:positionV>
                  <wp:extent cx="410210" cy="410210"/>
                  <wp:effectExtent l="95250" t="95250" r="85090" b="85090"/>
                  <wp:wrapNone/>
                  <wp:docPr id="4" name="Bildobjekt 4" descr="https://www.msb.se/Upload/Forebyggande/farligt_gods/Skyltar_etiketter/bmp/LQ_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https://www.msb.se/Upload/Forebyggande/farligt_gods/Skyltar_etiketter/bmp/LQ_ny.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8184875">
                            <a:off x="0" y="0"/>
                            <a:ext cx="410210" cy="410210"/>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lang w:val="en-US"/>
              </w:rPr>
              <w:t>LQ</w:t>
            </w:r>
            <w:r>
              <w:rPr>
                <w:rFonts w:eastAsia="Calibri"/>
                <w:lang w:val="en-US"/>
              </w:rPr>
              <w:br/>
            </w:r>
          </w:p>
          <w:p w:rsidR="006F2AD4" w:rsidRDefault="006F2AD4" w:rsidP="009A7D3B">
            <w:pPr>
              <w:spacing w:after="200" w:line="276" w:lineRule="auto"/>
              <w:ind w:left="249"/>
              <w:rPr>
                <w:rFonts w:eastAsia="Calibri"/>
                <w:lang w:val="en-US"/>
              </w:rPr>
            </w:pPr>
          </w:p>
        </w:tc>
      </w:tr>
      <w:tr w:rsidR="006F2AD4" w:rsidTr="009A7D3B">
        <w:tc>
          <w:tcPr>
            <w:tcW w:w="732" w:type="dxa"/>
            <w:tcBorders>
              <w:top w:val="single" w:sz="4" w:space="0" w:color="auto"/>
              <w:left w:val="single" w:sz="4" w:space="0" w:color="auto"/>
              <w:bottom w:val="single" w:sz="4" w:space="0" w:color="auto"/>
              <w:right w:val="single" w:sz="4" w:space="0" w:color="auto"/>
            </w:tcBorders>
          </w:tcPr>
          <w:p w:rsidR="006F2AD4" w:rsidRPr="00CF4171" w:rsidRDefault="006F2AD4" w:rsidP="009A7D3B">
            <w:pPr>
              <w:jc w:val="center"/>
              <w:rPr>
                <w:rFonts w:eastAsia="Calibri"/>
                <w:b/>
              </w:rPr>
            </w:pPr>
            <w:r w:rsidRPr="00CF4171">
              <w:rPr>
                <w:rFonts w:eastAsia="Calibri"/>
                <w:b/>
              </w:rPr>
              <w:lastRenderedPageBreak/>
              <w:t>2</w:t>
            </w:r>
          </w:p>
        </w:tc>
        <w:tc>
          <w:tcPr>
            <w:tcW w:w="4690" w:type="dxa"/>
            <w:tcBorders>
              <w:top w:val="single" w:sz="4" w:space="0" w:color="auto"/>
              <w:left w:val="single" w:sz="4" w:space="0" w:color="auto"/>
              <w:bottom w:val="single" w:sz="4" w:space="0" w:color="auto"/>
              <w:right w:val="single" w:sz="4" w:space="0" w:color="auto"/>
            </w:tcBorders>
            <w:hideMark/>
          </w:tcPr>
          <w:p w:rsidR="006F2AD4" w:rsidRDefault="006F2AD4" w:rsidP="006F2AD4">
            <w:pPr>
              <w:pStyle w:val="ListParagraph"/>
              <w:numPr>
                <w:ilvl w:val="0"/>
                <w:numId w:val="22"/>
              </w:numPr>
              <w:ind w:left="483" w:hanging="284"/>
              <w:rPr>
                <w:rFonts w:ascii="Times New Roman" w:eastAsia="Calibri" w:hAnsi="Times New Roman"/>
                <w:sz w:val="20"/>
                <w:szCs w:val="20"/>
                <w:lang w:val="en-US"/>
              </w:rPr>
            </w:pPr>
            <w:r>
              <w:rPr>
                <w:rFonts w:ascii="Times New Roman" w:eastAsia="Calibri" w:hAnsi="Times New Roman"/>
                <w:sz w:val="20"/>
                <w:szCs w:val="20"/>
                <w:lang w:val="en-GB"/>
              </w:rPr>
              <w:t xml:space="preserve">28000 litres UN 1170 Ethanol, 3, </w:t>
            </w:r>
            <w:proofErr w:type="gramStart"/>
            <w:r>
              <w:rPr>
                <w:rFonts w:ascii="Times New Roman" w:eastAsia="Calibri" w:hAnsi="Times New Roman"/>
                <w:sz w:val="20"/>
                <w:szCs w:val="20"/>
                <w:lang w:val="en-GB"/>
              </w:rPr>
              <w:t>III  in</w:t>
            </w:r>
            <w:proofErr w:type="gramEnd"/>
            <w:r>
              <w:rPr>
                <w:rFonts w:ascii="Times New Roman" w:eastAsia="Calibri" w:hAnsi="Times New Roman"/>
                <w:sz w:val="20"/>
                <w:szCs w:val="20"/>
                <w:lang w:val="en-GB"/>
              </w:rPr>
              <w:t xml:space="preserve"> 5600 plastic </w:t>
            </w:r>
            <w:proofErr w:type="spellStart"/>
            <w:r>
              <w:rPr>
                <w:rFonts w:ascii="Times New Roman" w:eastAsia="Calibri" w:hAnsi="Times New Roman"/>
                <w:sz w:val="20"/>
                <w:szCs w:val="20"/>
                <w:lang w:val="en-GB"/>
              </w:rPr>
              <w:t>jerricans</w:t>
            </w:r>
            <w:proofErr w:type="spellEnd"/>
            <w:r>
              <w:rPr>
                <w:rFonts w:ascii="Times New Roman" w:eastAsia="Calibri" w:hAnsi="Times New Roman"/>
                <w:sz w:val="20"/>
                <w:szCs w:val="20"/>
                <w:lang w:val="en-GB"/>
              </w:rPr>
              <w:t xml:space="preserve"> á 5 litres (LQ)</w:t>
            </w:r>
            <w:r>
              <w:rPr>
                <w:rFonts w:ascii="Times New Roman" w:eastAsia="Calibri" w:hAnsi="Times New Roman"/>
                <w:sz w:val="20"/>
                <w:szCs w:val="20"/>
                <w:lang w:val="en-US"/>
              </w:rPr>
              <w:t xml:space="preserve"> </w:t>
            </w:r>
            <w:r>
              <w:rPr>
                <w:rFonts w:ascii="Times New Roman" w:eastAsia="Calibri" w:hAnsi="Times New Roman"/>
                <w:sz w:val="20"/>
                <w:szCs w:val="20"/>
                <w:lang w:val="en-US"/>
              </w:rPr>
              <w:br/>
            </w:r>
            <w:r>
              <w:rPr>
                <w:rFonts w:ascii="Times New Roman" w:eastAsia="Calibri" w:hAnsi="Times New Roman"/>
                <w:i/>
                <w:sz w:val="20"/>
                <w:szCs w:val="20"/>
                <w:lang w:val="en-US"/>
              </w:rPr>
              <w:t>and</w:t>
            </w:r>
            <w:r>
              <w:rPr>
                <w:rFonts w:ascii="Times New Roman" w:eastAsia="Calibri" w:hAnsi="Times New Roman"/>
                <w:sz w:val="20"/>
                <w:szCs w:val="20"/>
                <w:lang w:val="en-US"/>
              </w:rPr>
              <w:t xml:space="preserve"> </w:t>
            </w:r>
          </w:p>
          <w:p w:rsidR="006F2AD4" w:rsidRDefault="006F2AD4" w:rsidP="006F2AD4">
            <w:pPr>
              <w:pStyle w:val="ListParagraph"/>
              <w:numPr>
                <w:ilvl w:val="0"/>
                <w:numId w:val="22"/>
              </w:numPr>
              <w:ind w:left="483" w:hanging="284"/>
              <w:rPr>
                <w:rFonts w:eastAsia="Calibri"/>
                <w:lang w:val="en-GB"/>
              </w:rPr>
            </w:pPr>
            <w:r>
              <w:rPr>
                <w:rFonts w:ascii="Times New Roman" w:eastAsia="Calibri" w:hAnsi="Times New Roman"/>
                <w:sz w:val="20"/>
                <w:szCs w:val="20"/>
                <w:lang w:val="en-US"/>
              </w:rPr>
              <w:t xml:space="preserve">60 kg UN 3077 Environmentally hazardous substance, solid, </w:t>
            </w:r>
            <w:proofErr w:type="spellStart"/>
            <w:r>
              <w:rPr>
                <w:rFonts w:ascii="Times New Roman" w:eastAsia="Calibri" w:hAnsi="Times New Roman"/>
                <w:sz w:val="20"/>
                <w:szCs w:val="20"/>
                <w:lang w:val="en-US"/>
              </w:rPr>
              <w:t>n.o.s</w:t>
            </w:r>
            <w:proofErr w:type="spellEnd"/>
            <w:r>
              <w:rPr>
                <w:rFonts w:ascii="Times New Roman" w:eastAsia="Calibri" w:hAnsi="Times New Roman"/>
                <w:sz w:val="20"/>
                <w:szCs w:val="20"/>
                <w:lang w:val="en-US"/>
              </w:rPr>
              <w:t>., 9, III in a drum</w:t>
            </w:r>
          </w:p>
        </w:tc>
        <w:tc>
          <w:tcPr>
            <w:tcW w:w="3243" w:type="dxa"/>
            <w:tcBorders>
              <w:top w:val="single" w:sz="4" w:space="0" w:color="auto"/>
              <w:left w:val="single" w:sz="4" w:space="0" w:color="auto"/>
              <w:bottom w:val="single" w:sz="4" w:space="0" w:color="auto"/>
              <w:right w:val="single" w:sz="4" w:space="0" w:color="auto"/>
            </w:tcBorders>
          </w:tcPr>
          <w:p w:rsidR="006F2AD4" w:rsidRDefault="006F2AD4" w:rsidP="009A7D3B">
            <w:pPr>
              <w:spacing w:after="200" w:line="276" w:lineRule="auto"/>
              <w:ind w:left="249"/>
              <w:rPr>
                <w:rFonts w:eastAsia="Calibri"/>
                <w:lang w:val="en-US"/>
              </w:rPr>
            </w:pPr>
            <w:r>
              <w:rPr>
                <w:noProof/>
                <w:lang w:val="sv-SE" w:eastAsia="sv-SE"/>
              </w:rPr>
              <w:drawing>
                <wp:anchor distT="0" distB="0" distL="114300" distR="114300" simplePos="0" relativeHeight="251660288" behindDoc="1" locked="0" layoutInCell="1" allowOverlap="1" wp14:anchorId="57D9A5FA" wp14:editId="53C14AA6">
                  <wp:simplePos x="0" y="0"/>
                  <wp:positionH relativeFrom="column">
                    <wp:posOffset>766445</wp:posOffset>
                  </wp:positionH>
                  <wp:positionV relativeFrom="paragraph">
                    <wp:posOffset>76835</wp:posOffset>
                  </wp:positionV>
                  <wp:extent cx="414655" cy="418465"/>
                  <wp:effectExtent l="95250" t="95250" r="99695" b="95885"/>
                  <wp:wrapNone/>
                  <wp:docPr id="3" name="Bildobjekt 3" descr="https://www.msb.se/Upload/Forebyggande/farligt_gods/Skyltar_etiketter/bmp/Nr%209%20%c3%96vriga%20farliga%20%c3%a4mnen%20och%20f%c3%b6rem%c3%a5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www.msb.se/Upload/Forebyggande/farligt_gods/Skyltar_etiketter/bmp/Nr%209%20%c3%96vriga%20farliga%20%c3%a4mnen%20och%20f%c3%b6rem%c3%a5l.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3390859" flipV="1">
                            <a:off x="0" y="0"/>
                            <a:ext cx="414655" cy="418465"/>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lang w:val="en-US"/>
              </w:rPr>
              <w:t>No 9</w:t>
            </w:r>
          </w:p>
          <w:p w:rsidR="006F2AD4" w:rsidRDefault="006F2AD4" w:rsidP="009A7D3B">
            <w:pPr>
              <w:spacing w:after="200" w:line="276" w:lineRule="auto"/>
              <w:ind w:left="249"/>
              <w:rPr>
                <w:rFonts w:eastAsia="Calibri"/>
                <w:lang w:val="en-US"/>
              </w:rPr>
            </w:pPr>
          </w:p>
        </w:tc>
      </w:tr>
    </w:tbl>
    <w:p w:rsidR="006F2AD4" w:rsidRPr="00473CE3" w:rsidRDefault="006F2AD4" w:rsidP="006F2AD4">
      <w:pPr>
        <w:pStyle w:val="SingleTxtG"/>
        <w:ind w:left="0"/>
      </w:pPr>
    </w:p>
    <w:p w:rsidR="006F2AD4" w:rsidRDefault="00FE3FCC" w:rsidP="006F2AD4">
      <w:pPr>
        <w:pStyle w:val="SingleTxtG"/>
      </w:pPr>
      <w:r>
        <w:t>8</w:t>
      </w:r>
      <w:r w:rsidR="006F2AD4">
        <w:t>.</w:t>
      </w:r>
      <w:r w:rsidR="006F2AD4">
        <w:tab/>
        <w:t xml:space="preserve">As shown in the examples above, it is the provisions for the fully regulated goods that take precedence and determines what kind of information that should be displayed on the container (case 2), and not necessarily the actual and more relevant hazard. This poses a problem. </w:t>
      </w:r>
      <w:r w:rsidR="006F2AD4" w:rsidRPr="00BD58AD">
        <w:t>The risk for people and the en</w:t>
      </w:r>
      <w:r w:rsidR="006F2AD4">
        <w:t xml:space="preserve">vironment of e.g. a </w:t>
      </w:r>
      <w:r w:rsidR="006F2AD4" w:rsidRPr="002D2DC1">
        <w:t xml:space="preserve">drum </w:t>
      </w:r>
      <w:r w:rsidR="006F2AD4">
        <w:t>containing</w:t>
      </w:r>
      <w:r w:rsidR="006F2AD4" w:rsidRPr="002D2DC1">
        <w:t xml:space="preserve"> 60 kg of </w:t>
      </w:r>
      <w:r w:rsidR="006F2AD4">
        <w:t xml:space="preserve">an environmentally hazardous substance of </w:t>
      </w:r>
      <w:r w:rsidR="006F2AD4" w:rsidRPr="002D2DC1">
        <w:t>class 9</w:t>
      </w:r>
      <w:r w:rsidR="006F2AD4">
        <w:t xml:space="preserve"> (carried as fully regulated dg and not LQ)</w:t>
      </w:r>
      <w:r w:rsidR="006F2AD4" w:rsidRPr="002D2DC1">
        <w:t xml:space="preserve">, </w:t>
      </w:r>
      <w:r w:rsidR="006F2AD4">
        <w:t>should not</w:t>
      </w:r>
      <w:r w:rsidR="006F2AD4" w:rsidRPr="00BD58AD">
        <w:t xml:space="preserve"> be so crucial that </w:t>
      </w:r>
      <w:r w:rsidR="006F2AD4">
        <w:t xml:space="preserve">it </w:t>
      </w:r>
      <w:r w:rsidR="006F2AD4" w:rsidRPr="00BD58AD">
        <w:t>take</w:t>
      </w:r>
      <w:r w:rsidR="006F2AD4">
        <w:t>s</w:t>
      </w:r>
      <w:r w:rsidR="006F2AD4" w:rsidRPr="00BD58AD">
        <w:t xml:space="preserve"> precedence in terms of how to display the hazard on a </w:t>
      </w:r>
      <w:r w:rsidR="006F2AD4">
        <w:t>wagon/container also containing more than 8 tonnes of e.g. ethanol packed in limited quantities.</w:t>
      </w:r>
    </w:p>
    <w:p w:rsidR="006F2AD4" w:rsidRDefault="00FE3FCC" w:rsidP="006F2AD4">
      <w:pPr>
        <w:pStyle w:val="SingleTxtG"/>
      </w:pPr>
      <w:r>
        <w:t>9</w:t>
      </w:r>
      <w:r w:rsidR="006F2AD4">
        <w:t>.</w:t>
      </w:r>
      <w:r w:rsidR="006F2AD4">
        <w:tab/>
        <w:t>However, for transport units containing dangerous goods packed in limited quantities, the situation is slightly different. In this case</w:t>
      </w:r>
      <w:r w:rsidR="006F2AD4" w:rsidRPr="00352BD5">
        <w:t xml:space="preserve"> </w:t>
      </w:r>
      <w:r w:rsidR="006F2AD4">
        <w:t xml:space="preserve">the LQ marks may be dispensed with </w:t>
      </w:r>
      <w:r w:rsidR="006F2AD4" w:rsidRPr="00DF7508">
        <w:t xml:space="preserve">when the transport unit </w:t>
      </w:r>
      <w:r w:rsidR="006F2AD4">
        <w:t xml:space="preserve">also </w:t>
      </w:r>
      <w:r w:rsidR="006F2AD4" w:rsidRPr="00DF7508">
        <w:t xml:space="preserve">contains dangerous goods for which </w:t>
      </w:r>
      <w:r w:rsidR="006F2AD4">
        <w:t xml:space="preserve">the marking with </w:t>
      </w:r>
      <w:r w:rsidR="006F2AD4" w:rsidRPr="00DF7508">
        <w:t>orange-coloured plate</w:t>
      </w:r>
      <w:r w:rsidR="006F2AD4">
        <w:t>s</w:t>
      </w:r>
      <w:r w:rsidR="006F2AD4" w:rsidRPr="00DF7508">
        <w:t xml:space="preserve"> in accordance with 5.3.2 is required. </w:t>
      </w:r>
      <w:r w:rsidR="006F2AD4">
        <w:t xml:space="preserve">However, since the orange-coloured plates present the same information about the hazards of the dangerous goods (i.e. that the hazards could vary since the load might consist of different types of dangerous goods), the need to also affix the LQ marks would be redundant in our view.  </w:t>
      </w:r>
    </w:p>
    <w:p w:rsidR="006F2AD4" w:rsidRDefault="00FE3FCC" w:rsidP="006F2AD4">
      <w:pPr>
        <w:pStyle w:val="SingleTxtG"/>
      </w:pPr>
      <w:r>
        <w:t>10</w:t>
      </w:r>
      <w:r w:rsidR="006F2AD4">
        <w:t>.</w:t>
      </w:r>
      <w:r w:rsidR="006F2AD4">
        <w:tab/>
        <w:t xml:space="preserve">For the above mentioned </w:t>
      </w:r>
      <w:proofErr w:type="gramStart"/>
      <w:r w:rsidR="006F2AD4">
        <w:t>reasons</w:t>
      </w:r>
      <w:proofErr w:type="gramEnd"/>
      <w:r w:rsidR="006F2AD4">
        <w:t xml:space="preserve"> we propose to amend the provisions for the marking of limited quantities </w:t>
      </w:r>
      <w:r w:rsidR="006F2AD4" w:rsidRPr="00020AD1">
        <w:rPr>
          <w:lang w:val="en-US"/>
        </w:rPr>
        <w:t xml:space="preserve">in order </w:t>
      </w:r>
      <w:r w:rsidR="006F2AD4">
        <w:t>to always require the LQ mark for carriage above 8 tonnes.</w:t>
      </w:r>
    </w:p>
    <w:p w:rsidR="006F2AD4" w:rsidRPr="00576C71" w:rsidRDefault="006F2AD4" w:rsidP="006F2AD4">
      <w:pPr>
        <w:pStyle w:val="HChG"/>
        <w:rPr>
          <w:rFonts w:eastAsiaTheme="minorEastAsia"/>
          <w:lang w:val="en-US" w:eastAsia="zh-CN"/>
        </w:rPr>
      </w:pPr>
      <w:r>
        <w:rPr>
          <w:rFonts w:eastAsiaTheme="minorEastAsia"/>
          <w:lang w:eastAsia="zh-CN"/>
        </w:rPr>
        <w:tab/>
      </w:r>
      <w:r w:rsidRPr="00E72409">
        <w:rPr>
          <w:rFonts w:eastAsiaTheme="minorEastAsia"/>
          <w:lang w:eastAsia="zh-CN"/>
        </w:rPr>
        <w:tab/>
      </w:r>
      <w:r w:rsidRPr="001C6287">
        <w:rPr>
          <w:rFonts w:eastAsiaTheme="minorEastAsia"/>
          <w:lang w:val="en-US" w:eastAsia="zh-CN"/>
        </w:rPr>
        <w:t>Proposal</w:t>
      </w:r>
      <w:r>
        <w:rPr>
          <w:rFonts w:eastAsiaTheme="minorEastAsia"/>
          <w:lang w:val="en-US" w:eastAsia="zh-CN"/>
        </w:rPr>
        <w:t>s</w:t>
      </w:r>
    </w:p>
    <w:p w:rsidR="006F2AD4" w:rsidRPr="000044E7" w:rsidRDefault="00FE3FCC" w:rsidP="006F2AD4">
      <w:pPr>
        <w:pStyle w:val="SingleTxtG"/>
        <w:rPr>
          <w:b/>
        </w:rPr>
      </w:pPr>
      <w:r>
        <w:t>11</w:t>
      </w:r>
      <w:r w:rsidR="006F2AD4" w:rsidRPr="00CF4171">
        <w:t>.</w:t>
      </w:r>
      <w:r w:rsidR="006F2AD4">
        <w:rPr>
          <w:b/>
        </w:rPr>
        <w:tab/>
      </w:r>
      <w:r w:rsidR="006F2AD4" w:rsidRPr="000044E7">
        <w:rPr>
          <w:b/>
        </w:rPr>
        <w:t>ADR</w:t>
      </w:r>
    </w:p>
    <w:p w:rsidR="006F2AD4" w:rsidRPr="000044E7" w:rsidRDefault="006F2AD4" w:rsidP="006F2AD4">
      <w:pPr>
        <w:ind w:left="1134"/>
        <w:rPr>
          <w:i/>
        </w:rPr>
      </w:pPr>
      <w:r>
        <w:rPr>
          <w:i/>
        </w:rPr>
        <w:tab/>
      </w:r>
      <w:r w:rsidRPr="000044E7">
        <w:rPr>
          <w:i/>
        </w:rPr>
        <w:t xml:space="preserve">Amend 3.4.13 (b) in ADR as follows (changes </w:t>
      </w:r>
      <w:r w:rsidRPr="00571491">
        <w:rPr>
          <w:i/>
          <w:u w:val="single"/>
        </w:rPr>
        <w:t>underlined</w:t>
      </w:r>
      <w:r w:rsidRPr="000044E7">
        <w:rPr>
          <w:i/>
        </w:rPr>
        <w:t xml:space="preserve"> or </w:t>
      </w:r>
      <w:r w:rsidRPr="00571491">
        <w:rPr>
          <w:i/>
          <w:strike/>
        </w:rPr>
        <w:t>stricken through</w:t>
      </w:r>
      <w:r w:rsidRPr="000044E7">
        <w:rPr>
          <w:i/>
        </w:rPr>
        <w:t>):</w:t>
      </w:r>
    </w:p>
    <w:p w:rsidR="006F2AD4" w:rsidRDefault="006F2AD4" w:rsidP="006F2AD4">
      <w:pPr>
        <w:pStyle w:val="SingleTxtG"/>
        <w:spacing w:before="120"/>
      </w:pPr>
      <w:r>
        <w:t>“</w:t>
      </w:r>
      <w:r w:rsidRPr="00FB3838">
        <w:t>Containers carrying dangerous goods packed in limited quantities, on transport units with a maximum mass exceeding 12 tonnes, shall be marked in accordance with 3.4.15 on all four sides</w:t>
      </w:r>
      <w:r w:rsidRPr="00FB3838">
        <w:rPr>
          <w:u w:val="single"/>
        </w:rPr>
        <w:t>.</w:t>
      </w:r>
      <w:r w:rsidRPr="00FB3838">
        <w:t xml:space="preserve"> </w:t>
      </w:r>
      <w:r w:rsidRPr="00FB3838">
        <w:rPr>
          <w:strike/>
        </w:rPr>
        <w:t xml:space="preserve">except </w:t>
      </w:r>
      <w:proofErr w:type="spellStart"/>
      <w:r w:rsidRPr="00FB3838">
        <w:rPr>
          <w:strike/>
        </w:rPr>
        <w:t>w</w:t>
      </w:r>
      <w:r w:rsidRPr="00FB3838">
        <w:rPr>
          <w:u w:val="single"/>
        </w:rPr>
        <w:t>W</w:t>
      </w:r>
      <w:r w:rsidRPr="00FB3838">
        <w:t>hen</w:t>
      </w:r>
      <w:proofErr w:type="spellEnd"/>
      <w:r w:rsidRPr="00FB3838">
        <w:t xml:space="preserve"> the container contains other dangerous goods for which placarding in accordance with 5.3.1 is required</w:t>
      </w:r>
      <w:r w:rsidRPr="00FB3838">
        <w:rPr>
          <w:strike/>
        </w:rPr>
        <w:t>. In this latter case</w:t>
      </w:r>
      <w:r w:rsidRPr="00FB3838">
        <w:t>, the container</w:t>
      </w:r>
      <w:r>
        <w:t xml:space="preserve"> </w:t>
      </w:r>
      <w:r w:rsidRPr="00FB3838">
        <w:rPr>
          <w:strike/>
        </w:rPr>
        <w:t>may</w:t>
      </w:r>
      <w:r w:rsidRPr="00FB3838">
        <w:t xml:space="preserve"> </w:t>
      </w:r>
      <w:r w:rsidRPr="00FB3838">
        <w:rPr>
          <w:u w:val="single"/>
        </w:rPr>
        <w:t>shall</w:t>
      </w:r>
      <w:r w:rsidRPr="00FB3838">
        <w:t xml:space="preserve"> display the required placards </w:t>
      </w:r>
      <w:r w:rsidRPr="00FB3838">
        <w:rPr>
          <w:strike/>
        </w:rPr>
        <w:t>only, or both the placards</w:t>
      </w:r>
      <w:r w:rsidRPr="00FB3838">
        <w:t xml:space="preserve"> in accordance with 5.3.1 and the marks in accordance with 3.4.15.</w:t>
      </w:r>
    </w:p>
    <w:p w:rsidR="006F2AD4" w:rsidRDefault="006F2AD4" w:rsidP="006F2AD4">
      <w:pPr>
        <w:pStyle w:val="SingleTxtG"/>
      </w:pPr>
      <w:r w:rsidRPr="00FB3838">
        <w:tab/>
        <w:t>The carrying transport unit need not be marked, except when the marks affixed to the containers are not visible from outside this carrying transport unit. In this latter case, the same marks shall be affixed at the front and at the rear of the transport unit.</w:t>
      </w:r>
      <w:r>
        <w:t>”</w:t>
      </w:r>
    </w:p>
    <w:p w:rsidR="006F2AD4" w:rsidRDefault="006F2AD4" w:rsidP="006F2AD4">
      <w:pPr>
        <w:spacing w:before="120" w:after="120"/>
        <w:ind w:left="1134"/>
        <w:rPr>
          <w:b/>
        </w:rPr>
      </w:pPr>
      <w:r>
        <w:rPr>
          <w:i/>
        </w:rPr>
        <w:tab/>
      </w:r>
      <w:r>
        <w:t>1</w:t>
      </w:r>
      <w:r w:rsidR="00FE3FCC">
        <w:t>2</w:t>
      </w:r>
      <w:r>
        <w:t>.</w:t>
      </w:r>
      <w:r>
        <w:tab/>
      </w:r>
      <w:r w:rsidRPr="000044E7">
        <w:rPr>
          <w:b/>
        </w:rPr>
        <w:t>RID</w:t>
      </w:r>
    </w:p>
    <w:p w:rsidR="006F2AD4" w:rsidRPr="000044E7" w:rsidRDefault="006F2AD4" w:rsidP="006F2AD4">
      <w:pPr>
        <w:pStyle w:val="SingleTxtG"/>
        <w:rPr>
          <w:i/>
        </w:rPr>
      </w:pPr>
      <w:r w:rsidRPr="000044E7">
        <w:rPr>
          <w:i/>
        </w:rPr>
        <w:t xml:space="preserve">Amend 3.4.13 (a) in RID as follows (changes </w:t>
      </w:r>
      <w:r w:rsidRPr="000044E7">
        <w:rPr>
          <w:i/>
          <w:u w:val="single"/>
        </w:rPr>
        <w:t>underlined</w:t>
      </w:r>
      <w:r w:rsidRPr="000044E7">
        <w:rPr>
          <w:i/>
        </w:rPr>
        <w:t xml:space="preserve"> or </w:t>
      </w:r>
      <w:r w:rsidRPr="000044E7">
        <w:rPr>
          <w:i/>
          <w:strike/>
        </w:rPr>
        <w:t>stricken through</w:t>
      </w:r>
      <w:r w:rsidRPr="000044E7">
        <w:rPr>
          <w:i/>
        </w:rPr>
        <w:t>):</w:t>
      </w:r>
    </w:p>
    <w:p w:rsidR="006F2AD4" w:rsidRPr="00BD58AD" w:rsidRDefault="00FE3FCC" w:rsidP="006F2AD4">
      <w:pPr>
        <w:pStyle w:val="SingleTxtG"/>
      </w:pPr>
      <w:r>
        <w:t>“</w:t>
      </w:r>
      <w:r w:rsidR="006F2AD4" w:rsidRPr="00BD58AD">
        <w:t>Wagons carrying dangerous goods packed in limited quantities shall be marked in accordance with 3.4.15 on both sides</w:t>
      </w:r>
      <w:r w:rsidR="006F2AD4" w:rsidRPr="00C517D2">
        <w:rPr>
          <w:u w:val="single"/>
        </w:rPr>
        <w:t>.</w:t>
      </w:r>
      <w:r w:rsidR="006F2AD4" w:rsidRPr="00BD58AD">
        <w:t xml:space="preserve"> </w:t>
      </w:r>
      <w:r w:rsidR="006F2AD4" w:rsidRPr="00C517D2">
        <w:rPr>
          <w:strike/>
        </w:rPr>
        <w:t xml:space="preserve">except </w:t>
      </w:r>
      <w:proofErr w:type="spellStart"/>
      <w:r w:rsidR="006F2AD4" w:rsidRPr="00C517D2">
        <w:rPr>
          <w:strike/>
        </w:rPr>
        <w:t>w</w:t>
      </w:r>
      <w:r w:rsidR="006F2AD4" w:rsidRPr="00C517D2">
        <w:rPr>
          <w:u w:val="single"/>
        </w:rPr>
        <w:t>W</w:t>
      </w:r>
      <w:r w:rsidR="006F2AD4" w:rsidRPr="00BD58AD">
        <w:t>hen</w:t>
      </w:r>
      <w:proofErr w:type="spellEnd"/>
      <w:r w:rsidR="006F2AD4" w:rsidRPr="00BD58AD">
        <w:t xml:space="preserve"> the </w:t>
      </w:r>
      <w:r w:rsidR="006F2AD4">
        <w:t xml:space="preserve">wagon contains other dangerous </w:t>
      </w:r>
      <w:r w:rsidR="006F2AD4" w:rsidRPr="00BD58AD">
        <w:t>goods for which placarding in accordance with 5.3.1 is required</w:t>
      </w:r>
      <w:r w:rsidR="006F2AD4" w:rsidRPr="00C517D2">
        <w:rPr>
          <w:strike/>
        </w:rPr>
        <w:t>. In this latter case</w:t>
      </w:r>
      <w:r w:rsidR="006F2AD4" w:rsidRPr="00BD58AD">
        <w:t xml:space="preserve">, the wagon </w:t>
      </w:r>
      <w:r w:rsidR="006F2AD4" w:rsidRPr="00C517D2">
        <w:rPr>
          <w:strike/>
        </w:rPr>
        <w:t>may</w:t>
      </w:r>
      <w:r w:rsidR="006F2AD4" w:rsidRPr="00BD58AD">
        <w:t xml:space="preserve"> </w:t>
      </w:r>
      <w:r w:rsidR="006F2AD4" w:rsidRPr="00C517D2">
        <w:rPr>
          <w:u w:val="single"/>
        </w:rPr>
        <w:t>shall</w:t>
      </w:r>
      <w:r w:rsidR="006F2AD4" w:rsidRPr="00BD58AD">
        <w:t xml:space="preserve"> display the required placards </w:t>
      </w:r>
      <w:r w:rsidR="006F2AD4" w:rsidRPr="00C517D2">
        <w:rPr>
          <w:strike/>
        </w:rPr>
        <w:t>only, or both the placards</w:t>
      </w:r>
      <w:r w:rsidR="006F2AD4" w:rsidRPr="00BD58AD">
        <w:t xml:space="preserve"> in accordance with 5.3.1 and the marks in accordance with 3.4.15.</w:t>
      </w:r>
      <w:r>
        <w:t>”</w:t>
      </w:r>
      <w:r w:rsidR="006F2AD4" w:rsidRPr="00BD58AD">
        <w:t xml:space="preserve"> </w:t>
      </w:r>
    </w:p>
    <w:p w:rsidR="006F2AD4" w:rsidRPr="000044E7" w:rsidRDefault="006F2AD4" w:rsidP="006F2AD4">
      <w:pPr>
        <w:pStyle w:val="SingleTxtG"/>
        <w:rPr>
          <w:i/>
        </w:rPr>
      </w:pPr>
      <w:r w:rsidRPr="000044E7">
        <w:rPr>
          <w:i/>
        </w:rPr>
        <w:t xml:space="preserve">Amend 3.4.13 (b) in RID as follows (changes </w:t>
      </w:r>
      <w:r w:rsidRPr="000044E7">
        <w:rPr>
          <w:i/>
          <w:u w:val="single"/>
        </w:rPr>
        <w:t>underlined</w:t>
      </w:r>
      <w:r w:rsidRPr="000044E7">
        <w:rPr>
          <w:i/>
        </w:rPr>
        <w:t xml:space="preserve"> or </w:t>
      </w:r>
      <w:r w:rsidRPr="000044E7">
        <w:rPr>
          <w:i/>
          <w:strike/>
        </w:rPr>
        <w:t>stricken through</w:t>
      </w:r>
      <w:r w:rsidRPr="000044E7">
        <w:rPr>
          <w:i/>
        </w:rPr>
        <w:t>):</w:t>
      </w:r>
    </w:p>
    <w:p w:rsidR="006F2AD4" w:rsidRDefault="00FE3FCC" w:rsidP="006F2AD4">
      <w:pPr>
        <w:pStyle w:val="SingleTxtG"/>
      </w:pPr>
      <w:r>
        <w:t>“</w:t>
      </w:r>
      <w:r w:rsidR="006F2AD4">
        <w:t>Large containers carrying dangerous goods packed in limited quantities shall be marked in accordance with 3.4.15 on all four sides</w:t>
      </w:r>
      <w:r w:rsidR="006F2AD4" w:rsidRPr="000044E7">
        <w:rPr>
          <w:u w:val="single"/>
        </w:rPr>
        <w:t>.</w:t>
      </w:r>
      <w:r w:rsidR="006F2AD4">
        <w:t xml:space="preserve"> </w:t>
      </w:r>
      <w:r w:rsidR="006F2AD4" w:rsidRPr="000044E7">
        <w:rPr>
          <w:strike/>
        </w:rPr>
        <w:t xml:space="preserve">except </w:t>
      </w:r>
      <w:proofErr w:type="spellStart"/>
      <w:r w:rsidR="006F2AD4" w:rsidRPr="000044E7">
        <w:rPr>
          <w:strike/>
        </w:rPr>
        <w:t>w</w:t>
      </w:r>
      <w:r w:rsidR="006F2AD4" w:rsidRPr="000044E7">
        <w:rPr>
          <w:u w:val="single"/>
        </w:rPr>
        <w:t>W</w:t>
      </w:r>
      <w:r w:rsidR="006F2AD4">
        <w:t>hen</w:t>
      </w:r>
      <w:proofErr w:type="spellEnd"/>
      <w:r w:rsidR="006F2AD4">
        <w:t xml:space="preserve"> the large container contains other dangerous goods for which placarding in accordance with 5.3.1 is required</w:t>
      </w:r>
      <w:r w:rsidR="006F2AD4" w:rsidRPr="000044E7">
        <w:rPr>
          <w:strike/>
        </w:rPr>
        <w:t>. In this latter case</w:t>
      </w:r>
      <w:r w:rsidR="006F2AD4">
        <w:t xml:space="preserve">, the large container </w:t>
      </w:r>
      <w:r w:rsidR="006F2AD4" w:rsidRPr="000044E7">
        <w:rPr>
          <w:strike/>
        </w:rPr>
        <w:t>may</w:t>
      </w:r>
      <w:r w:rsidR="006F2AD4">
        <w:t xml:space="preserve"> </w:t>
      </w:r>
      <w:r w:rsidR="006F2AD4" w:rsidRPr="000044E7">
        <w:rPr>
          <w:u w:val="single"/>
        </w:rPr>
        <w:t>shall</w:t>
      </w:r>
      <w:r w:rsidR="006F2AD4">
        <w:t xml:space="preserve"> display the required placards </w:t>
      </w:r>
      <w:r w:rsidR="006F2AD4" w:rsidRPr="000044E7">
        <w:rPr>
          <w:strike/>
        </w:rPr>
        <w:t>only, or both the placards</w:t>
      </w:r>
      <w:r w:rsidR="006F2AD4">
        <w:t xml:space="preserve"> in accordance with 5.3.1 and the marks in accordance with 3.4.15.</w:t>
      </w:r>
    </w:p>
    <w:p w:rsidR="006F2AD4" w:rsidRDefault="006F2AD4" w:rsidP="006F2AD4">
      <w:pPr>
        <w:pStyle w:val="SingleTxtG"/>
      </w:pPr>
      <w:r>
        <w:lastRenderedPageBreak/>
        <w:t>If the marks affixed to the large containers are not visible from outside the carrying wagon, the same marks shall also be affixed to both sides of the wagon.</w:t>
      </w:r>
      <w:r w:rsidR="00FE3FCC">
        <w:t>”</w:t>
      </w:r>
    </w:p>
    <w:p w:rsidR="006F2AD4" w:rsidRPr="00576C71" w:rsidRDefault="006F2AD4" w:rsidP="006F2AD4">
      <w:pPr>
        <w:pStyle w:val="HChG"/>
        <w:rPr>
          <w:rFonts w:eastAsiaTheme="minorEastAsia"/>
          <w:lang w:val="en-US" w:eastAsia="zh-CN"/>
        </w:rPr>
      </w:pPr>
      <w:r>
        <w:rPr>
          <w:rFonts w:eastAsiaTheme="minorEastAsia"/>
          <w:lang w:val="en-US" w:eastAsia="zh-CN"/>
        </w:rPr>
        <w:tab/>
      </w:r>
      <w:r>
        <w:rPr>
          <w:rFonts w:eastAsiaTheme="minorEastAsia"/>
          <w:lang w:val="en-US" w:eastAsia="zh-CN"/>
        </w:rPr>
        <w:tab/>
      </w:r>
      <w:r w:rsidRPr="00576C71">
        <w:rPr>
          <w:rFonts w:eastAsiaTheme="minorEastAsia"/>
          <w:lang w:val="en-US" w:eastAsia="zh-CN"/>
        </w:rPr>
        <w:t>Justification</w:t>
      </w:r>
    </w:p>
    <w:p w:rsidR="006F2AD4" w:rsidRDefault="006F2AD4" w:rsidP="00FE3FCC">
      <w:pPr>
        <w:pStyle w:val="SingleTxtG"/>
      </w:pPr>
      <w:r>
        <w:t>1</w:t>
      </w:r>
      <w:r w:rsidR="00FE3FCC">
        <w:t>3</w:t>
      </w:r>
      <w:r>
        <w:t>.</w:t>
      </w:r>
      <w:r>
        <w:tab/>
      </w:r>
      <w:r w:rsidRPr="00BD58AD">
        <w:t xml:space="preserve">The emergency services would benefit from a more </w:t>
      </w:r>
      <w:r>
        <w:t>comprehensive</w:t>
      </w:r>
      <w:r w:rsidRPr="00BD58AD">
        <w:t xml:space="preserve"> display of the </w:t>
      </w:r>
      <w:r>
        <w:t>goods carried</w:t>
      </w:r>
      <w:r w:rsidRPr="00BD58AD">
        <w:t>.</w:t>
      </w:r>
    </w:p>
    <w:p w:rsidR="006F2AD4" w:rsidRPr="006F2AD4" w:rsidRDefault="006F2AD4" w:rsidP="006F2AD4">
      <w:pPr>
        <w:spacing w:before="240"/>
        <w:jc w:val="center"/>
        <w:rPr>
          <w:u w:val="single"/>
        </w:rPr>
      </w:pPr>
      <w:r>
        <w:rPr>
          <w:u w:val="single"/>
        </w:rPr>
        <w:tab/>
      </w:r>
      <w:r>
        <w:rPr>
          <w:u w:val="single"/>
        </w:rPr>
        <w:tab/>
      </w:r>
      <w:r>
        <w:rPr>
          <w:u w:val="single"/>
        </w:rPr>
        <w:tab/>
      </w:r>
    </w:p>
    <w:sectPr w:rsidR="006F2AD4" w:rsidRPr="006F2AD4" w:rsidSect="00B75036">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036" w:rsidRDefault="00B75036"/>
  </w:endnote>
  <w:endnote w:type="continuationSeparator" w:id="0">
    <w:p w:rsidR="00B75036" w:rsidRDefault="00B75036"/>
  </w:endnote>
  <w:endnote w:type="continuationNotice" w:id="1">
    <w:p w:rsidR="00B75036" w:rsidRDefault="00B75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36" w:rsidRPr="00B75036" w:rsidRDefault="00B75036" w:rsidP="00B75036">
    <w:pPr>
      <w:pStyle w:val="Footer"/>
      <w:tabs>
        <w:tab w:val="right" w:pos="9638"/>
      </w:tabs>
      <w:rPr>
        <w:sz w:val="18"/>
      </w:rPr>
    </w:pPr>
    <w:r w:rsidRPr="00B75036">
      <w:rPr>
        <w:b/>
        <w:sz w:val="18"/>
      </w:rPr>
      <w:fldChar w:fldCharType="begin"/>
    </w:r>
    <w:r w:rsidRPr="00B75036">
      <w:rPr>
        <w:b/>
        <w:sz w:val="18"/>
      </w:rPr>
      <w:instrText xml:space="preserve"> PAGE  \* MERGEFORMAT </w:instrText>
    </w:r>
    <w:r w:rsidRPr="00B75036">
      <w:rPr>
        <w:b/>
        <w:sz w:val="18"/>
      </w:rPr>
      <w:fldChar w:fldCharType="separate"/>
    </w:r>
    <w:r w:rsidRPr="00B75036">
      <w:rPr>
        <w:b/>
        <w:noProof/>
        <w:sz w:val="18"/>
      </w:rPr>
      <w:t>2</w:t>
    </w:r>
    <w:r w:rsidRPr="00B75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36" w:rsidRPr="00B75036" w:rsidRDefault="00B75036" w:rsidP="00B75036">
    <w:pPr>
      <w:pStyle w:val="Footer"/>
      <w:tabs>
        <w:tab w:val="right" w:pos="9638"/>
      </w:tabs>
      <w:rPr>
        <w:b/>
        <w:sz w:val="18"/>
      </w:rPr>
    </w:pPr>
    <w:r>
      <w:tab/>
    </w:r>
    <w:r w:rsidRPr="00B75036">
      <w:rPr>
        <w:b/>
        <w:sz w:val="18"/>
      </w:rPr>
      <w:fldChar w:fldCharType="begin"/>
    </w:r>
    <w:r w:rsidRPr="00B75036">
      <w:rPr>
        <w:b/>
        <w:sz w:val="18"/>
      </w:rPr>
      <w:instrText xml:space="preserve"> PAGE  \* MERGEFORMAT </w:instrText>
    </w:r>
    <w:r w:rsidRPr="00B75036">
      <w:rPr>
        <w:b/>
        <w:sz w:val="18"/>
      </w:rPr>
      <w:fldChar w:fldCharType="separate"/>
    </w:r>
    <w:r w:rsidRPr="00B75036">
      <w:rPr>
        <w:b/>
        <w:noProof/>
        <w:sz w:val="18"/>
      </w:rPr>
      <w:t>3</w:t>
    </w:r>
    <w:r w:rsidRPr="00B75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036" w:rsidRPr="000B175B" w:rsidRDefault="00B75036" w:rsidP="000B175B">
      <w:pPr>
        <w:tabs>
          <w:tab w:val="right" w:pos="2155"/>
        </w:tabs>
        <w:spacing w:after="80"/>
        <w:ind w:left="680"/>
        <w:rPr>
          <w:u w:val="single"/>
        </w:rPr>
      </w:pPr>
      <w:r>
        <w:rPr>
          <w:u w:val="single"/>
        </w:rPr>
        <w:tab/>
      </w:r>
    </w:p>
  </w:footnote>
  <w:footnote w:type="continuationSeparator" w:id="0">
    <w:p w:rsidR="00B75036" w:rsidRPr="00FC68B7" w:rsidRDefault="00B75036" w:rsidP="00FC68B7">
      <w:pPr>
        <w:tabs>
          <w:tab w:val="left" w:pos="2155"/>
        </w:tabs>
        <w:spacing w:after="80"/>
        <w:ind w:left="680"/>
        <w:rPr>
          <w:u w:val="single"/>
        </w:rPr>
      </w:pPr>
      <w:r>
        <w:rPr>
          <w:u w:val="single"/>
        </w:rPr>
        <w:tab/>
      </w:r>
    </w:p>
  </w:footnote>
  <w:footnote w:type="continuationNotice" w:id="1">
    <w:p w:rsidR="00B75036" w:rsidRDefault="00B75036"/>
  </w:footnote>
  <w:footnote w:id="2">
    <w:p w:rsidR="006F2AD4" w:rsidRDefault="006F2AD4" w:rsidP="006F2AD4">
      <w:pPr>
        <w:pStyle w:val="FootnoteText"/>
        <w:ind w:left="1418" w:right="1532" w:hanging="284"/>
        <w:jc w:val="both"/>
        <w:rPr>
          <w:sz w:val="20"/>
          <w:lang w:val="fr-CH"/>
        </w:rPr>
      </w:pPr>
      <w:r>
        <w:rPr>
          <w:rStyle w:val="FootnoteReference"/>
          <w:sz w:val="20"/>
        </w:rPr>
        <w:t>*</w:t>
      </w:r>
      <w:r>
        <w:rPr>
          <w:sz w:val="20"/>
        </w:rPr>
        <w:tab/>
      </w:r>
      <w:r>
        <w:t>In accordance with the programme of work of the Inland Transport Committee for 2018-2019, (ECE/TRANS/2018/21/Add.1, Cluster 9, (9.2)).</w:t>
      </w:r>
    </w:p>
  </w:footnote>
  <w:footnote w:id="3">
    <w:p w:rsidR="006F2AD4" w:rsidRDefault="006F2AD4" w:rsidP="006F2AD4">
      <w:pPr>
        <w:pStyle w:val="FootnoteText"/>
        <w:ind w:left="1418" w:right="1532" w:hanging="284"/>
        <w:jc w:val="both"/>
        <w:rPr>
          <w:sz w:val="20"/>
          <w:lang w:val="fr-CH"/>
        </w:rPr>
      </w:pPr>
      <w:r>
        <w:rPr>
          <w:rStyle w:val="FootnoteReference"/>
          <w:sz w:val="20"/>
        </w:rPr>
        <w:t>**</w:t>
      </w:r>
      <w:r>
        <w:rPr>
          <w:sz w:val="20"/>
        </w:rPr>
        <w:tab/>
      </w:r>
      <w:r>
        <w:t>Circulated by the Intergovernmental Organisation for International Carriage by Rail (OTIF) under the symbol OTIF/RID/RC/2019/38.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36" w:rsidRPr="00B75036" w:rsidRDefault="00245A43">
    <w:pPr>
      <w:pStyle w:val="Header"/>
    </w:pPr>
    <w:r>
      <w:fldChar w:fldCharType="begin"/>
    </w:r>
    <w:r>
      <w:instrText xml:space="preserve"> TITLE  \* MERGEFORMAT </w:instrText>
    </w:r>
    <w:r>
      <w:fldChar w:fldCharType="separate"/>
    </w:r>
    <w:r w:rsidR="00B75036">
      <w:t>ECE/TRANS/WP.15/AC.1/2019/38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36" w:rsidRPr="00B75036" w:rsidRDefault="00245A43" w:rsidP="00B75036">
    <w:pPr>
      <w:pStyle w:val="Header"/>
      <w:jc w:val="right"/>
    </w:pPr>
    <w:r>
      <w:fldChar w:fldCharType="begin"/>
    </w:r>
    <w:r>
      <w:instrText xml:space="preserve"> TITLE  \* MERGEFORMAT </w:instrText>
    </w:r>
    <w:r>
      <w:fldChar w:fldCharType="separate"/>
    </w:r>
    <w:r w:rsidR="00B75036">
      <w:t>ECE/TRANS/WP.15/AC.1/2019/38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DE0E86"/>
    <w:multiLevelType w:val="hybridMultilevel"/>
    <w:tmpl w:val="C9344694"/>
    <w:lvl w:ilvl="0" w:tplc="041D0001">
      <w:start w:val="1"/>
      <w:numFmt w:val="bullet"/>
      <w:lvlText w:val=""/>
      <w:lvlJc w:val="left"/>
      <w:pPr>
        <w:ind w:left="1026" w:hanging="360"/>
      </w:pPr>
      <w:rPr>
        <w:rFonts w:ascii="Symbol" w:hAnsi="Symbol" w:hint="default"/>
      </w:rPr>
    </w:lvl>
    <w:lvl w:ilvl="1" w:tplc="041D0003" w:tentative="1">
      <w:start w:val="1"/>
      <w:numFmt w:val="bullet"/>
      <w:lvlText w:val="o"/>
      <w:lvlJc w:val="left"/>
      <w:pPr>
        <w:ind w:left="1746" w:hanging="360"/>
      </w:pPr>
      <w:rPr>
        <w:rFonts w:ascii="Courier New" w:hAnsi="Courier New" w:cs="Courier New" w:hint="default"/>
      </w:rPr>
    </w:lvl>
    <w:lvl w:ilvl="2" w:tplc="041D0005" w:tentative="1">
      <w:start w:val="1"/>
      <w:numFmt w:val="bullet"/>
      <w:lvlText w:val=""/>
      <w:lvlJc w:val="left"/>
      <w:pPr>
        <w:ind w:left="2466" w:hanging="360"/>
      </w:pPr>
      <w:rPr>
        <w:rFonts w:ascii="Wingdings" w:hAnsi="Wingdings" w:hint="default"/>
      </w:rPr>
    </w:lvl>
    <w:lvl w:ilvl="3" w:tplc="041D0001" w:tentative="1">
      <w:start w:val="1"/>
      <w:numFmt w:val="bullet"/>
      <w:lvlText w:val=""/>
      <w:lvlJc w:val="left"/>
      <w:pPr>
        <w:ind w:left="3186" w:hanging="360"/>
      </w:pPr>
      <w:rPr>
        <w:rFonts w:ascii="Symbol" w:hAnsi="Symbol" w:hint="default"/>
      </w:rPr>
    </w:lvl>
    <w:lvl w:ilvl="4" w:tplc="041D0003" w:tentative="1">
      <w:start w:val="1"/>
      <w:numFmt w:val="bullet"/>
      <w:lvlText w:val="o"/>
      <w:lvlJc w:val="left"/>
      <w:pPr>
        <w:ind w:left="3906" w:hanging="360"/>
      </w:pPr>
      <w:rPr>
        <w:rFonts w:ascii="Courier New" w:hAnsi="Courier New" w:cs="Courier New" w:hint="default"/>
      </w:rPr>
    </w:lvl>
    <w:lvl w:ilvl="5" w:tplc="041D0005" w:tentative="1">
      <w:start w:val="1"/>
      <w:numFmt w:val="bullet"/>
      <w:lvlText w:val=""/>
      <w:lvlJc w:val="left"/>
      <w:pPr>
        <w:ind w:left="4626" w:hanging="360"/>
      </w:pPr>
      <w:rPr>
        <w:rFonts w:ascii="Wingdings" w:hAnsi="Wingdings" w:hint="default"/>
      </w:rPr>
    </w:lvl>
    <w:lvl w:ilvl="6" w:tplc="041D0001" w:tentative="1">
      <w:start w:val="1"/>
      <w:numFmt w:val="bullet"/>
      <w:lvlText w:val=""/>
      <w:lvlJc w:val="left"/>
      <w:pPr>
        <w:ind w:left="5346" w:hanging="360"/>
      </w:pPr>
      <w:rPr>
        <w:rFonts w:ascii="Symbol" w:hAnsi="Symbol" w:hint="default"/>
      </w:rPr>
    </w:lvl>
    <w:lvl w:ilvl="7" w:tplc="041D0003" w:tentative="1">
      <w:start w:val="1"/>
      <w:numFmt w:val="bullet"/>
      <w:lvlText w:val="o"/>
      <w:lvlJc w:val="left"/>
      <w:pPr>
        <w:ind w:left="6066" w:hanging="360"/>
      </w:pPr>
      <w:rPr>
        <w:rFonts w:ascii="Courier New" w:hAnsi="Courier New" w:cs="Courier New" w:hint="default"/>
      </w:rPr>
    </w:lvl>
    <w:lvl w:ilvl="8" w:tplc="041D0005" w:tentative="1">
      <w:start w:val="1"/>
      <w:numFmt w:val="bullet"/>
      <w:lvlText w:val=""/>
      <w:lvlJc w:val="left"/>
      <w:pPr>
        <w:ind w:left="6786"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E33404"/>
    <w:multiLevelType w:val="hybridMultilevel"/>
    <w:tmpl w:val="75B64D64"/>
    <w:lvl w:ilvl="0" w:tplc="041D0001">
      <w:start w:val="1"/>
      <w:numFmt w:val="bullet"/>
      <w:lvlText w:val=""/>
      <w:lvlJc w:val="left"/>
      <w:pPr>
        <w:ind w:left="1026" w:hanging="360"/>
      </w:pPr>
      <w:rPr>
        <w:rFonts w:ascii="Symbol" w:hAnsi="Symbol" w:hint="default"/>
      </w:rPr>
    </w:lvl>
    <w:lvl w:ilvl="1" w:tplc="041D0003" w:tentative="1">
      <w:start w:val="1"/>
      <w:numFmt w:val="bullet"/>
      <w:lvlText w:val="o"/>
      <w:lvlJc w:val="left"/>
      <w:pPr>
        <w:ind w:left="1746" w:hanging="360"/>
      </w:pPr>
      <w:rPr>
        <w:rFonts w:ascii="Courier New" w:hAnsi="Courier New" w:cs="Courier New" w:hint="default"/>
      </w:rPr>
    </w:lvl>
    <w:lvl w:ilvl="2" w:tplc="041D0005" w:tentative="1">
      <w:start w:val="1"/>
      <w:numFmt w:val="bullet"/>
      <w:lvlText w:val=""/>
      <w:lvlJc w:val="left"/>
      <w:pPr>
        <w:ind w:left="2466" w:hanging="360"/>
      </w:pPr>
      <w:rPr>
        <w:rFonts w:ascii="Wingdings" w:hAnsi="Wingdings" w:hint="default"/>
      </w:rPr>
    </w:lvl>
    <w:lvl w:ilvl="3" w:tplc="041D0001" w:tentative="1">
      <w:start w:val="1"/>
      <w:numFmt w:val="bullet"/>
      <w:lvlText w:val=""/>
      <w:lvlJc w:val="left"/>
      <w:pPr>
        <w:ind w:left="3186" w:hanging="360"/>
      </w:pPr>
      <w:rPr>
        <w:rFonts w:ascii="Symbol" w:hAnsi="Symbol" w:hint="default"/>
      </w:rPr>
    </w:lvl>
    <w:lvl w:ilvl="4" w:tplc="041D0003" w:tentative="1">
      <w:start w:val="1"/>
      <w:numFmt w:val="bullet"/>
      <w:lvlText w:val="o"/>
      <w:lvlJc w:val="left"/>
      <w:pPr>
        <w:ind w:left="3906" w:hanging="360"/>
      </w:pPr>
      <w:rPr>
        <w:rFonts w:ascii="Courier New" w:hAnsi="Courier New" w:cs="Courier New" w:hint="default"/>
      </w:rPr>
    </w:lvl>
    <w:lvl w:ilvl="5" w:tplc="041D0005" w:tentative="1">
      <w:start w:val="1"/>
      <w:numFmt w:val="bullet"/>
      <w:lvlText w:val=""/>
      <w:lvlJc w:val="left"/>
      <w:pPr>
        <w:ind w:left="4626" w:hanging="360"/>
      </w:pPr>
      <w:rPr>
        <w:rFonts w:ascii="Wingdings" w:hAnsi="Wingdings" w:hint="default"/>
      </w:rPr>
    </w:lvl>
    <w:lvl w:ilvl="6" w:tplc="041D0001" w:tentative="1">
      <w:start w:val="1"/>
      <w:numFmt w:val="bullet"/>
      <w:lvlText w:val=""/>
      <w:lvlJc w:val="left"/>
      <w:pPr>
        <w:ind w:left="5346" w:hanging="360"/>
      </w:pPr>
      <w:rPr>
        <w:rFonts w:ascii="Symbol" w:hAnsi="Symbol" w:hint="default"/>
      </w:rPr>
    </w:lvl>
    <w:lvl w:ilvl="7" w:tplc="041D0003" w:tentative="1">
      <w:start w:val="1"/>
      <w:numFmt w:val="bullet"/>
      <w:lvlText w:val="o"/>
      <w:lvlJc w:val="left"/>
      <w:pPr>
        <w:ind w:left="6066" w:hanging="360"/>
      </w:pPr>
      <w:rPr>
        <w:rFonts w:ascii="Courier New" w:hAnsi="Courier New" w:cs="Courier New" w:hint="default"/>
      </w:rPr>
    </w:lvl>
    <w:lvl w:ilvl="8" w:tplc="041D0005" w:tentative="1">
      <w:start w:val="1"/>
      <w:numFmt w:val="bullet"/>
      <w:lvlText w:val=""/>
      <w:lvlJc w:val="left"/>
      <w:pPr>
        <w:ind w:left="6786"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1"/>
  </w:num>
  <w:num w:numId="21">
    <w:abstractNumId w:val="18"/>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36"/>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5A43"/>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6F2AD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036"/>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EF5957"/>
    <w:rsid w:val="00F0137E"/>
    <w:rsid w:val="00F21786"/>
    <w:rsid w:val="00F3742B"/>
    <w:rsid w:val="00F41FDB"/>
    <w:rsid w:val="00F50596"/>
    <w:rsid w:val="00F56D63"/>
    <w:rsid w:val="00F609A9"/>
    <w:rsid w:val="00F80C99"/>
    <w:rsid w:val="00F867EC"/>
    <w:rsid w:val="00F91B2B"/>
    <w:rsid w:val="00FC03CD"/>
    <w:rsid w:val="00FC0646"/>
    <w:rsid w:val="00FC68B7"/>
    <w:rsid w:val="00FE3FC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2EFC3"/>
  <w15:docId w15:val="{F2012E15-D328-4366-9A3D-9EECC96B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rsid w:val="006F2AD4"/>
    <w:rPr>
      <w:b/>
      <w:sz w:val="28"/>
      <w:lang w:val="en-GB"/>
    </w:rPr>
  </w:style>
  <w:style w:type="paragraph" w:styleId="ListParagraph">
    <w:name w:val="List Paragraph"/>
    <w:basedOn w:val="Normal"/>
    <w:uiPriority w:val="34"/>
    <w:qFormat/>
    <w:rsid w:val="006F2AD4"/>
    <w:pPr>
      <w:suppressAutoHyphens w:val="0"/>
      <w:spacing w:after="200" w:line="276" w:lineRule="auto"/>
      <w:ind w:left="720"/>
      <w:contextualSpacing/>
    </w:pPr>
    <w:rPr>
      <w:rFonts w:ascii="Calibri" w:hAnsi="Calibri"/>
      <w:sz w:val="22"/>
      <w:szCs w:val="22"/>
      <w:lang w:val="nl-NL" w:eastAsia="zh-CN"/>
    </w:rPr>
  </w:style>
  <w:style w:type="character" w:customStyle="1" w:styleId="FootnoteTextChar">
    <w:name w:val="Footnote Text Char"/>
    <w:aliases w:val="5_G Char,5_GR Char"/>
    <w:basedOn w:val="DefaultParagraphFont"/>
    <w:link w:val="FootnoteText"/>
    <w:rsid w:val="006F2AD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fileadmin/DAM/trans/doc/2019/dgwp15/ECE-TRANS-WP15-106-GE-inf7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ece.org/fileadmin/DAM/trans/doc/2019/dgwp15/ECE-TRANS-WP15-2019-07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tif.org/fileadmin/new/2-Activities/2D-Dangerous-Goods/2Dc1_Report_StandingWG/CE_GTP_2017-A_e_Report.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2CB04-47FF-46C6-9303-19820333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8</TotalTime>
  <Pages>4</Pages>
  <Words>1303</Words>
  <Characters>7194</Characters>
  <Application>Microsoft Office Word</Application>
  <DocSecurity>0</DocSecurity>
  <Lines>167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ECE/TRANS/WP.15/AC.1/2019/38</vt:lpstr>
      <vt:lpstr/>
    </vt:vector>
  </TitlesOfParts>
  <Company>CSD</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ECE/TRANS/WP.15/AC.1/2019/38</dc:title>
  <dc:creator>Christine Barrio-Champeau</dc:creator>
  <cp:lastModifiedBy>Christine Barrio-Champeau</cp:lastModifiedBy>
  <cp:revision>5</cp:revision>
  <cp:lastPrinted>2009-02-18T09:36:00Z</cp:lastPrinted>
  <dcterms:created xsi:type="dcterms:W3CDTF">2019-06-21T07:58:00Z</dcterms:created>
  <dcterms:modified xsi:type="dcterms:W3CDTF">2019-06-21T13:32:00Z</dcterms:modified>
</cp:coreProperties>
</file>