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05374E" w:rsidP="0005374E">
            <w:pPr>
              <w:jc w:val="right"/>
            </w:pPr>
            <w:r w:rsidRPr="0005374E">
              <w:rPr>
                <w:sz w:val="40"/>
              </w:rPr>
              <w:t>ECE</w:t>
            </w:r>
            <w:r>
              <w:t>/TRANS/WP.15/AC.1/2019/33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2442" w:rsidRDefault="00652442" w:rsidP="00652442">
            <w:pPr>
              <w:spacing w:before="240" w:line="240" w:lineRule="exact"/>
            </w:pPr>
            <w:r>
              <w:t>Distr.: General</w:t>
            </w:r>
          </w:p>
          <w:p w:rsidR="00652442" w:rsidRDefault="00652442" w:rsidP="00652442">
            <w:pPr>
              <w:spacing w:line="240" w:lineRule="exact"/>
            </w:pPr>
            <w:r>
              <w:t>19 June 2019</w:t>
            </w:r>
          </w:p>
          <w:p w:rsidR="00652442" w:rsidRDefault="00652442" w:rsidP="00652442">
            <w:pPr>
              <w:spacing w:line="240" w:lineRule="exact"/>
            </w:pPr>
          </w:p>
          <w:p w:rsidR="0005374E" w:rsidRDefault="00652442" w:rsidP="00652442">
            <w:pPr>
              <w:spacing w:line="240" w:lineRule="exact"/>
            </w:pPr>
            <w:r>
              <w:t>Original: English</w:t>
            </w:r>
          </w:p>
        </w:tc>
      </w:tr>
    </w:tbl>
    <w:p w:rsidR="0005374E" w:rsidRPr="00960236" w:rsidRDefault="0005374E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:rsidR="0005374E" w:rsidRPr="00960236" w:rsidRDefault="0005374E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:rsidR="0005374E" w:rsidRPr="00960236" w:rsidRDefault="0005374E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:rsidR="0005374E" w:rsidRPr="00960236" w:rsidRDefault="0005374E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:rsidR="0005374E" w:rsidRDefault="0005374E" w:rsidP="0005374E">
      <w:r>
        <w:t>Geneva, 17-27 September 2019</w:t>
      </w:r>
    </w:p>
    <w:p w:rsidR="0005374E" w:rsidRDefault="0005374E" w:rsidP="0005374E">
      <w:r>
        <w:t>Item 5 (b) of the provisional agenda</w:t>
      </w:r>
    </w:p>
    <w:p w:rsidR="0005374E" w:rsidRDefault="0005374E" w:rsidP="0005374E">
      <w:pPr>
        <w:rPr>
          <w:b/>
          <w:bCs/>
        </w:rPr>
      </w:pPr>
      <w:r>
        <w:rPr>
          <w:b/>
          <w:bCs/>
        </w:rPr>
        <w:t>Proposals for amendments to RID/ADR/ADN:</w:t>
      </w:r>
    </w:p>
    <w:p w:rsidR="0005374E" w:rsidRDefault="0005374E" w:rsidP="0005374E">
      <w:pPr>
        <w:rPr>
          <w:b/>
          <w:bCs/>
        </w:rPr>
      </w:pPr>
      <w:r>
        <w:rPr>
          <w:b/>
          <w:bCs/>
        </w:rPr>
        <w:t>new proposals</w:t>
      </w:r>
    </w:p>
    <w:p w:rsidR="0005374E" w:rsidRDefault="0005374E" w:rsidP="0005374E">
      <w:pPr>
        <w:pStyle w:val="HChG"/>
        <w:rPr>
          <w:b w:val="0"/>
        </w:rPr>
      </w:pPr>
      <w:r>
        <w:tab/>
      </w:r>
      <w:r>
        <w:tab/>
      </w:r>
      <w:r>
        <w:rPr>
          <w:lang w:val="en-US"/>
        </w:rPr>
        <w:t>Harmonization of S</w:t>
      </w:r>
      <w:r w:rsidR="00652442">
        <w:rPr>
          <w:lang w:val="en-US"/>
        </w:rPr>
        <w:t>pecial provision</w:t>
      </w:r>
      <w:r>
        <w:rPr>
          <w:lang w:val="en-US"/>
        </w:rPr>
        <w:t xml:space="preserve"> 593 with 5.5.3</w:t>
      </w:r>
    </w:p>
    <w:p w:rsidR="0005374E" w:rsidRDefault="0005374E" w:rsidP="0005374E">
      <w:pPr>
        <w:pStyle w:val="H1G"/>
        <w:rPr>
          <w:sz w:val="20"/>
          <w:vertAlign w:val="superscript"/>
        </w:rPr>
      </w:pPr>
      <w:r>
        <w:tab/>
      </w:r>
      <w:r>
        <w:tab/>
        <w:t>Transmitted by the Government of Spain</w:t>
      </w:r>
      <w:bookmarkStart w:id="0" w:name="_GoBack"/>
      <w:bookmarkEnd w:id="0"/>
      <w:r>
        <w:rPr>
          <w:rStyle w:val="FootnoteReference"/>
          <w:sz w:val="20"/>
        </w:rPr>
        <w:footnoteReference w:customMarkFollows="1" w:id="2"/>
        <w:t>*</w:t>
      </w:r>
      <w:r>
        <w:rPr>
          <w:sz w:val="20"/>
          <w:vertAlign w:val="superscript"/>
        </w:rPr>
        <w:t xml:space="preserve">, </w:t>
      </w:r>
      <w:r>
        <w:rPr>
          <w:rStyle w:val="FootnoteReference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51"/>
      </w:tblGrid>
      <w:tr w:rsidR="0005374E" w:rsidRPr="00E940D0" w:rsidTr="00D3495E">
        <w:trPr>
          <w:jc w:val="center"/>
        </w:trPr>
        <w:tc>
          <w:tcPr>
            <w:tcW w:w="9351" w:type="dxa"/>
            <w:shd w:val="clear" w:color="auto" w:fill="auto"/>
          </w:tcPr>
          <w:p w:rsidR="0005374E" w:rsidRPr="00E940D0" w:rsidRDefault="0005374E" w:rsidP="00D3495E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05374E" w:rsidRPr="0035523F" w:rsidTr="00D3495E">
        <w:trPr>
          <w:jc w:val="center"/>
        </w:trPr>
        <w:tc>
          <w:tcPr>
            <w:tcW w:w="9351" w:type="dxa"/>
            <w:shd w:val="clear" w:color="auto" w:fill="auto"/>
          </w:tcPr>
          <w:p w:rsidR="0005374E" w:rsidRPr="00CD0808" w:rsidRDefault="0005374E" w:rsidP="00D3495E">
            <w:pPr>
              <w:pStyle w:val="SingleTxtG"/>
              <w:tabs>
                <w:tab w:val="left" w:pos="3260"/>
              </w:tabs>
              <w:ind w:left="3260" w:hanging="2126"/>
              <w:jc w:val="left"/>
            </w:pPr>
            <w:r w:rsidRPr="00CD0808">
              <w:rPr>
                <w:b/>
              </w:rPr>
              <w:t>Executive summary:</w:t>
            </w:r>
            <w:r>
              <w:rPr>
                <w:b/>
              </w:rPr>
              <w:t xml:space="preserve"> </w:t>
            </w:r>
            <w:r w:rsidRPr="00CD0808">
              <w:tab/>
            </w:r>
            <w:r>
              <w:t xml:space="preserve">SP 593 is not in agreement with 5.5.3 and should be modified to be compatible  </w:t>
            </w:r>
          </w:p>
        </w:tc>
      </w:tr>
      <w:tr w:rsidR="0005374E" w:rsidRPr="00597302" w:rsidTr="00D3495E">
        <w:trPr>
          <w:jc w:val="center"/>
        </w:trPr>
        <w:tc>
          <w:tcPr>
            <w:tcW w:w="9351" w:type="dxa"/>
            <w:shd w:val="clear" w:color="auto" w:fill="auto"/>
          </w:tcPr>
          <w:p w:rsidR="0005374E" w:rsidRPr="00CD0808" w:rsidRDefault="0005374E" w:rsidP="00D3495E">
            <w:pPr>
              <w:pStyle w:val="SingleTxtG"/>
              <w:tabs>
                <w:tab w:val="left" w:pos="3260"/>
              </w:tabs>
              <w:ind w:left="3260" w:hanging="2126"/>
            </w:pPr>
            <w:r w:rsidRPr="00CD0808">
              <w:rPr>
                <w:b/>
              </w:rPr>
              <w:t>Action to be taken: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t>Amend SP 593.</w:t>
            </w:r>
          </w:p>
        </w:tc>
      </w:tr>
      <w:tr w:rsidR="0005374E" w:rsidRPr="00AE331E" w:rsidTr="00D3495E">
        <w:trPr>
          <w:jc w:val="center"/>
        </w:trPr>
        <w:tc>
          <w:tcPr>
            <w:tcW w:w="9351" w:type="dxa"/>
            <w:shd w:val="clear" w:color="auto" w:fill="auto"/>
          </w:tcPr>
          <w:p w:rsidR="0005374E" w:rsidRPr="00D43932" w:rsidRDefault="0005374E" w:rsidP="00D3495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</w:tc>
      </w:tr>
    </w:tbl>
    <w:p w:rsidR="0005374E" w:rsidRPr="009A2C3D" w:rsidRDefault="0005374E" w:rsidP="0005374E">
      <w:pPr>
        <w:pStyle w:val="HChG"/>
        <w:rPr>
          <w:lang w:val="nl-NL"/>
        </w:rPr>
      </w:pPr>
      <w:r>
        <w:tab/>
      </w:r>
      <w:r>
        <w:tab/>
        <w:t>Introduction</w:t>
      </w:r>
    </w:p>
    <w:p w:rsidR="0005374E" w:rsidRPr="003F2F4B" w:rsidRDefault="0005374E" w:rsidP="0005374E">
      <w:pPr>
        <w:pStyle w:val="SingleTxtG"/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ab/>
      </w:r>
      <w:r w:rsidRPr="003F2F4B">
        <w:rPr>
          <w:lang w:val="nl-NL"/>
        </w:rPr>
        <w:t xml:space="preserve">SP 593 </w:t>
      </w:r>
      <w:proofErr w:type="spellStart"/>
      <w:r w:rsidRPr="003F2F4B">
        <w:rPr>
          <w:lang w:val="nl-NL"/>
        </w:rPr>
        <w:t>applies</w:t>
      </w:r>
      <w:proofErr w:type="spellEnd"/>
      <w:r w:rsidRPr="003F2F4B">
        <w:rPr>
          <w:lang w:val="nl-NL"/>
        </w:rPr>
        <w:t xml:space="preserve"> </w:t>
      </w:r>
      <w:proofErr w:type="spellStart"/>
      <w:r w:rsidRPr="003F2F4B">
        <w:rPr>
          <w:lang w:val="nl-NL"/>
        </w:rPr>
        <w:t>to</w:t>
      </w:r>
      <w:proofErr w:type="spellEnd"/>
      <w:r w:rsidRPr="003F2F4B">
        <w:rPr>
          <w:lang w:val="nl-NL"/>
        </w:rPr>
        <w:t xml:space="preserve"> UN 1913 NEON, </w:t>
      </w:r>
      <w:r w:rsidRPr="003F2F4B">
        <w:rPr>
          <w:caps/>
          <w:lang w:val="nl-NL"/>
        </w:rPr>
        <w:t>refrigerated liquid, UN1951 ARGON, refrigerated liquid, UN 1963 HELIUM, refrigerated liquid, UN 1970 KRYPTON, refrigerated liquid, UN 1977 NITROGEN, refrigerated liquid, UN 3136 TRIFLUOROMETHANE, refrigerated liquid</w:t>
      </w:r>
      <w:r w:rsidRPr="003F2F4B">
        <w:rPr>
          <w:lang w:val="nl-NL"/>
        </w:rPr>
        <w:t xml:space="preserve"> </w:t>
      </w:r>
      <w:proofErr w:type="spellStart"/>
      <w:r w:rsidRPr="003F2F4B">
        <w:rPr>
          <w:lang w:val="nl-NL"/>
        </w:rPr>
        <w:t>and</w:t>
      </w:r>
      <w:proofErr w:type="spellEnd"/>
      <w:r w:rsidRPr="003F2F4B">
        <w:rPr>
          <w:lang w:val="nl-NL"/>
        </w:rPr>
        <w:t xml:space="preserve"> UN 3158 GAS, </w:t>
      </w:r>
      <w:r w:rsidRPr="003F2F4B">
        <w:rPr>
          <w:caps/>
          <w:lang w:val="nl-NL"/>
        </w:rPr>
        <w:t>refrigerated liquid, N</w:t>
      </w:r>
      <w:r w:rsidRPr="003F2F4B">
        <w:rPr>
          <w:lang w:val="nl-NL"/>
        </w:rPr>
        <w:t xml:space="preserve">.O.S. </w:t>
      </w:r>
    </w:p>
    <w:p w:rsidR="0005374E" w:rsidRPr="00BB453C" w:rsidRDefault="0005374E" w:rsidP="0005374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296293">
        <w:rPr>
          <w:lang w:val="en-US"/>
        </w:rPr>
        <w:t>The present text for SP</w:t>
      </w:r>
      <w:r w:rsidR="00652442">
        <w:rPr>
          <w:lang w:val="en-US"/>
        </w:rPr>
        <w:t xml:space="preserve"> </w:t>
      </w:r>
      <w:r w:rsidRPr="00296293">
        <w:rPr>
          <w:lang w:val="en-US"/>
        </w:rPr>
        <w:t>593 indicates that: “This gas, intended for the cooling of e.g. medical or biological specimens, if conta</w:t>
      </w:r>
      <w:r w:rsidRPr="00BB453C">
        <w:rPr>
          <w:lang w:val="en-US"/>
        </w:rPr>
        <w:t>ined in double wall receptacles which comply with the provisions of packing instruction P203, paragraph (6) for open cryogenic receptacles of 4.1.4.1 is not subject to the requirements of AD</w:t>
      </w:r>
      <w:r>
        <w:rPr>
          <w:lang w:val="en-US"/>
        </w:rPr>
        <w:t>R except as specified in 5.5.3.”</w:t>
      </w:r>
    </w:p>
    <w:p w:rsidR="0005374E" w:rsidRDefault="0005374E" w:rsidP="0005374E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Meanwhile, 5.5.3.2.1 says:</w:t>
      </w:r>
      <w:r w:rsidRPr="00296293">
        <w:rPr>
          <w:lang w:val="en-US"/>
        </w:rPr>
        <w:t xml:space="preserve"> “Vehicles and containers containing substances used for cooling or conditioning purposes (other than fumigation) during carriage are not subject to </w:t>
      </w:r>
      <w:r w:rsidRPr="00296293">
        <w:rPr>
          <w:lang w:val="en-US"/>
        </w:rPr>
        <w:lastRenderedPageBreak/>
        <w:t xml:space="preserve">any provisions of ADR other than those of this section.” </w:t>
      </w:r>
      <w:r>
        <w:rPr>
          <w:lang w:val="en-US"/>
        </w:rPr>
        <w:t xml:space="preserve"> In 5.5.3 no specific requirements for double wall receptacles are included.</w:t>
      </w:r>
    </w:p>
    <w:p w:rsidR="0005374E" w:rsidRPr="009A2C3D" w:rsidRDefault="0005374E" w:rsidP="0005374E">
      <w:pPr>
        <w:pStyle w:val="HChG"/>
        <w:spacing w:before="120" w:after="120"/>
        <w:rPr>
          <w:rFonts w:eastAsiaTheme="minorEastAsia"/>
          <w:lang w:val="en-US" w:eastAsia="zh-CN"/>
        </w:rPr>
      </w:pPr>
      <w:r w:rsidRPr="009A2C3D">
        <w:rPr>
          <w:rFonts w:eastAsiaTheme="minorEastAsia"/>
          <w:lang w:val="en-US" w:eastAsia="zh-CN"/>
        </w:rPr>
        <w:tab/>
      </w:r>
      <w:r w:rsidRPr="009A2C3D">
        <w:rPr>
          <w:rFonts w:eastAsiaTheme="minorEastAsia"/>
          <w:lang w:val="en-US" w:eastAsia="zh-CN"/>
        </w:rPr>
        <w:tab/>
        <w:t>Analysis</w:t>
      </w:r>
    </w:p>
    <w:p w:rsidR="0005374E" w:rsidRDefault="0005374E" w:rsidP="0005374E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SP 593 does not seem to be fully compatible with 5.5.3, as it gives additional requirements than those included in 5.5.3. </w:t>
      </w:r>
    </w:p>
    <w:p w:rsidR="0005374E" w:rsidRDefault="0005374E" w:rsidP="0005374E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SP 593 seems to have not been modified to accommodate to the amendments made to 5.5.3, and it seems to be necessary to update that text.</w:t>
      </w:r>
    </w:p>
    <w:p w:rsidR="0005374E" w:rsidRDefault="0005374E" w:rsidP="0005374E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The UN numbers to which SP 593 apply are not all explicitly named in 5.5.3. Nevertheless, 5.5.3 does not include a complete list, but only lists examples. And the purpose to which SP 593 should be applied fully falls into the scope of application of 5.5.3.</w:t>
      </w:r>
    </w:p>
    <w:p w:rsidR="0005374E" w:rsidRDefault="0005374E" w:rsidP="0005374E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Therefore, SP 593 should be modified to include only a direct reference to 5.5.3. Additionally, Spain suggests </w:t>
      </w:r>
      <w:proofErr w:type="gramStart"/>
      <w:r>
        <w:rPr>
          <w:lang w:val="en-US"/>
        </w:rPr>
        <w:t>to modify</w:t>
      </w:r>
      <w:proofErr w:type="gramEnd"/>
      <w:r>
        <w:rPr>
          <w:lang w:val="en-US"/>
        </w:rPr>
        <w:t xml:space="preserve"> the initial wording of SP 593 to align the text with the wording used in 5.5.3.</w:t>
      </w:r>
    </w:p>
    <w:p w:rsidR="0005374E" w:rsidRDefault="0005374E" w:rsidP="0005374E">
      <w:pPr>
        <w:pStyle w:val="HChG"/>
        <w:spacing w:before="240"/>
        <w:rPr>
          <w:rFonts w:eastAsiaTheme="minorEastAsia"/>
          <w:lang w:val="en-US" w:eastAsia="zh-CN"/>
        </w:rPr>
      </w:pPr>
      <w:r w:rsidRPr="001027FB">
        <w:rPr>
          <w:rFonts w:eastAsiaTheme="minorEastAsia"/>
          <w:lang w:val="en-US" w:eastAsia="zh-CN"/>
        </w:rPr>
        <w:tab/>
      </w:r>
      <w:r w:rsidRPr="001027FB">
        <w:rPr>
          <w:rFonts w:eastAsiaTheme="minorEastAsia"/>
          <w:lang w:val="en-US" w:eastAsia="zh-CN"/>
        </w:rPr>
        <w:tab/>
      </w:r>
      <w:r w:rsidRPr="00576C71">
        <w:rPr>
          <w:rFonts w:eastAsiaTheme="minorEastAsia"/>
          <w:lang w:val="en-US" w:eastAsia="zh-CN"/>
        </w:rPr>
        <w:t>Proposal</w:t>
      </w:r>
    </w:p>
    <w:p w:rsidR="0005374E" w:rsidRPr="00296293" w:rsidRDefault="0005374E" w:rsidP="0005374E">
      <w:pPr>
        <w:pStyle w:val="SingleTxtG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8.</w:t>
      </w:r>
      <w:r>
        <w:rPr>
          <w:rFonts w:eastAsiaTheme="minorEastAsia"/>
          <w:lang w:val="en-US" w:eastAsia="zh-CN"/>
        </w:rPr>
        <w:tab/>
      </w:r>
      <w:r w:rsidRPr="00296293">
        <w:rPr>
          <w:lang w:val="en-US"/>
        </w:rPr>
        <w:t>Spain would</w:t>
      </w:r>
      <w:r w:rsidRPr="00B21114">
        <w:t xml:space="preserve"> </w:t>
      </w:r>
      <w:r>
        <w:t xml:space="preserve">suggest </w:t>
      </w:r>
      <w:proofErr w:type="gramStart"/>
      <w:r>
        <w:t>to modify</w:t>
      </w:r>
      <w:proofErr w:type="gramEnd"/>
      <w:r>
        <w:t xml:space="preserve"> SP 593 by deleting part of the existing text (new text </w:t>
      </w:r>
      <w:r w:rsidRPr="00CB12B9">
        <w:rPr>
          <w:u w:val="single"/>
        </w:rPr>
        <w:t>underlined</w:t>
      </w:r>
      <w:r>
        <w:t xml:space="preserve">, deleted text shown as </w:t>
      </w:r>
      <w:r w:rsidRPr="00296293">
        <w:rPr>
          <w:strike/>
        </w:rPr>
        <w:t>stricken through</w:t>
      </w:r>
      <w:r>
        <w:t>):</w:t>
      </w:r>
    </w:p>
    <w:p w:rsidR="0005374E" w:rsidRDefault="0005374E" w:rsidP="0005374E">
      <w:pPr>
        <w:pStyle w:val="SingleTxtG"/>
        <w:rPr>
          <w:lang w:val="en-US"/>
        </w:rPr>
      </w:pPr>
      <w:r w:rsidRPr="00296293">
        <w:rPr>
          <w:lang w:val="en-US"/>
        </w:rPr>
        <w:t xml:space="preserve">“This gas, </w:t>
      </w:r>
      <w:r w:rsidRPr="00CB12B9">
        <w:rPr>
          <w:u w:val="single"/>
          <w:lang w:val="en-US"/>
        </w:rPr>
        <w:t>when used for</w:t>
      </w:r>
      <w:r>
        <w:rPr>
          <w:lang w:val="en-US"/>
        </w:rPr>
        <w:t xml:space="preserve"> </w:t>
      </w:r>
      <w:r w:rsidRPr="00CB12B9">
        <w:rPr>
          <w:strike/>
          <w:lang w:val="en-US"/>
        </w:rPr>
        <w:t>intended for the</w:t>
      </w:r>
      <w:r w:rsidRPr="00296293">
        <w:rPr>
          <w:lang w:val="en-US"/>
        </w:rPr>
        <w:t xml:space="preserve"> cooling</w:t>
      </w:r>
      <w:r>
        <w:rPr>
          <w:lang w:val="en-US"/>
        </w:rPr>
        <w:t xml:space="preserve"> </w:t>
      </w:r>
      <w:r w:rsidRPr="00CB12B9">
        <w:rPr>
          <w:u w:val="single"/>
          <w:lang w:val="en-US"/>
        </w:rPr>
        <w:t>or conditioning purposes</w:t>
      </w:r>
      <w:r w:rsidRPr="00296293">
        <w:rPr>
          <w:lang w:val="en-US"/>
        </w:rPr>
        <w:t xml:space="preserve"> of e.g. medical or biological specimens</w:t>
      </w:r>
      <w:r w:rsidRPr="00296293">
        <w:rPr>
          <w:strike/>
          <w:lang w:val="en-US"/>
        </w:rPr>
        <w:t>, if contained in double wall receptacles which comply with the provisions of packing instruction P203, paragraph (6) for open cryogenic receptacles of 4.1.4.1</w:t>
      </w:r>
      <w:r w:rsidRPr="00BB453C">
        <w:rPr>
          <w:lang w:val="en-US"/>
        </w:rPr>
        <w:t xml:space="preserve"> is not subject to the requirements of AD</w:t>
      </w:r>
      <w:r>
        <w:rPr>
          <w:lang w:val="en-US"/>
        </w:rPr>
        <w:t>R except as specified in 5.5.3.”</w:t>
      </w:r>
    </w:p>
    <w:p w:rsidR="001C6663" w:rsidRPr="0005374E" w:rsidRDefault="0005374E" w:rsidP="000537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05374E" w:rsidSect="0005374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4E" w:rsidRDefault="0005374E"/>
  </w:endnote>
  <w:endnote w:type="continuationSeparator" w:id="0">
    <w:p w:rsidR="0005374E" w:rsidRDefault="0005374E"/>
  </w:endnote>
  <w:endnote w:type="continuationNotice" w:id="1">
    <w:p w:rsidR="0005374E" w:rsidRDefault="00053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4E" w:rsidRPr="0005374E" w:rsidRDefault="0005374E" w:rsidP="0005374E">
    <w:pPr>
      <w:pStyle w:val="Footer"/>
      <w:tabs>
        <w:tab w:val="right" w:pos="9638"/>
      </w:tabs>
      <w:rPr>
        <w:sz w:val="18"/>
      </w:rPr>
    </w:pPr>
    <w:r w:rsidRPr="0005374E">
      <w:rPr>
        <w:b/>
        <w:sz w:val="18"/>
      </w:rPr>
      <w:fldChar w:fldCharType="begin"/>
    </w:r>
    <w:r w:rsidRPr="0005374E">
      <w:rPr>
        <w:b/>
        <w:sz w:val="18"/>
      </w:rPr>
      <w:instrText xml:space="preserve"> PAGE  \* MERGEFORMAT </w:instrText>
    </w:r>
    <w:r w:rsidRPr="0005374E">
      <w:rPr>
        <w:b/>
        <w:sz w:val="18"/>
      </w:rPr>
      <w:fldChar w:fldCharType="separate"/>
    </w:r>
    <w:r w:rsidRPr="0005374E">
      <w:rPr>
        <w:b/>
        <w:noProof/>
        <w:sz w:val="18"/>
      </w:rPr>
      <w:t>2</w:t>
    </w:r>
    <w:r w:rsidRPr="0005374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4E" w:rsidRPr="0005374E" w:rsidRDefault="0005374E" w:rsidP="0005374E">
    <w:pPr>
      <w:pStyle w:val="Footer"/>
      <w:tabs>
        <w:tab w:val="right" w:pos="9638"/>
      </w:tabs>
      <w:rPr>
        <w:b/>
        <w:sz w:val="18"/>
      </w:rPr>
    </w:pPr>
    <w:r>
      <w:tab/>
    </w:r>
    <w:r w:rsidRPr="0005374E">
      <w:rPr>
        <w:b/>
        <w:sz w:val="18"/>
      </w:rPr>
      <w:fldChar w:fldCharType="begin"/>
    </w:r>
    <w:r w:rsidRPr="0005374E">
      <w:rPr>
        <w:b/>
        <w:sz w:val="18"/>
      </w:rPr>
      <w:instrText xml:space="preserve"> PAGE  \* MERGEFORMAT </w:instrText>
    </w:r>
    <w:r w:rsidRPr="0005374E">
      <w:rPr>
        <w:b/>
        <w:sz w:val="18"/>
      </w:rPr>
      <w:fldChar w:fldCharType="separate"/>
    </w:r>
    <w:r w:rsidRPr="0005374E">
      <w:rPr>
        <w:b/>
        <w:noProof/>
        <w:sz w:val="18"/>
      </w:rPr>
      <w:t>3</w:t>
    </w:r>
    <w:r w:rsidRPr="0005374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4E" w:rsidRPr="000B175B" w:rsidRDefault="000537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374E" w:rsidRPr="00FC68B7" w:rsidRDefault="000537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374E" w:rsidRDefault="0005374E"/>
  </w:footnote>
  <w:footnote w:id="2">
    <w:p w:rsidR="0005374E" w:rsidRDefault="0005374E" w:rsidP="0005374E">
      <w:pPr>
        <w:pStyle w:val="FootnoteText"/>
        <w:ind w:left="1418" w:right="1532" w:hanging="284"/>
        <w:jc w:val="both"/>
        <w:rPr>
          <w:sz w:val="20"/>
          <w:lang w:val="fr-CH"/>
        </w:rPr>
      </w:pP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In accordance with the programme of work of the Inland Transport Committee for 2018-2019, (ECE/TRANS/2018/21/Add.1, Cluster 9, (9.2)).</w:t>
      </w:r>
    </w:p>
  </w:footnote>
  <w:footnote w:id="3">
    <w:p w:rsidR="0005374E" w:rsidRPr="0005374E" w:rsidRDefault="0005374E" w:rsidP="0005374E">
      <w:pPr>
        <w:pStyle w:val="FootnoteText"/>
        <w:ind w:left="1418" w:right="1532" w:hanging="284"/>
        <w:jc w:val="both"/>
        <w:rPr>
          <w:sz w:val="20"/>
          <w:lang w:val="fr-CH"/>
        </w:rPr>
      </w:pPr>
      <w:r w:rsidRPr="0005374E">
        <w:rPr>
          <w:rStyle w:val="FootnoteReference"/>
          <w:sz w:val="20"/>
        </w:rPr>
        <w:t>**</w:t>
      </w:r>
      <w:r>
        <w:rPr>
          <w:sz w:val="20"/>
        </w:rP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9</w:t>
      </w:r>
      <w:r w:rsidRPr="00561474">
        <w:t>/</w:t>
      </w:r>
      <w:r>
        <w:t>33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4E" w:rsidRPr="0005374E" w:rsidRDefault="00FF63F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5374E">
      <w:t>ECE/TRANS/WP.15/AC.1/2019/33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4E" w:rsidRPr="0005374E" w:rsidRDefault="00FF63F3" w:rsidP="000537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5374E">
      <w:t>ECE/TRANS/WP.15/AC.1/2019/33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E"/>
    <w:rsid w:val="00002A7D"/>
    <w:rsid w:val="000038A8"/>
    <w:rsid w:val="00006790"/>
    <w:rsid w:val="00027624"/>
    <w:rsid w:val="00050F6B"/>
    <w:rsid w:val="0005374E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2442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7DF1A"/>
  <w15:docId w15:val="{F8CD86E8-355D-4434-AC12-84D17E4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5374E"/>
    <w:rPr>
      <w:sz w:val="18"/>
      <w:lang w:val="en-GB"/>
    </w:rPr>
  </w:style>
  <w:style w:type="character" w:customStyle="1" w:styleId="HChGChar">
    <w:name w:val="_ H _Ch_G Char"/>
    <w:link w:val="HChG"/>
    <w:locked/>
    <w:rsid w:val="0005374E"/>
    <w:rPr>
      <w:b/>
      <w:sz w:val="28"/>
      <w:lang w:val="en-GB"/>
    </w:rPr>
  </w:style>
  <w:style w:type="character" w:customStyle="1" w:styleId="H1GChar">
    <w:name w:val="_ H_1_G Char"/>
    <w:link w:val="H1G"/>
    <w:qFormat/>
    <w:locked/>
    <w:rsid w:val="0005374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621F-9E81-467A-87C7-C1E35AB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ECE/TRANS/WP.15/AC.1/2019/33</vt:lpstr>
      <vt:lpstr/>
    </vt:vector>
  </TitlesOfParts>
  <Company>CSD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ECE/TRANS/WP.15/AC.1/2019/33</dc:title>
  <dc:creator>Christine Barrio-Champeau</dc:creator>
  <cp:lastModifiedBy>Christine Barrio-Champeau</cp:lastModifiedBy>
  <cp:revision>2</cp:revision>
  <cp:lastPrinted>2009-02-18T09:36:00Z</cp:lastPrinted>
  <dcterms:created xsi:type="dcterms:W3CDTF">2019-06-17T14:10:00Z</dcterms:created>
  <dcterms:modified xsi:type="dcterms:W3CDTF">2019-06-19T11:24:00Z</dcterms:modified>
</cp:coreProperties>
</file>