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A58F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A58FC" w:rsidP="000A58FC">
            <w:pPr>
              <w:jc w:val="right"/>
            </w:pPr>
            <w:r w:rsidRPr="000A58FC">
              <w:rPr>
                <w:sz w:val="40"/>
              </w:rPr>
              <w:t>ECE</w:t>
            </w:r>
            <w:r>
              <w:t>/TRANS/WP.15/AC.1/2019/2</w:t>
            </w:r>
          </w:p>
        </w:tc>
      </w:tr>
      <w:tr w:rsidR="002D5AAC" w:rsidRPr="00432F8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A58F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A58FC" w:rsidRDefault="000A58FC" w:rsidP="000A5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December 2018</w:t>
            </w:r>
          </w:p>
          <w:p w:rsidR="000A58FC" w:rsidRDefault="000A58FC" w:rsidP="000A5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A58FC" w:rsidRPr="008D53B6" w:rsidRDefault="000A58FC" w:rsidP="000A58F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0A58F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A58FC" w:rsidRPr="000A58FC" w:rsidRDefault="000A58FC" w:rsidP="000A58FC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0A58FC">
        <w:rPr>
          <w:sz w:val="28"/>
          <w:szCs w:val="28"/>
        </w:rPr>
        <w:t>Комитет по внутреннему транспорту</w:t>
      </w:r>
    </w:p>
    <w:p w:rsidR="000A58FC" w:rsidRPr="000A58FC" w:rsidRDefault="000A58FC" w:rsidP="000A58FC">
      <w:pPr>
        <w:pStyle w:val="SingleTxtG"/>
        <w:ind w:left="0"/>
        <w:jc w:val="left"/>
        <w:rPr>
          <w:b/>
          <w:sz w:val="24"/>
          <w:szCs w:val="24"/>
        </w:rPr>
      </w:pPr>
      <w:r w:rsidRPr="000A58FC">
        <w:rPr>
          <w:b/>
          <w:bCs/>
          <w:sz w:val="24"/>
          <w:szCs w:val="24"/>
        </w:rPr>
        <w:t>Рабочая группа по перевозкам опасных грузов</w:t>
      </w:r>
    </w:p>
    <w:p w:rsidR="000A58FC" w:rsidRPr="000A58FC" w:rsidRDefault="000A58FC" w:rsidP="000A58FC">
      <w:pPr>
        <w:pStyle w:val="SingleTxtG"/>
        <w:spacing w:after="0"/>
        <w:ind w:left="0"/>
        <w:jc w:val="left"/>
        <w:rPr>
          <w:b/>
        </w:rPr>
      </w:pPr>
      <w:r w:rsidRPr="000A58FC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0A58FC">
        <w:rPr>
          <w:b/>
          <w:bCs/>
        </w:rPr>
        <w:t>и</w:t>
      </w:r>
      <w:r>
        <w:rPr>
          <w:b/>
          <w:bCs/>
          <w:lang w:val="en-US"/>
        </w:rPr>
        <w:t> </w:t>
      </w:r>
      <w:r w:rsidRPr="000A58FC">
        <w:rPr>
          <w:b/>
        </w:rPr>
        <w:t>Рабочей группы по перевозкам опасных грузов</w:t>
      </w:r>
    </w:p>
    <w:p w:rsidR="000A58FC" w:rsidRPr="000A58FC" w:rsidRDefault="000A58FC" w:rsidP="000A58FC">
      <w:pPr>
        <w:pStyle w:val="SingleTxtG"/>
        <w:spacing w:after="0"/>
        <w:ind w:left="0"/>
        <w:jc w:val="left"/>
      </w:pPr>
      <w:r w:rsidRPr="000A58FC">
        <w:t>Берн, 18–22 марта 2019 года</w:t>
      </w:r>
    </w:p>
    <w:p w:rsidR="000A58FC" w:rsidRPr="000A58FC" w:rsidRDefault="000A58FC" w:rsidP="000A58FC">
      <w:pPr>
        <w:pStyle w:val="SingleTxtG"/>
        <w:spacing w:after="0"/>
        <w:ind w:left="0"/>
        <w:jc w:val="left"/>
      </w:pPr>
      <w:r w:rsidRPr="000A58FC">
        <w:t>Пункт 5 b) предварительной повестки дня</w:t>
      </w:r>
    </w:p>
    <w:p w:rsidR="000A58FC" w:rsidRPr="002E32FE" w:rsidRDefault="000A58FC" w:rsidP="000A58FC">
      <w:pPr>
        <w:pStyle w:val="SingleTxtG"/>
        <w:spacing w:after="0"/>
        <w:ind w:left="0"/>
        <w:jc w:val="left"/>
        <w:rPr>
          <w:b/>
        </w:rPr>
      </w:pPr>
      <w:r w:rsidRPr="002E32FE">
        <w:rPr>
          <w:b/>
        </w:rPr>
        <w:t xml:space="preserve">Предложения о внесении поправок в МПОГ/ДОПОГ/ВОПОГ: </w:t>
      </w:r>
      <w:r w:rsidR="00121F51" w:rsidRPr="002E32FE">
        <w:rPr>
          <w:b/>
        </w:rPr>
        <w:br/>
      </w:r>
      <w:r w:rsidRPr="002E32FE">
        <w:rPr>
          <w:b/>
        </w:rPr>
        <w:t>новые предложения</w:t>
      </w:r>
    </w:p>
    <w:p w:rsidR="000A58FC" w:rsidRPr="000A58FC" w:rsidRDefault="000A58FC" w:rsidP="000A58FC">
      <w:pPr>
        <w:pStyle w:val="HChG"/>
      </w:pPr>
      <w:r w:rsidRPr="000A58FC">
        <w:tab/>
      </w:r>
      <w:r w:rsidRPr="000A58FC">
        <w:tab/>
        <w:t>Включение временно</w:t>
      </w:r>
      <w:r w:rsidR="002E32FE">
        <w:t>́</w:t>
      </w:r>
      <w:r w:rsidRPr="000A58FC">
        <w:t>го ограничения для признания технических правил в раздел 6.2.5 и подразделы 6.8.2.7 и</w:t>
      </w:r>
      <w:r>
        <w:rPr>
          <w:lang w:val="en-US"/>
        </w:rPr>
        <w:t> </w:t>
      </w:r>
      <w:r w:rsidRPr="000A58FC">
        <w:t>6.8.3.7 МПОГ/ДОПОГ</w:t>
      </w:r>
    </w:p>
    <w:p w:rsidR="000A58FC" w:rsidRDefault="000A58FC" w:rsidP="000A58FC">
      <w:pPr>
        <w:pStyle w:val="H1G"/>
        <w:rPr>
          <w:b w:val="0"/>
          <w:sz w:val="20"/>
        </w:rPr>
      </w:pPr>
      <w:r w:rsidRPr="000A58FC">
        <w:tab/>
      </w:r>
      <w:r w:rsidRPr="000A58FC">
        <w:tab/>
      </w:r>
      <w:r w:rsidRPr="000A58FC">
        <w:tab/>
        <w:t>Передано правительством Германии</w:t>
      </w:r>
      <w:r w:rsidRPr="000A58FC">
        <w:rPr>
          <w:b w:val="0"/>
          <w:sz w:val="20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0A58FC" w:rsidRPr="000A58FC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0A58FC" w:rsidRPr="000A58FC" w:rsidRDefault="000A58FC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A58FC">
              <w:rPr>
                <w:rFonts w:cs="Times New Roman"/>
              </w:rPr>
              <w:tab/>
            </w:r>
            <w:r w:rsidRPr="000A58FC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A58FC" w:rsidRPr="000A58F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A58FC" w:rsidRPr="000A58FC" w:rsidRDefault="000A58FC" w:rsidP="000A58FC">
            <w:pPr>
              <w:pStyle w:val="SingleTxtG"/>
              <w:ind w:left="3969" w:hanging="2835"/>
              <w:jc w:val="left"/>
            </w:pPr>
            <w:r w:rsidRPr="000A58FC">
              <w:rPr>
                <w:b/>
              </w:rPr>
              <w:t>Существо предложения</w:t>
            </w:r>
            <w:r w:rsidRPr="000A58FC">
              <w:t>:</w:t>
            </w:r>
            <w:r w:rsidRPr="000A58FC">
              <w:tab/>
            </w:r>
            <w:r>
              <w:tab/>
            </w:r>
            <w:r w:rsidRPr="000A58FC">
              <w:t>Включить временно</w:t>
            </w:r>
            <w:r w:rsidR="002E32FE">
              <w:t>́</w:t>
            </w:r>
            <w:r w:rsidRPr="000A58FC">
              <w:t>е ограничение для признания технических правил.</w:t>
            </w:r>
          </w:p>
        </w:tc>
      </w:tr>
      <w:tr w:rsidR="000A58FC" w:rsidRPr="000A58F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A58FC" w:rsidRPr="000A58FC" w:rsidRDefault="000A58FC" w:rsidP="000A58FC">
            <w:pPr>
              <w:pStyle w:val="SingleTxtG"/>
              <w:ind w:left="3969" w:hanging="2835"/>
              <w:jc w:val="left"/>
            </w:pPr>
            <w:r w:rsidRPr="000A58FC">
              <w:rPr>
                <w:b/>
                <w:bCs/>
              </w:rPr>
              <w:t>Предлагаемое решение:</w:t>
            </w:r>
            <w:r w:rsidRPr="000A58FC">
              <w:t xml:space="preserve"> </w:t>
            </w:r>
            <w:r w:rsidRPr="000A58FC">
              <w:tab/>
            </w:r>
            <w:r>
              <w:tab/>
            </w:r>
            <w:r w:rsidRPr="000A58FC">
              <w:t>Включение в раздел 6.2.5 и подразделы 6.8.2.7 и</w:t>
            </w:r>
            <w:r>
              <w:rPr>
                <w:lang w:val="en-US"/>
              </w:rPr>
              <w:t> </w:t>
            </w:r>
            <w:r w:rsidRPr="000A58FC">
              <w:t>6.8.3.7 МПОГ/ДОПОГ.</w:t>
            </w:r>
          </w:p>
        </w:tc>
      </w:tr>
      <w:tr w:rsidR="000A58FC" w:rsidRPr="000A58FC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0A58FC" w:rsidRPr="000A58FC" w:rsidRDefault="000A58FC" w:rsidP="000A58FC">
            <w:pPr>
              <w:pStyle w:val="SingleTxtG"/>
              <w:ind w:left="3969" w:hanging="2835"/>
              <w:jc w:val="left"/>
            </w:pPr>
            <w:r w:rsidRPr="000A58FC">
              <w:rPr>
                <w:b/>
                <w:bCs/>
              </w:rPr>
              <w:t>Справочные документы:</w:t>
            </w:r>
            <w:r w:rsidRPr="000A58FC">
              <w:tab/>
              <w:t>Отсутствуют.</w:t>
            </w:r>
          </w:p>
        </w:tc>
      </w:tr>
      <w:tr w:rsidR="000A58FC" w:rsidRPr="000A58FC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0A58FC" w:rsidRPr="000A58FC" w:rsidRDefault="000A58FC" w:rsidP="00850215">
            <w:pPr>
              <w:rPr>
                <w:rFonts w:cs="Times New Roman"/>
              </w:rPr>
            </w:pPr>
          </w:p>
        </w:tc>
      </w:tr>
    </w:tbl>
    <w:p w:rsidR="000A58FC" w:rsidRPr="000A58FC" w:rsidRDefault="000A58FC" w:rsidP="000A58FC">
      <w:pPr>
        <w:pStyle w:val="HChG"/>
      </w:pPr>
      <w:r w:rsidRPr="000A58FC">
        <w:tab/>
      </w:r>
      <w:r w:rsidRPr="000A58FC">
        <w:tab/>
        <w:t>Введение</w:t>
      </w:r>
    </w:p>
    <w:p w:rsidR="000A58FC" w:rsidRPr="000A58FC" w:rsidRDefault="000A58FC" w:rsidP="000A58FC">
      <w:pPr>
        <w:pStyle w:val="SingleTxtG"/>
      </w:pPr>
      <w:r w:rsidRPr="000A58FC">
        <w:t>1.</w:t>
      </w:r>
      <w:r w:rsidRPr="000A58FC">
        <w:tab/>
        <w:t xml:space="preserve">Согласно разделу 6.2.5 МПОГ/ДОПОГ в некоторых случаях компетентный орган может признать использование технических правил, обеспечивающих такой же уровень безопасности, для проектирования, изготовления и испытаний сосудов под давлением, кроме сосудов </w:t>
      </w:r>
      <w:r w:rsidR="00121F51">
        <w:t>«</w:t>
      </w:r>
      <w:r w:rsidRPr="000A58FC">
        <w:t>UN</w:t>
      </w:r>
      <w:r w:rsidR="00121F51">
        <w:t>»</w:t>
      </w:r>
      <w:r w:rsidRPr="000A58FC">
        <w:t>.</w:t>
      </w:r>
    </w:p>
    <w:p w:rsidR="000A58FC" w:rsidRPr="000A58FC" w:rsidRDefault="000A58FC" w:rsidP="000A58FC">
      <w:pPr>
        <w:pStyle w:val="SingleTxtG"/>
      </w:pPr>
      <w:r w:rsidRPr="000A58FC">
        <w:t>2.</w:t>
      </w:r>
      <w:r w:rsidRPr="000A58FC">
        <w:tab/>
        <w:t xml:space="preserve">Аналогичное правило содержится в подразделе 6.8.2.7 МПОГ/ДОПОГ для цистерн и в подразделе 6.8.3.7 МПОГ/ДОПОГ для вагонов-батарей/транспортных </w:t>
      </w:r>
      <w:r w:rsidRPr="000A58FC">
        <w:lastRenderedPageBreak/>
        <w:t>средств-батарей, которые сконструированы, изготовлены и испытаны не в соответствии со стандартами, на которые сделаны ссылки.</w:t>
      </w:r>
    </w:p>
    <w:p w:rsidR="000A58FC" w:rsidRPr="000A58FC" w:rsidRDefault="000A58FC" w:rsidP="000A58FC">
      <w:pPr>
        <w:pStyle w:val="SingleTxtG"/>
      </w:pPr>
      <w:r w:rsidRPr="000A58FC">
        <w:t>3.</w:t>
      </w:r>
      <w:r w:rsidRPr="000A58FC">
        <w:tab/>
        <w:t>Вместе с тем эти правила не содержат каких-либо положений относительно временно</w:t>
      </w:r>
      <w:r w:rsidR="002E32FE">
        <w:t>́</w:t>
      </w:r>
      <w:r w:rsidRPr="000A58FC">
        <w:t>го ограничения для признания технических правил. В Германии исходят из того, что их признание должно быть отозвано не позднее того момента, когда более не имеется оснований для того, чтобы признавать их.</w:t>
      </w:r>
    </w:p>
    <w:p w:rsidR="000A58FC" w:rsidRPr="000A58FC" w:rsidRDefault="000A58FC" w:rsidP="000A58FC">
      <w:pPr>
        <w:pStyle w:val="SingleTxtG"/>
      </w:pPr>
      <w:r w:rsidRPr="000A58FC">
        <w:t>4.</w:t>
      </w:r>
      <w:r w:rsidRPr="000A58FC">
        <w:tab/>
        <w:t xml:space="preserve">Так, например, после включения ссылки на новый стандарт для сосудов под давлением, кроме сосудов </w:t>
      </w:r>
      <w:r w:rsidR="00121F51">
        <w:t>«</w:t>
      </w:r>
      <w:r w:rsidRPr="000A58FC">
        <w:t>UN</w:t>
      </w:r>
      <w:r w:rsidR="00121F51">
        <w:t>»</w:t>
      </w:r>
      <w:r w:rsidRPr="000A58FC">
        <w:t>, в разделы 6.2.2 или 6.2.4 МПОГ/ДОПОГ, компетентный орган не может продолжать признавать соответствующее техническое правило, поскольку это не может быть оправдано ввиду отсутствия стандарта. В этом случае признание данного технического правила должно быть отозвано.</w:t>
      </w:r>
    </w:p>
    <w:p w:rsidR="000A58FC" w:rsidRPr="000A58FC" w:rsidRDefault="000A58FC" w:rsidP="000A58FC">
      <w:pPr>
        <w:pStyle w:val="H1G"/>
      </w:pPr>
      <w:r w:rsidRPr="000A58FC">
        <w:tab/>
      </w:r>
      <w:r w:rsidRPr="000A58FC">
        <w:tab/>
        <w:t>Предложение 1: раздел 6.2.5 МПОГ/ДОПОГ</w:t>
      </w:r>
    </w:p>
    <w:p w:rsidR="000A58FC" w:rsidRPr="000A58FC" w:rsidRDefault="000A58FC" w:rsidP="000A58FC">
      <w:pPr>
        <w:pStyle w:val="SingleTxtG"/>
      </w:pPr>
      <w:r w:rsidRPr="000A58FC">
        <w:t>5.</w:t>
      </w:r>
      <w:r w:rsidRPr="000A58FC">
        <w:tab/>
        <w:t>Германия предлагает добавить следующий новый пункт после второго пункта в раздел 6.2.5 МПОГ/ДОПОГ:</w:t>
      </w:r>
    </w:p>
    <w:p w:rsidR="000A58FC" w:rsidRPr="000A58FC" w:rsidRDefault="00121F51" w:rsidP="000A58FC">
      <w:pPr>
        <w:pStyle w:val="SingleTxtG"/>
      </w:pPr>
      <w:r>
        <w:t>«</w:t>
      </w:r>
      <w:r w:rsidR="000A58FC" w:rsidRPr="000A58FC">
        <w:t>Как только стандарт, на который сделана новая ссылка в разделах 6.2.2 или 6.2.4, может быть применен, компетентный орган должен отозвать свое признание соответствующего технического правила.</w:t>
      </w:r>
      <w:r>
        <w:t>»</w:t>
      </w:r>
    </w:p>
    <w:p w:rsidR="000A58FC" w:rsidRPr="000A58FC" w:rsidRDefault="000A58FC" w:rsidP="000A58FC">
      <w:pPr>
        <w:pStyle w:val="SingleTxtG"/>
      </w:pPr>
      <w:r w:rsidRPr="000A58FC">
        <w:t>6.</w:t>
      </w:r>
      <w:r w:rsidRPr="000A58FC">
        <w:tab/>
        <w:t>Кроме того, предлагается изменить первое предложение третьего абзаца раздела 6.2.5 МПОГ/ДОПОГ следующим образом (поправка выделена подчеркиванием):</w:t>
      </w:r>
    </w:p>
    <w:p w:rsidR="000A58FC" w:rsidRPr="000A58FC" w:rsidRDefault="00121F51" w:rsidP="000A58FC">
      <w:pPr>
        <w:pStyle w:val="SingleTxtG"/>
      </w:pPr>
      <w:r>
        <w:t>«</w:t>
      </w:r>
      <w:r w:rsidR="000A58FC" w:rsidRPr="000A58FC">
        <w:t>Компетентный орган должен передать секретариату ОТИФ/ЕЭК ООН перечень технических правил, которые он признает</w:t>
      </w:r>
      <w:r w:rsidR="000A58FC" w:rsidRPr="000A58FC">
        <w:rPr>
          <w:u w:val="single"/>
        </w:rPr>
        <w:t>, и должен обновить список в случае его изменения.</w:t>
      </w:r>
      <w:r>
        <w:t>»</w:t>
      </w:r>
    </w:p>
    <w:p w:rsidR="000A58FC" w:rsidRPr="000A58FC" w:rsidRDefault="000A58FC" w:rsidP="000A58FC">
      <w:pPr>
        <w:pStyle w:val="H1G"/>
      </w:pPr>
      <w:r w:rsidRPr="000A58FC">
        <w:tab/>
      </w:r>
      <w:r w:rsidRPr="000A58FC">
        <w:tab/>
        <w:t>Предложение 2: подразделы 6.8.2.7 и 6.8.3.7 МПОГ/ДОПОГ</w:t>
      </w:r>
    </w:p>
    <w:p w:rsidR="000A58FC" w:rsidRPr="000A58FC" w:rsidRDefault="000A58FC" w:rsidP="000A58FC">
      <w:pPr>
        <w:pStyle w:val="SingleTxtG"/>
      </w:pPr>
      <w:r w:rsidRPr="000A58FC">
        <w:t>7.</w:t>
      </w:r>
      <w:r w:rsidRPr="000A58FC">
        <w:tab/>
        <w:t>Германия также предложила следующие эквивалентные поправки к подразделам 6.8.2.7 и 6.8.3.7 МПОГ/ДОПОГ:</w:t>
      </w:r>
    </w:p>
    <w:p w:rsidR="000A58FC" w:rsidRPr="000A58FC" w:rsidRDefault="000A58FC" w:rsidP="000A58FC">
      <w:pPr>
        <w:pStyle w:val="SingleTxtG"/>
      </w:pPr>
      <w:r w:rsidRPr="000A58FC">
        <w:t>После первого абзаца подразделов 6.8.2.7 и 6.8.3.7 МПОГ/ДОПОГ добавить следующий новый абзац:</w:t>
      </w:r>
    </w:p>
    <w:p w:rsidR="000A58FC" w:rsidRPr="000A58FC" w:rsidRDefault="00121F51" w:rsidP="000A58FC">
      <w:pPr>
        <w:pStyle w:val="SingleTxtG"/>
      </w:pPr>
      <w:r>
        <w:t>«</w:t>
      </w:r>
      <w:r w:rsidR="000A58FC" w:rsidRPr="000A58FC">
        <w:t xml:space="preserve">Как только стандарт, на который сделана новая ссылка в подразделах </w:t>
      </w:r>
      <w:r w:rsidR="000A58FC" w:rsidRPr="000A58FC">
        <w:rPr>
          <w:i/>
          <w:iCs/>
        </w:rPr>
        <w:t xml:space="preserve">(6.8.2.7:) </w:t>
      </w:r>
      <w:r w:rsidR="000A58FC" w:rsidRPr="000A58FC">
        <w:t>6.8.2.6</w:t>
      </w:r>
      <w:r w:rsidR="000A58FC" w:rsidRPr="000A58FC">
        <w:rPr>
          <w:i/>
          <w:iCs/>
        </w:rPr>
        <w:t>/(6.8.3.7:)</w:t>
      </w:r>
      <w:r w:rsidR="000A58FC" w:rsidRPr="000A58FC">
        <w:t xml:space="preserve"> 6.8.3.6, может быть применен, компетентный орган должен отозвать свое признание соответствующего технического правила.</w:t>
      </w:r>
      <w:r>
        <w:t>»</w:t>
      </w:r>
    </w:p>
    <w:p w:rsidR="000A58FC" w:rsidRPr="000A58FC" w:rsidRDefault="000A58FC" w:rsidP="000A58FC">
      <w:pPr>
        <w:pStyle w:val="SingleTxtG"/>
      </w:pPr>
      <w:r w:rsidRPr="000A58FC">
        <w:t>8.</w:t>
      </w:r>
      <w:r w:rsidRPr="000A58FC">
        <w:tab/>
        <w:t>Кроме того, предлагается изменить первое предложение второго абзаца разделов 6.8.2.7 и 6.8.3.7 МПОГ/ДОПОГ следующим образом (поправка выделена подчеркиванием):</w:t>
      </w:r>
    </w:p>
    <w:p w:rsidR="000A58FC" w:rsidRPr="000A58FC" w:rsidRDefault="00121F51" w:rsidP="000A58FC">
      <w:pPr>
        <w:pStyle w:val="SingleTxtG"/>
      </w:pPr>
      <w:r>
        <w:t>«</w:t>
      </w:r>
      <w:r w:rsidR="000A58FC" w:rsidRPr="000A58FC">
        <w:t>Компетентный орган должен передать секретариату ОТИФ/ЕЭК ООН перечень технических правил, которые он признает</w:t>
      </w:r>
      <w:r w:rsidR="000A58FC" w:rsidRPr="000A58FC">
        <w:rPr>
          <w:u w:val="single"/>
        </w:rPr>
        <w:t>, и должен обновить список в случае его изменения</w:t>
      </w:r>
      <w:r w:rsidR="000A58FC" w:rsidRPr="000A58FC">
        <w:t>.</w:t>
      </w:r>
      <w:r>
        <w:t>»</w:t>
      </w:r>
    </w:p>
    <w:p w:rsidR="00E12C5F" w:rsidRDefault="000A58FC" w:rsidP="000A58FC">
      <w:pPr>
        <w:pStyle w:val="H23G"/>
        <w:rPr>
          <w:b w:val="0"/>
        </w:rPr>
      </w:pPr>
      <w:r w:rsidRPr="000A58FC">
        <w:tab/>
      </w:r>
      <w:r>
        <w:tab/>
      </w:r>
      <w:r w:rsidRPr="00432F8D">
        <w:rPr>
          <w:bCs/>
          <w:sz w:val="24"/>
          <w:szCs w:val="24"/>
        </w:rPr>
        <w:t>Обоснование</w:t>
      </w:r>
      <w:r w:rsidRPr="000A58FC">
        <w:rPr>
          <w:bCs/>
        </w:rPr>
        <w:t>:</w:t>
      </w:r>
      <w:r w:rsidRPr="000A58FC">
        <w:rPr>
          <w:b w:val="0"/>
          <w:bCs/>
        </w:rPr>
        <w:t xml:space="preserve"> </w:t>
      </w:r>
      <w:r w:rsidRPr="000A58FC">
        <w:rPr>
          <w:b w:val="0"/>
        </w:rPr>
        <w:t>разъяснение правовой ситуации.</w:t>
      </w:r>
    </w:p>
    <w:p w:rsidR="000A58FC" w:rsidRPr="000A58FC" w:rsidRDefault="000A58FC" w:rsidP="000A58FC">
      <w:pPr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0A58FC" w:rsidRPr="000A58FC" w:rsidSect="000A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70B" w:rsidRPr="00A312BC" w:rsidRDefault="00FC670B" w:rsidP="00A312BC"/>
  </w:endnote>
  <w:endnote w:type="continuationSeparator" w:id="0">
    <w:p w:rsidR="00FC670B" w:rsidRPr="00A312BC" w:rsidRDefault="00FC67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FC" w:rsidRPr="000A58FC" w:rsidRDefault="000A58FC">
    <w:pPr>
      <w:pStyle w:val="Footer"/>
    </w:pPr>
    <w:r w:rsidRPr="000A58FC">
      <w:rPr>
        <w:b/>
        <w:sz w:val="18"/>
      </w:rPr>
      <w:fldChar w:fldCharType="begin"/>
    </w:r>
    <w:r w:rsidRPr="000A58FC">
      <w:rPr>
        <w:b/>
        <w:sz w:val="18"/>
      </w:rPr>
      <w:instrText xml:space="preserve"> PAGE  \* MERGEFORMAT </w:instrText>
    </w:r>
    <w:r w:rsidRPr="000A58FC">
      <w:rPr>
        <w:b/>
        <w:sz w:val="18"/>
      </w:rPr>
      <w:fldChar w:fldCharType="separate"/>
    </w:r>
    <w:r w:rsidR="000B30EE">
      <w:rPr>
        <w:b/>
        <w:noProof/>
        <w:sz w:val="18"/>
      </w:rPr>
      <w:t>2</w:t>
    </w:r>
    <w:r w:rsidRPr="000A58FC">
      <w:rPr>
        <w:b/>
        <w:sz w:val="18"/>
      </w:rPr>
      <w:fldChar w:fldCharType="end"/>
    </w:r>
    <w:r>
      <w:rPr>
        <w:b/>
        <w:sz w:val="18"/>
      </w:rPr>
      <w:tab/>
    </w:r>
    <w:r>
      <w:t>GE.18-22030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FC" w:rsidRPr="000A58FC" w:rsidRDefault="000A58FC" w:rsidP="000A58FC">
    <w:pPr>
      <w:pStyle w:val="Footer"/>
      <w:tabs>
        <w:tab w:val="clear" w:pos="9639"/>
        <w:tab w:val="right" w:pos="9638"/>
      </w:tabs>
      <w:rPr>
        <w:b/>
        <w:sz w:val="18"/>
      </w:rPr>
    </w:pPr>
    <w:r>
      <w:t>GE.18-22030</w:t>
    </w:r>
    <w:r>
      <w:tab/>
    </w:r>
    <w:r w:rsidRPr="000A58FC">
      <w:rPr>
        <w:b/>
        <w:sz w:val="18"/>
      </w:rPr>
      <w:fldChar w:fldCharType="begin"/>
    </w:r>
    <w:r w:rsidRPr="000A58FC">
      <w:rPr>
        <w:b/>
        <w:sz w:val="18"/>
      </w:rPr>
      <w:instrText xml:space="preserve"> PAGE  \* MERGEFORMAT </w:instrText>
    </w:r>
    <w:r w:rsidRPr="000A58F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A58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A58FC" w:rsidRDefault="000A58FC" w:rsidP="000A58F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18-22030  (R)</w:t>
    </w:r>
    <w:r>
      <w:rPr>
        <w:lang w:val="en-US"/>
      </w:rPr>
      <w:t xml:space="preserve">  080119  080119</w:t>
    </w:r>
    <w:r>
      <w:br/>
    </w:r>
    <w:r w:rsidRPr="000A58FC">
      <w:rPr>
        <w:rFonts w:ascii="C39T30Lfz" w:hAnsi="C39T30Lfz"/>
        <w:kern w:val="14"/>
        <w:sz w:val="56"/>
      </w:rPr>
      <w:t></w:t>
    </w:r>
    <w:r w:rsidRPr="000A58FC">
      <w:rPr>
        <w:rFonts w:ascii="C39T30Lfz" w:hAnsi="C39T30Lfz"/>
        <w:kern w:val="14"/>
        <w:sz w:val="56"/>
      </w:rPr>
      <w:t></w:t>
    </w:r>
    <w:r w:rsidRPr="000A58FC">
      <w:rPr>
        <w:rFonts w:ascii="C39T30Lfz" w:hAnsi="C39T30Lfz"/>
        <w:kern w:val="14"/>
        <w:sz w:val="56"/>
      </w:rPr>
      <w:t></w:t>
    </w:r>
    <w:r w:rsidRPr="000A58FC">
      <w:rPr>
        <w:rFonts w:ascii="C39T30Lfz" w:hAnsi="C39T30Lfz"/>
        <w:kern w:val="14"/>
        <w:sz w:val="56"/>
      </w:rPr>
      <w:t></w:t>
    </w:r>
    <w:r w:rsidRPr="000A58FC">
      <w:rPr>
        <w:rFonts w:ascii="C39T30Lfz" w:hAnsi="C39T30Lfz"/>
        <w:kern w:val="14"/>
        <w:sz w:val="56"/>
      </w:rPr>
      <w:t></w:t>
    </w:r>
    <w:r w:rsidRPr="000A58FC">
      <w:rPr>
        <w:rFonts w:ascii="C39T30Lfz" w:hAnsi="C39T30Lfz"/>
        <w:kern w:val="14"/>
        <w:sz w:val="56"/>
      </w:rPr>
      <w:t></w:t>
    </w:r>
    <w:r w:rsidRPr="000A58FC">
      <w:rPr>
        <w:rFonts w:ascii="C39T30Lfz" w:hAnsi="C39T30Lfz"/>
        <w:kern w:val="14"/>
        <w:sz w:val="56"/>
      </w:rPr>
      <w:t></w:t>
    </w:r>
    <w:r w:rsidRPr="000A58FC">
      <w:rPr>
        <w:rFonts w:ascii="C39T30Lfz" w:hAnsi="C39T30Lfz"/>
        <w:kern w:val="14"/>
        <w:sz w:val="56"/>
      </w:rPr>
      <w:t></w:t>
    </w:r>
    <w:r w:rsidRPr="000A58F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70B" w:rsidRPr="001075E9" w:rsidRDefault="00FC67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C670B" w:rsidRDefault="00FC67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A58FC" w:rsidRPr="009C58E7" w:rsidRDefault="000A58FC" w:rsidP="001C2E44">
      <w:pPr>
        <w:pStyle w:val="FootnoteText"/>
      </w:pPr>
      <w:r>
        <w:tab/>
      </w:r>
      <w:r w:rsidRPr="001C2E44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2018–2019 годы (ECE/TRANS/WP.15/237, приложение V (9.2)).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FC" w:rsidRPr="000A58FC" w:rsidRDefault="000B30EE">
    <w:pPr>
      <w:pStyle w:val="Header"/>
    </w:pPr>
    <w:fldSimple w:instr=" TITLE  \* MERGEFORMAT ">
      <w:r>
        <w:t>ECE/TRANS/WP.15/AC.1/2019/2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FC" w:rsidRPr="000A58FC" w:rsidRDefault="000B30EE" w:rsidP="000A58FC">
    <w:pPr>
      <w:pStyle w:val="Header"/>
      <w:jc w:val="right"/>
    </w:pPr>
    <w:fldSimple w:instr=" TITLE  \* MERGEFORMAT ">
      <w:r>
        <w:t>ECE/TRANS/WP.15/AC.1/2019/2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8FC" w:rsidRDefault="000A58FC" w:rsidP="000A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0B"/>
    <w:rsid w:val="00033EE1"/>
    <w:rsid w:val="00042B72"/>
    <w:rsid w:val="000558BD"/>
    <w:rsid w:val="000A58FC"/>
    <w:rsid w:val="000B30EE"/>
    <w:rsid w:val="000B57E7"/>
    <w:rsid w:val="000B6373"/>
    <w:rsid w:val="000E4E5B"/>
    <w:rsid w:val="000F09DF"/>
    <w:rsid w:val="000F61B2"/>
    <w:rsid w:val="001075E9"/>
    <w:rsid w:val="00121F51"/>
    <w:rsid w:val="0014152F"/>
    <w:rsid w:val="00180183"/>
    <w:rsid w:val="0018024D"/>
    <w:rsid w:val="0018649F"/>
    <w:rsid w:val="00196389"/>
    <w:rsid w:val="001B3EF6"/>
    <w:rsid w:val="001C2D45"/>
    <w:rsid w:val="001C2E44"/>
    <w:rsid w:val="001C7A89"/>
    <w:rsid w:val="00255343"/>
    <w:rsid w:val="0027151D"/>
    <w:rsid w:val="002A2EFC"/>
    <w:rsid w:val="002B0106"/>
    <w:rsid w:val="002B74B1"/>
    <w:rsid w:val="002C0E18"/>
    <w:rsid w:val="002D5AAC"/>
    <w:rsid w:val="002E32FE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2101"/>
    <w:rsid w:val="00407B78"/>
    <w:rsid w:val="00424203"/>
    <w:rsid w:val="00432F8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6C79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66AB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4510"/>
    <w:rsid w:val="00F94155"/>
    <w:rsid w:val="00F9783F"/>
    <w:rsid w:val="00FC670B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1F822BE-0D80-4467-B835-BF58C5C5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A58F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SingleTxtGChar">
    <w:name w:val="_ Single Txt_G Char"/>
    <w:link w:val="SingleTxtG"/>
    <w:rsid w:val="000A58F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3043</Characters>
  <Application>Microsoft Office Word</Application>
  <DocSecurity>0</DocSecurity>
  <Lines>72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ECE/TRANS/WP.15/AC.1/2019/2</vt:lpstr>
      <vt:lpstr>ECE/TRANS/WP.15/AC.1/2019/2</vt:lpstr>
      <vt:lpstr>A/</vt:lpstr>
    </vt:vector>
  </TitlesOfParts>
  <Company>DCM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ECE/TRANS/WP.15/AC.1/2019/2</dc:title>
  <dc:subject/>
  <dc:creator>Olga OVTCHINNIKOVA</dc:creator>
  <cp:keywords/>
  <cp:lastModifiedBy>Christine Barrio-Champeau</cp:lastModifiedBy>
  <cp:revision>2</cp:revision>
  <cp:lastPrinted>2019-01-08T15:18:00Z</cp:lastPrinted>
  <dcterms:created xsi:type="dcterms:W3CDTF">2019-01-29T14:39:00Z</dcterms:created>
  <dcterms:modified xsi:type="dcterms:W3CDTF">2019-01-29T14:39:00Z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