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D282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D2826" w:rsidP="004D2826">
            <w:pPr>
              <w:jc w:val="right"/>
            </w:pPr>
            <w:r w:rsidRPr="004D2826">
              <w:rPr>
                <w:sz w:val="40"/>
              </w:rPr>
              <w:t>ECE</w:t>
            </w:r>
            <w:r>
              <w:t>/TRANS/WP.15/AC.1/2019/17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D282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D2826" w:rsidRDefault="004D2826" w:rsidP="004D2826">
            <w:pPr>
              <w:spacing w:line="240" w:lineRule="exact"/>
            </w:pPr>
            <w:r>
              <w:t>28 décembre 2018</w:t>
            </w:r>
          </w:p>
          <w:p w:rsidR="004D2826" w:rsidRDefault="004D2826" w:rsidP="004D2826">
            <w:pPr>
              <w:spacing w:line="240" w:lineRule="exact"/>
            </w:pPr>
            <w:r>
              <w:t>Français</w:t>
            </w:r>
          </w:p>
          <w:p w:rsidR="004D2826" w:rsidRPr="00DB58B5" w:rsidRDefault="004D2826" w:rsidP="004D2826">
            <w:pPr>
              <w:spacing w:line="240" w:lineRule="exact"/>
            </w:pPr>
            <w:r>
              <w:t>Original</w:t>
            </w:r>
            <w:r w:rsidR="00367A34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D2826" w:rsidRPr="00EF5FD4" w:rsidRDefault="004D2826" w:rsidP="004D2826">
      <w:pPr>
        <w:spacing w:before="120" w:after="120" w:line="270" w:lineRule="exact"/>
        <w:rPr>
          <w:b/>
          <w:sz w:val="24"/>
          <w:szCs w:val="24"/>
        </w:rPr>
      </w:pPr>
      <w:r w:rsidRPr="00EF5FD4">
        <w:rPr>
          <w:b/>
          <w:bCs/>
          <w:sz w:val="24"/>
          <w:szCs w:val="24"/>
        </w:rPr>
        <w:t xml:space="preserve">Groupe de travail des transports </w:t>
      </w:r>
      <w:r w:rsidRPr="00EF5FD4">
        <w:rPr>
          <w:b/>
          <w:bCs/>
          <w:sz w:val="24"/>
          <w:szCs w:val="24"/>
        </w:rPr>
        <w:br/>
        <w:t>de marchandises dangereuses</w:t>
      </w:r>
    </w:p>
    <w:p w:rsidR="004D2826" w:rsidRPr="00EF5FD4" w:rsidRDefault="004D2826" w:rsidP="004D2826">
      <w:pPr>
        <w:spacing w:line="240" w:lineRule="exact"/>
        <w:rPr>
          <w:b/>
        </w:rPr>
      </w:pPr>
      <w:r w:rsidRPr="00EF5FD4">
        <w:rPr>
          <w:b/>
          <w:bCs/>
        </w:rPr>
        <w:t xml:space="preserve">Réunion commune de la Commission d’experts du RID </w:t>
      </w:r>
      <w:r w:rsidRPr="00EF5FD4">
        <w:rPr>
          <w:b/>
          <w:bCs/>
        </w:rPr>
        <w:br/>
        <w:t xml:space="preserve">et du Groupe de travail des transports de marchandises </w:t>
      </w:r>
      <w:r w:rsidRPr="00EF5FD4">
        <w:rPr>
          <w:b/>
          <w:bCs/>
        </w:rPr>
        <w:br/>
        <w:t>dangereuses</w:t>
      </w:r>
    </w:p>
    <w:p w:rsidR="004D2826" w:rsidRPr="00EF5FD4" w:rsidRDefault="004D2826" w:rsidP="004D2826">
      <w:pPr>
        <w:spacing w:line="240" w:lineRule="exact"/>
      </w:pPr>
      <w:r w:rsidRPr="00EF5FD4">
        <w:t>Berne, 18-22 mars 2019</w:t>
      </w:r>
    </w:p>
    <w:p w:rsidR="004D2826" w:rsidRPr="00EF5FD4" w:rsidRDefault="004D2826" w:rsidP="004D2826">
      <w:pPr>
        <w:spacing w:line="240" w:lineRule="exact"/>
      </w:pPr>
      <w:r w:rsidRPr="00EF5FD4">
        <w:t>Point 2 de l’ordre du jour provisoire</w:t>
      </w:r>
    </w:p>
    <w:p w:rsidR="004D2826" w:rsidRPr="00EF5FD4" w:rsidRDefault="004D2826" w:rsidP="004D2826">
      <w:pPr>
        <w:spacing w:line="240" w:lineRule="exact"/>
        <w:rPr>
          <w:b/>
        </w:rPr>
      </w:pPr>
      <w:r w:rsidRPr="00EF5FD4">
        <w:rPr>
          <w:b/>
          <w:bCs/>
        </w:rPr>
        <w:t>Citernes</w:t>
      </w:r>
    </w:p>
    <w:p w:rsidR="00BE10BD" w:rsidRPr="0035741B" w:rsidRDefault="00BE10BD" w:rsidP="00A64600">
      <w:pPr>
        <w:pStyle w:val="HChG"/>
        <w:rPr>
          <w:sz w:val="18"/>
          <w:szCs w:val="18"/>
          <w:lang w:val="fr-FR"/>
        </w:rPr>
      </w:pPr>
      <w:r w:rsidRPr="0035741B">
        <w:rPr>
          <w:lang w:val="fr-FR"/>
        </w:rPr>
        <w:tab/>
      </w:r>
      <w:r w:rsidRPr="0035741B">
        <w:rPr>
          <w:lang w:val="fr-FR"/>
        </w:rPr>
        <w:tab/>
        <w:t xml:space="preserve">Clarification de la protection requise pour les raccords </w:t>
      </w:r>
      <w:r w:rsidR="00A64600">
        <w:rPr>
          <w:lang w:val="fr-FR"/>
        </w:rPr>
        <w:br/>
      </w:r>
      <w:r w:rsidRPr="0035741B">
        <w:rPr>
          <w:lang w:val="fr-FR"/>
        </w:rPr>
        <w:t xml:space="preserve">et accessoires montés sur la partie supérieure des citernes </w:t>
      </w:r>
      <w:r w:rsidR="00A64600">
        <w:rPr>
          <w:lang w:val="fr-FR"/>
        </w:rPr>
        <w:br/>
      </w:r>
      <w:r w:rsidRPr="0035741B">
        <w:rPr>
          <w:lang w:val="fr-FR"/>
        </w:rPr>
        <w:t xml:space="preserve">à déchets opérant sous vide </w:t>
      </w:r>
    </w:p>
    <w:p w:rsidR="00BE10BD" w:rsidRPr="0035741B" w:rsidRDefault="00BE10BD" w:rsidP="00A64600">
      <w:pPr>
        <w:pStyle w:val="H1G"/>
        <w:rPr>
          <w:lang w:val="fr-FR"/>
        </w:rPr>
      </w:pPr>
      <w:r w:rsidRPr="0035741B">
        <w:rPr>
          <w:lang w:val="fr-FR"/>
        </w:rPr>
        <w:tab/>
      </w:r>
      <w:r w:rsidRPr="0035741B">
        <w:rPr>
          <w:lang w:val="fr-FR"/>
        </w:rPr>
        <w:tab/>
        <w:t>Communication du Gouvernement du Royaume-Uni</w:t>
      </w:r>
      <w:r w:rsidR="00A64600" w:rsidRPr="00A6460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A64600" w:rsidRPr="00A64600">
        <w:rPr>
          <w:b w:val="0"/>
          <w:sz w:val="20"/>
          <w:vertAlign w:val="superscript"/>
        </w:rPr>
        <w:t xml:space="preserve">, </w:t>
      </w:r>
      <w:r w:rsidR="00A64600" w:rsidRPr="00A64600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51"/>
      </w:tblGrid>
      <w:tr w:rsidR="00BE10BD" w:rsidRPr="0035741B" w:rsidTr="00476DB3">
        <w:trPr>
          <w:jc w:val="center"/>
        </w:trPr>
        <w:tc>
          <w:tcPr>
            <w:tcW w:w="9351" w:type="dxa"/>
            <w:shd w:val="clear" w:color="auto" w:fill="auto"/>
          </w:tcPr>
          <w:p w:rsidR="00BE10BD" w:rsidRPr="004A514D" w:rsidRDefault="00BE10BD" w:rsidP="007966A1">
            <w:pPr>
              <w:spacing w:before="240" w:after="120" w:line="240" w:lineRule="auto"/>
              <w:ind w:left="255"/>
              <w:rPr>
                <w:i/>
                <w:sz w:val="24"/>
                <w:szCs w:val="24"/>
                <w:lang w:val="fr-FR"/>
              </w:rPr>
            </w:pPr>
            <w:r w:rsidRPr="004A514D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BE10BD" w:rsidRPr="000B53C0" w:rsidTr="00476DB3">
        <w:trPr>
          <w:jc w:val="center"/>
        </w:trPr>
        <w:tc>
          <w:tcPr>
            <w:tcW w:w="9351" w:type="dxa"/>
            <w:shd w:val="clear" w:color="auto" w:fill="auto"/>
          </w:tcPr>
          <w:p w:rsidR="00BE10BD" w:rsidRPr="0035741B" w:rsidRDefault="00BE10BD" w:rsidP="001374E5">
            <w:pPr>
              <w:tabs>
                <w:tab w:val="left" w:pos="3260"/>
              </w:tabs>
              <w:spacing w:after="120" w:line="240" w:lineRule="auto"/>
              <w:ind w:left="2778" w:right="737" w:hanging="2041"/>
              <w:rPr>
                <w:sz w:val="18"/>
                <w:szCs w:val="18"/>
                <w:lang w:val="fr-FR"/>
              </w:rPr>
            </w:pPr>
            <w:r w:rsidRPr="004A514D">
              <w:rPr>
                <w:b/>
                <w:lang w:val="fr-FR"/>
              </w:rPr>
              <w:t>Résumé analytique</w:t>
            </w:r>
            <w:r w:rsidR="00367A34" w:rsidRPr="004A514D">
              <w:rPr>
                <w:b/>
                <w:lang w:val="fr-FR"/>
              </w:rPr>
              <w:t> :</w:t>
            </w:r>
            <w:r w:rsidRPr="0035741B">
              <w:rPr>
                <w:lang w:val="fr-FR"/>
              </w:rPr>
              <w:t xml:space="preserve"> </w:t>
            </w:r>
            <w:r w:rsidRPr="0035741B">
              <w:rPr>
                <w:lang w:val="fr-FR"/>
              </w:rPr>
              <w:tab/>
            </w:r>
            <w:r w:rsidRPr="001374E5">
              <w:rPr>
                <w:spacing w:val="-1"/>
                <w:lang w:val="fr-FR"/>
              </w:rPr>
              <w:t xml:space="preserve">La présente proposition fait suite aux débats qui ont eu lieu au sein du Groupe de travail des citernes, au cours des sessions de mars et septembre 2018 de </w:t>
            </w:r>
            <w:r w:rsidRPr="001374E5">
              <w:rPr>
                <w:iCs/>
                <w:spacing w:val="-1"/>
                <w:lang w:val="fr-FR"/>
              </w:rPr>
              <w:t>la Réunion commune RID/ADR/ADN, concernant</w:t>
            </w:r>
            <w:r w:rsidRPr="001374E5">
              <w:rPr>
                <w:i/>
                <w:iCs/>
                <w:spacing w:val="-1"/>
                <w:lang w:val="fr-FR"/>
              </w:rPr>
              <w:t xml:space="preserve"> </w:t>
            </w:r>
            <w:r w:rsidRPr="001374E5">
              <w:rPr>
                <w:spacing w:val="-1"/>
                <w:lang w:val="fr-FR"/>
              </w:rPr>
              <w:t xml:space="preserve">la protection contre les éventuels renversements qui pourrait être nécessaire </w:t>
            </w:r>
            <w:r w:rsidRPr="001374E5">
              <w:rPr>
                <w:iCs/>
                <w:spacing w:val="-1"/>
                <w:lang w:val="fr-FR"/>
              </w:rPr>
              <w:t>pour les raccords et accessoires montés sur la partie supérieure des citernes à déchets opérant sous vide</w:t>
            </w:r>
            <w:r w:rsidRPr="001374E5">
              <w:rPr>
                <w:spacing w:val="-1"/>
                <w:lang w:val="fr-FR"/>
              </w:rPr>
              <w:t>. Compte tenu des vues exprimées à la session de septembre, il a été décidé que cette question ferait l’objet d’un document officiel établi par le Royaume-Uni.</w:t>
            </w:r>
          </w:p>
        </w:tc>
      </w:tr>
      <w:tr w:rsidR="00BE10BD" w:rsidRPr="0035741B" w:rsidTr="00476DB3">
        <w:trPr>
          <w:jc w:val="center"/>
        </w:trPr>
        <w:tc>
          <w:tcPr>
            <w:tcW w:w="9351" w:type="dxa"/>
            <w:shd w:val="clear" w:color="auto" w:fill="auto"/>
          </w:tcPr>
          <w:p w:rsidR="00BE10BD" w:rsidRPr="0035741B" w:rsidRDefault="00BE10BD" w:rsidP="001374E5">
            <w:pPr>
              <w:tabs>
                <w:tab w:val="left" w:pos="3260"/>
              </w:tabs>
              <w:spacing w:after="120" w:line="240" w:lineRule="auto"/>
              <w:ind w:left="2778" w:right="737" w:hanging="2041"/>
              <w:rPr>
                <w:sz w:val="18"/>
                <w:szCs w:val="18"/>
                <w:lang w:val="fr-FR"/>
              </w:rPr>
            </w:pPr>
            <w:r w:rsidRPr="004A514D">
              <w:rPr>
                <w:b/>
                <w:lang w:val="fr-FR"/>
              </w:rPr>
              <w:t>Mesures à prendre</w:t>
            </w:r>
            <w:r w:rsidR="00367A34" w:rsidRPr="004A514D">
              <w:rPr>
                <w:b/>
                <w:lang w:val="fr-FR"/>
              </w:rPr>
              <w:t> :</w:t>
            </w:r>
            <w:r w:rsidRPr="0035741B">
              <w:rPr>
                <w:lang w:val="fr-FR"/>
              </w:rPr>
              <w:tab/>
              <w:t>Proposition visant à modifier le 6.10.3.1 de manière à préciser que les prescriptions éno</w:t>
            </w:r>
            <w:r>
              <w:rPr>
                <w:lang w:val="fr-FR"/>
              </w:rPr>
              <w:t>ncées dans le 6.8.2</w:t>
            </w:r>
            <w:r w:rsidRPr="0035741B">
              <w:rPr>
                <w:lang w:val="fr-FR"/>
              </w:rPr>
              <w:t>.1.28 s</w:t>
            </w:r>
            <w:r>
              <w:rPr>
                <w:lang w:val="fr-FR"/>
              </w:rPr>
              <w:t>’</w:t>
            </w:r>
            <w:r w:rsidRPr="0035741B">
              <w:rPr>
                <w:lang w:val="fr-FR"/>
              </w:rPr>
              <w:t xml:space="preserve">appliquent aux </w:t>
            </w:r>
            <w:r w:rsidRPr="008414EA">
              <w:rPr>
                <w:iCs/>
                <w:lang w:val="fr-FR"/>
              </w:rPr>
              <w:t>équipements</w:t>
            </w:r>
            <w:r w:rsidRPr="0035741B">
              <w:rPr>
                <w:b/>
                <w:bCs/>
                <w:lang w:val="fr-FR"/>
              </w:rPr>
              <w:t xml:space="preserve"> </w:t>
            </w:r>
            <w:r w:rsidRPr="0035741B">
              <w:rPr>
                <w:lang w:val="fr-FR"/>
              </w:rPr>
              <w:t xml:space="preserve">qui peuvent être placés dans la </w:t>
            </w:r>
            <w:r w:rsidR="001374E5">
              <w:rPr>
                <w:lang w:val="fr-FR"/>
              </w:rPr>
              <w:t>« </w:t>
            </w:r>
            <w:r w:rsidRPr="0035741B">
              <w:rPr>
                <w:lang w:val="fr-FR"/>
              </w:rPr>
              <w:t>zone protégée</w:t>
            </w:r>
            <w:r w:rsidR="001374E5">
              <w:rPr>
                <w:lang w:val="fr-FR"/>
              </w:rPr>
              <w:t> »</w:t>
            </w:r>
            <w:r w:rsidRPr="0035741B">
              <w:rPr>
                <w:lang w:val="fr-FR"/>
              </w:rPr>
              <w:t xml:space="preserve"> située dans la partie supérieure de la citerne. Et proposition de </w:t>
            </w:r>
            <w:r w:rsidRPr="008414EA">
              <w:rPr>
                <w:iCs/>
                <w:lang w:val="fr-FR"/>
              </w:rPr>
              <w:t>nouvelle mesure transitoire au</w:t>
            </w:r>
            <w:r w:rsidR="008F02CA">
              <w:rPr>
                <w:iCs/>
                <w:lang w:val="fr-FR"/>
              </w:rPr>
              <w:t> </w:t>
            </w:r>
            <w:r w:rsidRPr="0035741B">
              <w:rPr>
                <w:lang w:val="fr-FR"/>
              </w:rPr>
              <w:t>1.6.3.30.</w:t>
            </w:r>
          </w:p>
        </w:tc>
      </w:tr>
      <w:tr w:rsidR="00BE10BD" w:rsidRPr="000B53C0" w:rsidTr="00476DB3">
        <w:trPr>
          <w:jc w:val="center"/>
        </w:trPr>
        <w:tc>
          <w:tcPr>
            <w:tcW w:w="9351" w:type="dxa"/>
            <w:shd w:val="clear" w:color="auto" w:fill="auto"/>
          </w:tcPr>
          <w:p w:rsidR="00BE10BD" w:rsidRPr="0035741B" w:rsidRDefault="00BE10BD" w:rsidP="001374E5">
            <w:pPr>
              <w:tabs>
                <w:tab w:val="left" w:pos="3260"/>
              </w:tabs>
              <w:spacing w:after="120" w:line="240" w:lineRule="auto"/>
              <w:ind w:left="2778" w:right="737" w:hanging="2041"/>
              <w:jc w:val="both"/>
              <w:rPr>
                <w:b/>
                <w:sz w:val="18"/>
                <w:szCs w:val="18"/>
                <w:lang w:val="fr-FR"/>
              </w:rPr>
            </w:pPr>
            <w:r w:rsidRPr="004A514D">
              <w:rPr>
                <w:b/>
                <w:lang w:val="fr-FR"/>
              </w:rPr>
              <w:t>Documents connexes</w:t>
            </w:r>
            <w:r w:rsidR="00367A34" w:rsidRPr="004A514D">
              <w:rPr>
                <w:b/>
                <w:lang w:val="fr-FR"/>
              </w:rPr>
              <w:t> :</w:t>
            </w:r>
            <w:r w:rsidRPr="0035741B">
              <w:rPr>
                <w:lang w:val="fr-FR"/>
              </w:rPr>
              <w:tab/>
              <w:t>Document informel INF.47 (par.</w:t>
            </w:r>
            <w:r w:rsidR="008F02CA">
              <w:rPr>
                <w:lang w:val="fr-FR"/>
              </w:rPr>
              <w:t> </w:t>
            </w:r>
            <w:r w:rsidRPr="0035741B">
              <w:rPr>
                <w:lang w:val="fr-FR"/>
              </w:rPr>
              <w:t xml:space="preserve">42) de la session de mars 2018 et documents informels INF.17 et INF.30 (par. 22 à 25) de la session de septembre 2018. </w:t>
            </w:r>
          </w:p>
        </w:tc>
      </w:tr>
    </w:tbl>
    <w:p w:rsidR="00BE10BD" w:rsidRPr="0035741B" w:rsidRDefault="00BE10BD" w:rsidP="008F02CA">
      <w:pPr>
        <w:pStyle w:val="HChG"/>
        <w:rPr>
          <w:lang w:val="fr-FR"/>
        </w:rPr>
      </w:pPr>
      <w:r w:rsidRPr="0035741B">
        <w:rPr>
          <w:lang w:val="fr-FR"/>
        </w:rPr>
        <w:lastRenderedPageBreak/>
        <w:tab/>
      </w:r>
      <w:r w:rsidRPr="0035741B">
        <w:rPr>
          <w:lang w:val="fr-FR"/>
        </w:rPr>
        <w:tab/>
        <w:t>Introduction</w:t>
      </w:r>
    </w:p>
    <w:p w:rsidR="00BE10BD" w:rsidRPr="0035741B" w:rsidRDefault="00BE10BD" w:rsidP="008F02CA">
      <w:pPr>
        <w:pStyle w:val="SingleTxtG"/>
        <w:rPr>
          <w:lang w:val="fr-FR"/>
        </w:rPr>
      </w:pPr>
      <w:r w:rsidRPr="0035741B">
        <w:rPr>
          <w:lang w:val="fr-FR"/>
        </w:rPr>
        <w:t>1.</w:t>
      </w:r>
      <w:r w:rsidRPr="0035741B">
        <w:rPr>
          <w:lang w:val="fr-FR"/>
        </w:rPr>
        <w:tab/>
        <w:t>Au titre du point 8 de l</w:t>
      </w:r>
      <w:r>
        <w:rPr>
          <w:lang w:val="fr-FR"/>
        </w:rPr>
        <w:t>’</w:t>
      </w:r>
      <w:r w:rsidRPr="0035741B">
        <w:rPr>
          <w:lang w:val="fr-FR"/>
        </w:rPr>
        <w:t xml:space="preserve">ordre du jour de la </w:t>
      </w:r>
      <w:r>
        <w:rPr>
          <w:lang w:val="fr-FR"/>
        </w:rPr>
        <w:t xml:space="preserve">session </w:t>
      </w:r>
      <w:r w:rsidRPr="0035741B">
        <w:rPr>
          <w:lang w:val="fr-FR"/>
        </w:rPr>
        <w:t xml:space="preserve">du Groupe de travail </w:t>
      </w:r>
      <w:r>
        <w:rPr>
          <w:lang w:val="fr-FR"/>
        </w:rPr>
        <w:t>des</w:t>
      </w:r>
      <w:r w:rsidRPr="0035741B">
        <w:rPr>
          <w:lang w:val="fr-FR"/>
        </w:rPr>
        <w:t xml:space="preserve"> citernes en septembre 2018, un débat a eu lieu sur l</w:t>
      </w:r>
      <w:r>
        <w:rPr>
          <w:lang w:val="fr-FR"/>
        </w:rPr>
        <w:t>’</w:t>
      </w:r>
      <w:r w:rsidRPr="0035741B">
        <w:rPr>
          <w:lang w:val="fr-FR"/>
        </w:rPr>
        <w:t>interprétation des prescriptions relatives à la protection contre le renversement des citernes à déchets opérant sous vide. Ce débat s</w:t>
      </w:r>
      <w:r>
        <w:rPr>
          <w:lang w:val="fr-FR"/>
        </w:rPr>
        <w:t>’</w:t>
      </w:r>
      <w:r w:rsidRPr="0035741B">
        <w:rPr>
          <w:lang w:val="fr-FR"/>
        </w:rPr>
        <w:t>appuyait sur un document informel soumis par le Royaume-Uni et, étant donné que les prescriptions énoncées dans l</w:t>
      </w:r>
      <w:r>
        <w:rPr>
          <w:lang w:val="fr-FR"/>
        </w:rPr>
        <w:t>’</w:t>
      </w:r>
      <w:r w:rsidRPr="0035741B">
        <w:rPr>
          <w:lang w:val="fr-FR"/>
        </w:rPr>
        <w:t>ADR ont é</w:t>
      </w:r>
      <w:r>
        <w:rPr>
          <w:lang w:val="fr-FR"/>
        </w:rPr>
        <w:t>té jugées peu claires et semblai</w:t>
      </w:r>
      <w:r w:rsidRPr="0035741B">
        <w:rPr>
          <w:lang w:val="fr-FR"/>
        </w:rPr>
        <w:t xml:space="preserve">ent </w:t>
      </w:r>
      <w:r>
        <w:rPr>
          <w:lang w:val="fr-FR"/>
        </w:rPr>
        <w:t>être</w:t>
      </w:r>
      <w:r w:rsidRPr="0035741B">
        <w:rPr>
          <w:lang w:val="fr-FR"/>
        </w:rPr>
        <w:t xml:space="preserve"> interprétées de deux manières différentes, il a été décidé que cette question ferait l</w:t>
      </w:r>
      <w:r>
        <w:rPr>
          <w:lang w:val="fr-FR"/>
        </w:rPr>
        <w:t>’</w:t>
      </w:r>
      <w:r w:rsidRPr="0035741B">
        <w:rPr>
          <w:lang w:val="fr-FR"/>
        </w:rPr>
        <w:t xml:space="preserve">objet du présent document officiel </w:t>
      </w:r>
      <w:r>
        <w:rPr>
          <w:lang w:val="fr-FR"/>
        </w:rPr>
        <w:t>établi par le</w:t>
      </w:r>
      <w:r w:rsidRPr="0035741B">
        <w:rPr>
          <w:lang w:val="fr-FR"/>
        </w:rPr>
        <w:t xml:space="preserve"> Royaume-Uni.</w:t>
      </w:r>
    </w:p>
    <w:p w:rsidR="00BE10BD" w:rsidRPr="0035741B" w:rsidRDefault="00BE10BD" w:rsidP="008F02CA">
      <w:pPr>
        <w:pStyle w:val="SingleTxtG"/>
        <w:rPr>
          <w:lang w:val="fr-FR"/>
        </w:rPr>
      </w:pPr>
      <w:r w:rsidRPr="0035741B">
        <w:rPr>
          <w:lang w:val="fr-FR"/>
        </w:rPr>
        <w:t>2.</w:t>
      </w:r>
      <w:r w:rsidRPr="0035741B">
        <w:rPr>
          <w:lang w:val="fr-FR"/>
        </w:rPr>
        <w:tab/>
        <w:t>Des participants se sont dit préoccupés par le fait qu</w:t>
      </w:r>
      <w:r>
        <w:rPr>
          <w:lang w:val="fr-FR"/>
        </w:rPr>
        <w:t>’</w:t>
      </w:r>
      <w:r w:rsidRPr="0035741B">
        <w:rPr>
          <w:lang w:val="fr-FR"/>
        </w:rPr>
        <w:t>il pourrait être difficile d</w:t>
      </w:r>
      <w:r>
        <w:rPr>
          <w:lang w:val="fr-FR"/>
        </w:rPr>
        <w:t>’</w:t>
      </w:r>
      <w:r w:rsidRPr="0035741B">
        <w:rPr>
          <w:lang w:val="fr-FR"/>
        </w:rPr>
        <w:t>installer des dispositifs de protection en cas de renversement sur les potences d</w:t>
      </w:r>
      <w:r>
        <w:rPr>
          <w:lang w:val="fr-FR"/>
        </w:rPr>
        <w:t>’</w:t>
      </w:r>
      <w:r w:rsidRPr="0035741B">
        <w:rPr>
          <w:lang w:val="fr-FR"/>
        </w:rPr>
        <w:t>aspiration qui pourraient être installées sur ces c</w:t>
      </w:r>
      <w:r>
        <w:rPr>
          <w:lang w:val="fr-FR"/>
        </w:rPr>
        <w:t>iternes. L’alinéa c) du 6.10.3.7</w:t>
      </w:r>
      <w:r w:rsidRPr="0035741B">
        <w:rPr>
          <w:lang w:val="fr-FR"/>
        </w:rPr>
        <w:t xml:space="preserve"> dispose cependant que </w:t>
      </w:r>
      <w:r w:rsidRPr="003B5E62">
        <w:rPr>
          <w:iCs/>
          <w:lang w:val="fr-FR"/>
        </w:rPr>
        <w:t>la potence doit être construite de manière telle que la citerne ne puisse fuir en cas de choc accidentel sur la potence</w:t>
      </w:r>
      <w:r w:rsidRPr="0035741B">
        <w:rPr>
          <w:i/>
          <w:iCs/>
          <w:lang w:val="fr-FR"/>
        </w:rPr>
        <w:t>.</w:t>
      </w:r>
      <w:r w:rsidRPr="0035741B">
        <w:rPr>
          <w:lang w:val="fr-FR"/>
        </w:rPr>
        <w:t xml:space="preserve"> Il semble donc que la potence doive être considérée comme </w:t>
      </w:r>
      <w:r>
        <w:rPr>
          <w:lang w:val="fr-FR"/>
        </w:rPr>
        <w:t xml:space="preserve">un élément pouvant être endommagé </w:t>
      </w:r>
      <w:r w:rsidRPr="0035741B">
        <w:rPr>
          <w:lang w:val="fr-FR"/>
        </w:rPr>
        <w:t>et ne pas bénéficier de la protection contre le renversement</w:t>
      </w:r>
      <w:r w:rsidRPr="0035741B">
        <w:rPr>
          <w:b/>
          <w:bCs/>
          <w:lang w:val="fr-FR"/>
        </w:rPr>
        <w:t xml:space="preserve"> </w:t>
      </w:r>
      <w:r>
        <w:rPr>
          <w:lang w:val="fr-FR"/>
        </w:rPr>
        <w:t>mentionnée au 6.8.2.</w:t>
      </w:r>
      <w:r w:rsidRPr="0035741B">
        <w:rPr>
          <w:lang w:val="fr-FR"/>
        </w:rPr>
        <w:t>1.28. En outre, compte tenu du caractère non prescriptif du 6.8.2.1.28, il devrait être possible d</w:t>
      </w:r>
      <w:r>
        <w:rPr>
          <w:lang w:val="fr-FR"/>
        </w:rPr>
        <w:t>’</w:t>
      </w:r>
      <w:r w:rsidRPr="0035741B">
        <w:rPr>
          <w:lang w:val="fr-FR"/>
        </w:rPr>
        <w:t xml:space="preserve">assurer la protection des équipements de service de manière à ce que le fonctionnement de la potence ne soit pas entravé. </w:t>
      </w:r>
    </w:p>
    <w:p w:rsidR="00BE10BD" w:rsidRPr="0035741B" w:rsidRDefault="00BE10BD" w:rsidP="008F02CA">
      <w:pPr>
        <w:pStyle w:val="SingleTxtG"/>
        <w:rPr>
          <w:lang w:val="fr-FR"/>
        </w:rPr>
      </w:pPr>
      <w:r w:rsidRPr="0035741B">
        <w:rPr>
          <w:lang w:val="fr-FR"/>
        </w:rPr>
        <w:t>3.</w:t>
      </w:r>
      <w:r w:rsidRPr="0035741B">
        <w:rPr>
          <w:lang w:val="fr-FR"/>
        </w:rPr>
        <w:tab/>
        <w:t xml:space="preserve">Le présent document a donc pour objet de proposer des modifications visant à rendre plus clair le texte relatif à la protection contre le renversement des citernes à déchets opérant sous vide, de justifier ces modifications et de proposer des mesures transitoires pour les citernes ne satisfaisant pas à ces </w:t>
      </w:r>
      <w:r>
        <w:rPr>
          <w:lang w:val="fr-FR"/>
        </w:rPr>
        <w:t>prescription</w:t>
      </w:r>
      <w:r w:rsidRPr="0035741B">
        <w:rPr>
          <w:lang w:val="fr-FR"/>
        </w:rPr>
        <w:t>s avant l</w:t>
      </w:r>
      <w:r>
        <w:rPr>
          <w:lang w:val="fr-FR"/>
        </w:rPr>
        <w:t>’</w:t>
      </w:r>
      <w:r w:rsidRPr="0035741B">
        <w:rPr>
          <w:lang w:val="fr-FR"/>
        </w:rPr>
        <w:t>entrée en vigueur des modifications.</w:t>
      </w:r>
      <w:r w:rsidR="00367A34">
        <w:rPr>
          <w:lang w:val="fr-FR"/>
        </w:rPr>
        <w:t xml:space="preserve"> </w:t>
      </w:r>
      <w:r w:rsidRPr="0035741B">
        <w:rPr>
          <w:lang w:val="fr-FR"/>
        </w:rPr>
        <w:t xml:space="preserve"> </w:t>
      </w:r>
    </w:p>
    <w:p w:rsidR="00BE10BD" w:rsidRPr="0035741B" w:rsidRDefault="00BE10BD" w:rsidP="00057F9A">
      <w:pPr>
        <w:pStyle w:val="HChG"/>
        <w:rPr>
          <w:lang w:val="fr-FR"/>
        </w:rPr>
      </w:pPr>
      <w:r w:rsidRPr="0035741B">
        <w:rPr>
          <w:lang w:val="fr-FR"/>
        </w:rPr>
        <w:tab/>
      </w:r>
      <w:r w:rsidRPr="0035741B">
        <w:rPr>
          <w:lang w:val="fr-FR"/>
        </w:rPr>
        <w:tab/>
        <w:t>Propositions</w:t>
      </w:r>
    </w:p>
    <w:p w:rsidR="00BE10BD" w:rsidRPr="00E51198" w:rsidRDefault="00BE10BD" w:rsidP="00057F9A">
      <w:pPr>
        <w:pStyle w:val="H1G"/>
        <w:rPr>
          <w:lang w:val="fr-FR"/>
        </w:rPr>
      </w:pPr>
      <w:r w:rsidRPr="0035741B">
        <w:rPr>
          <w:lang w:val="fr-FR"/>
        </w:rPr>
        <w:tab/>
      </w:r>
      <w:r w:rsidRPr="0035741B">
        <w:rPr>
          <w:lang w:val="fr-FR"/>
        </w:rPr>
        <w:tab/>
        <w:t>Proposition 1</w:t>
      </w:r>
    </w:p>
    <w:p w:rsidR="00BE10BD" w:rsidRPr="0035741B" w:rsidRDefault="00BE10BD" w:rsidP="00E51198">
      <w:pPr>
        <w:pStyle w:val="SingleTxtG"/>
        <w:rPr>
          <w:b/>
          <w:lang w:val="fr-FR"/>
        </w:rPr>
      </w:pPr>
      <w:r w:rsidRPr="0035741B">
        <w:rPr>
          <w:lang w:val="fr-FR"/>
        </w:rPr>
        <w:t xml:space="preserve">Compléter comme suit le </w:t>
      </w:r>
      <w:r>
        <w:rPr>
          <w:lang w:val="fr-FR"/>
        </w:rPr>
        <w:t xml:space="preserve">libellé </w:t>
      </w:r>
      <w:r w:rsidRPr="0035741B">
        <w:rPr>
          <w:lang w:val="fr-FR"/>
        </w:rPr>
        <w:t xml:space="preserve">du 6.10.3.1 (les ajouts </w:t>
      </w:r>
      <w:r>
        <w:rPr>
          <w:lang w:val="fr-FR"/>
        </w:rPr>
        <w:t>figurent</w:t>
      </w:r>
      <w:r w:rsidRPr="0035741B">
        <w:rPr>
          <w:lang w:val="fr-FR"/>
        </w:rPr>
        <w:t xml:space="preserve"> en caractères </w:t>
      </w:r>
      <w:r w:rsidRPr="00E51198">
        <w:rPr>
          <w:b/>
          <w:bCs/>
          <w:lang w:val="fr-FR"/>
        </w:rPr>
        <w:t>gras</w:t>
      </w:r>
      <w:r w:rsidRPr="0035741B">
        <w:rPr>
          <w:bCs/>
          <w:lang w:val="fr-FR"/>
        </w:rPr>
        <w:t xml:space="preserve"> </w:t>
      </w:r>
      <w:r w:rsidRPr="0035741B">
        <w:rPr>
          <w:lang w:val="fr-FR"/>
        </w:rPr>
        <w:t xml:space="preserve">et </w:t>
      </w:r>
      <w:r w:rsidRPr="0035741B">
        <w:rPr>
          <w:u w:val="single"/>
          <w:lang w:val="fr-FR"/>
        </w:rPr>
        <w:t>soulignés</w:t>
      </w:r>
      <w:r w:rsidRPr="0035741B">
        <w:rPr>
          <w:lang w:val="fr-FR"/>
        </w:rPr>
        <w:t>)</w:t>
      </w:r>
      <w:r w:rsidR="00367A34">
        <w:rPr>
          <w:lang w:val="fr-FR"/>
        </w:rPr>
        <w:t> :</w:t>
      </w:r>
    </w:p>
    <w:p w:rsidR="00BE10BD" w:rsidRPr="0035741B" w:rsidRDefault="00E51198" w:rsidP="00057F9A">
      <w:pPr>
        <w:pStyle w:val="SingleTxtG"/>
        <w:ind w:left="2268" w:hanging="1134"/>
        <w:rPr>
          <w:b/>
          <w:u w:val="single"/>
          <w:lang w:val="fr-FR"/>
        </w:rPr>
      </w:pPr>
      <w:r>
        <w:rPr>
          <w:lang w:val="fr-FR"/>
        </w:rPr>
        <w:t>« </w:t>
      </w:r>
      <w:r w:rsidR="00BE10BD" w:rsidRPr="0035741B">
        <w:rPr>
          <w:lang w:val="fr-FR"/>
        </w:rPr>
        <w:t>6.10.3.1</w:t>
      </w:r>
      <w:r w:rsidR="00BE10BD" w:rsidRPr="0035741B">
        <w:rPr>
          <w:lang w:val="fr-FR"/>
        </w:rPr>
        <w:tab/>
        <w:t>Les équipements doivent être disposés de façon à être protégés contre les risques d</w:t>
      </w:r>
      <w:r w:rsidR="00BE10BD">
        <w:rPr>
          <w:lang w:val="fr-FR"/>
        </w:rPr>
        <w:t>’</w:t>
      </w:r>
      <w:r w:rsidR="00BE10BD" w:rsidRPr="0035741B">
        <w:rPr>
          <w:lang w:val="fr-FR"/>
        </w:rPr>
        <w:t>arrachement ou d</w:t>
      </w:r>
      <w:r w:rsidR="00BE10BD">
        <w:rPr>
          <w:lang w:val="fr-FR"/>
        </w:rPr>
        <w:t>’</w:t>
      </w:r>
      <w:r w:rsidR="00BE10BD" w:rsidRPr="0035741B">
        <w:rPr>
          <w:lang w:val="fr-FR"/>
        </w:rPr>
        <w:t>avarie en cours de transport et de manutention. Il</w:t>
      </w:r>
      <w:r w:rsidR="009E6321">
        <w:rPr>
          <w:lang w:val="fr-FR"/>
        </w:rPr>
        <w:t> </w:t>
      </w:r>
      <w:r w:rsidR="00BE10BD" w:rsidRPr="0035741B">
        <w:rPr>
          <w:lang w:val="fr-FR"/>
        </w:rPr>
        <w:t xml:space="preserve">est possible de satisfaire à cette prescription en plaçant les équipements dans une zone dite </w:t>
      </w:r>
      <w:r>
        <w:rPr>
          <w:lang w:val="fr-FR"/>
        </w:rPr>
        <w:t>“protégée”</w:t>
      </w:r>
      <w:r w:rsidR="00BE10BD" w:rsidRPr="0035741B">
        <w:rPr>
          <w:lang w:val="fr-FR"/>
        </w:rPr>
        <w:t xml:space="preserve"> (voir 6.10.1.1.1). </w:t>
      </w:r>
      <w:r w:rsidR="00BE10BD" w:rsidRPr="0035741B">
        <w:rPr>
          <w:b/>
          <w:bCs/>
          <w:u w:val="single"/>
          <w:lang w:val="fr-FR"/>
        </w:rPr>
        <w:t xml:space="preserve">Si des équipements sont placés dans la </w:t>
      </w:r>
      <w:r>
        <w:rPr>
          <w:b/>
          <w:bCs/>
          <w:u w:val="single"/>
          <w:lang w:val="fr-FR"/>
        </w:rPr>
        <w:t>“</w:t>
      </w:r>
      <w:r w:rsidR="00BE10BD" w:rsidRPr="0035741B">
        <w:rPr>
          <w:b/>
          <w:bCs/>
          <w:u w:val="single"/>
          <w:lang w:val="fr-FR"/>
        </w:rPr>
        <w:t>zone protégée</w:t>
      </w:r>
      <w:r>
        <w:rPr>
          <w:b/>
          <w:bCs/>
          <w:u w:val="single"/>
          <w:lang w:val="fr-FR"/>
        </w:rPr>
        <w:t>”</w:t>
      </w:r>
      <w:r w:rsidR="00BE10BD" w:rsidRPr="0035741B">
        <w:rPr>
          <w:b/>
          <w:bCs/>
          <w:u w:val="single"/>
          <w:lang w:val="fr-FR"/>
        </w:rPr>
        <w:t xml:space="preserve"> située dans la partie supérieure de la citerne (voir 6.10.1.1.1</w:t>
      </w:r>
      <w:r w:rsidR="00BE10BD">
        <w:rPr>
          <w:b/>
          <w:bCs/>
          <w:u w:val="single"/>
          <w:lang w:val="fr-FR"/>
        </w:rPr>
        <w:t xml:space="preserve"> </w:t>
      </w:r>
      <w:r w:rsidR="00BE10BD" w:rsidRPr="0035741B">
        <w:rPr>
          <w:b/>
          <w:bCs/>
          <w:u w:val="single"/>
          <w:lang w:val="fr-FR"/>
        </w:rPr>
        <w:t>b)), les prescriptions du 6.8.2.1.28 s</w:t>
      </w:r>
      <w:r w:rsidR="00BE10BD">
        <w:rPr>
          <w:b/>
          <w:bCs/>
          <w:u w:val="single"/>
          <w:lang w:val="fr-FR"/>
        </w:rPr>
        <w:t>’</w:t>
      </w:r>
      <w:r w:rsidR="00BE10BD" w:rsidRPr="0035741B">
        <w:rPr>
          <w:b/>
          <w:bCs/>
          <w:u w:val="single"/>
          <w:lang w:val="fr-FR"/>
        </w:rPr>
        <w:t>appliquent de manière à assurer une protection efficace contre les dommages causés par un renversement.</w:t>
      </w:r>
      <w:r w:rsidRPr="00E51198">
        <w:rPr>
          <w:bCs/>
          <w:lang w:val="fr-FR"/>
        </w:rPr>
        <w:t> ».</w:t>
      </w:r>
    </w:p>
    <w:p w:rsidR="00BE10BD" w:rsidRPr="0035741B" w:rsidRDefault="00BE10BD" w:rsidP="00057F9A">
      <w:pPr>
        <w:pStyle w:val="H1G"/>
        <w:rPr>
          <w:lang w:val="fr-FR"/>
        </w:rPr>
      </w:pPr>
      <w:r w:rsidRPr="0035741B">
        <w:rPr>
          <w:lang w:val="fr-FR"/>
        </w:rPr>
        <w:tab/>
      </w:r>
      <w:r w:rsidRPr="0035741B">
        <w:rPr>
          <w:lang w:val="fr-FR"/>
        </w:rPr>
        <w:tab/>
        <w:t>Proposition 2</w:t>
      </w:r>
    </w:p>
    <w:p w:rsidR="00BE10BD" w:rsidRPr="0025494C" w:rsidRDefault="00BE10BD" w:rsidP="00E51198">
      <w:pPr>
        <w:pStyle w:val="SingleTxtG"/>
        <w:keepNext/>
        <w:rPr>
          <w:b/>
          <w:lang w:val="fr-FR"/>
        </w:rPr>
      </w:pPr>
      <w:r w:rsidRPr="0025494C">
        <w:rPr>
          <w:lang w:val="fr-FR"/>
        </w:rPr>
        <w:t>Ajouter</w:t>
      </w:r>
      <w:r>
        <w:rPr>
          <w:lang w:val="fr-FR"/>
        </w:rPr>
        <w:t>,</w:t>
      </w:r>
      <w:r w:rsidRPr="0025494C">
        <w:rPr>
          <w:lang w:val="fr-FR"/>
        </w:rPr>
        <w:t xml:space="preserve"> au paragraphe 1.6.3.30</w:t>
      </w:r>
      <w:r>
        <w:rPr>
          <w:lang w:val="fr-FR"/>
        </w:rPr>
        <w:t>,</w:t>
      </w:r>
      <w:r w:rsidRPr="0025494C">
        <w:rPr>
          <w:lang w:val="fr-FR"/>
        </w:rPr>
        <w:t xml:space="preserve"> une nouvelle mesure transitoire libellée comme suit (</w:t>
      </w:r>
      <w:r>
        <w:rPr>
          <w:lang w:val="fr-FR"/>
        </w:rPr>
        <w:t>le nouveau texte figure</w:t>
      </w:r>
      <w:r w:rsidRPr="0025494C">
        <w:rPr>
          <w:lang w:val="fr-FR"/>
        </w:rPr>
        <w:t xml:space="preserve"> en caractères </w:t>
      </w:r>
      <w:r w:rsidRPr="00AB28EC">
        <w:rPr>
          <w:b/>
          <w:bCs/>
          <w:lang w:val="fr-FR"/>
        </w:rPr>
        <w:t>gras</w:t>
      </w:r>
      <w:r w:rsidRPr="0025494C">
        <w:rPr>
          <w:bCs/>
          <w:lang w:val="fr-FR"/>
        </w:rPr>
        <w:t xml:space="preserve"> </w:t>
      </w:r>
      <w:r w:rsidRPr="0025494C">
        <w:rPr>
          <w:lang w:val="fr-FR"/>
        </w:rPr>
        <w:t xml:space="preserve">et </w:t>
      </w:r>
      <w:r w:rsidRPr="0025494C">
        <w:rPr>
          <w:u w:val="single"/>
          <w:lang w:val="fr-FR"/>
        </w:rPr>
        <w:t>soulignés</w:t>
      </w:r>
      <w:r w:rsidRPr="0025494C">
        <w:rPr>
          <w:lang w:val="fr-FR"/>
        </w:rPr>
        <w:t>)</w:t>
      </w:r>
      <w:r w:rsidR="00367A34">
        <w:rPr>
          <w:b/>
          <w:lang w:val="fr-FR"/>
        </w:rPr>
        <w:t> :</w:t>
      </w:r>
    </w:p>
    <w:p w:rsidR="00BE10BD" w:rsidRPr="00E27BF4" w:rsidRDefault="00AB28EC" w:rsidP="00057F9A">
      <w:pPr>
        <w:pStyle w:val="SingleTxtG"/>
        <w:ind w:left="2268" w:hanging="1134"/>
        <w:rPr>
          <w:b/>
          <w:u w:val="single"/>
          <w:lang w:val="fr-FR"/>
        </w:rPr>
      </w:pPr>
      <w:r w:rsidRPr="00AB28EC">
        <w:rPr>
          <w:lang w:val="fr-FR"/>
        </w:rPr>
        <w:t>« </w:t>
      </w:r>
      <w:r w:rsidR="00BE10BD" w:rsidRPr="00E27BF4">
        <w:rPr>
          <w:b/>
          <w:u w:val="single"/>
          <w:lang w:val="fr-FR"/>
        </w:rPr>
        <w:t>1.6.3.30</w:t>
      </w:r>
      <w:r w:rsidR="00BE10BD" w:rsidRPr="00E27BF4">
        <w:rPr>
          <w:b/>
          <w:u w:val="single"/>
          <w:lang w:val="fr-FR"/>
        </w:rPr>
        <w:tab/>
      </w:r>
      <w:r w:rsidR="00BE10BD" w:rsidRPr="00E27BF4">
        <w:rPr>
          <w:b/>
          <w:u w:val="single"/>
          <w:lang w:val="fr-FR"/>
        </w:rPr>
        <w:tab/>
        <w:t>Les citernes à déchets opérant sous vide construites avant le 1</w:t>
      </w:r>
      <w:r w:rsidR="00BE10BD" w:rsidRPr="00AB50D5">
        <w:rPr>
          <w:b/>
          <w:u w:val="single"/>
          <w:vertAlign w:val="superscript"/>
          <w:lang w:val="fr-FR"/>
        </w:rPr>
        <w:t>er</w:t>
      </w:r>
      <w:r w:rsidR="00AB50D5">
        <w:rPr>
          <w:b/>
          <w:u w:val="single"/>
          <w:lang w:val="fr-FR"/>
        </w:rPr>
        <w:t> </w:t>
      </w:r>
      <w:r w:rsidR="00BE10BD" w:rsidRPr="00E27BF4">
        <w:rPr>
          <w:b/>
          <w:u w:val="single"/>
          <w:lang w:val="fr-FR"/>
        </w:rPr>
        <w:t>juillet 2021 conformément aux prescriptions applicables jusqu</w:t>
      </w:r>
      <w:r w:rsidR="00BE10BD">
        <w:rPr>
          <w:b/>
          <w:u w:val="single"/>
          <w:lang w:val="fr-FR"/>
        </w:rPr>
        <w:t>’</w:t>
      </w:r>
      <w:r w:rsidR="00AB50D5">
        <w:rPr>
          <w:b/>
          <w:u w:val="single"/>
          <w:lang w:val="fr-FR"/>
        </w:rPr>
        <w:t>au 31 </w:t>
      </w:r>
      <w:r w:rsidR="00BE10BD" w:rsidRPr="00E27BF4">
        <w:rPr>
          <w:b/>
          <w:u w:val="single"/>
          <w:lang w:val="fr-FR"/>
        </w:rPr>
        <w:t>décembre 2020, mais qui ne sont pas conformes aux prescriptions du 6.8.2.1.28 applicables à partir du 1</w:t>
      </w:r>
      <w:r w:rsidR="00BE10BD" w:rsidRPr="00AB50D5">
        <w:rPr>
          <w:b/>
          <w:u w:val="single"/>
          <w:vertAlign w:val="superscript"/>
          <w:lang w:val="fr-FR"/>
        </w:rPr>
        <w:t>er</w:t>
      </w:r>
      <w:r w:rsidR="00AB50D5">
        <w:rPr>
          <w:b/>
          <w:u w:val="single"/>
          <w:lang w:val="fr-FR"/>
        </w:rPr>
        <w:t> </w:t>
      </w:r>
      <w:r w:rsidR="00BE10BD" w:rsidRPr="00E27BF4">
        <w:rPr>
          <w:b/>
          <w:u w:val="single"/>
          <w:lang w:val="fr-FR"/>
        </w:rPr>
        <w:t>janvier 2021</w:t>
      </w:r>
      <w:r w:rsidR="00BE10BD">
        <w:rPr>
          <w:b/>
          <w:u w:val="single"/>
          <w:lang w:val="fr-FR"/>
        </w:rPr>
        <w:t>,</w:t>
      </w:r>
      <w:r w:rsidR="00BE10BD" w:rsidRPr="00E27BF4">
        <w:rPr>
          <w:b/>
          <w:u w:val="single"/>
          <w:lang w:val="fr-FR"/>
        </w:rPr>
        <w:t xml:space="preserve"> pourront encore être utilisées.</w:t>
      </w:r>
      <w:r w:rsidRPr="00AB28EC">
        <w:rPr>
          <w:lang w:val="fr-FR"/>
        </w:rPr>
        <w:t> ».</w:t>
      </w:r>
    </w:p>
    <w:p w:rsidR="00BE10BD" w:rsidRPr="0035741B" w:rsidRDefault="00BE10BD" w:rsidP="00057F9A">
      <w:pPr>
        <w:pStyle w:val="H1G"/>
        <w:rPr>
          <w:lang w:val="fr-FR"/>
        </w:rPr>
      </w:pPr>
      <w:r w:rsidRPr="0035741B">
        <w:rPr>
          <w:lang w:val="fr-FR"/>
        </w:rPr>
        <w:tab/>
      </w:r>
      <w:r w:rsidRPr="0035741B">
        <w:rPr>
          <w:lang w:val="fr-FR"/>
        </w:rPr>
        <w:tab/>
        <w:t>Justification</w:t>
      </w:r>
    </w:p>
    <w:p w:rsidR="00BE10BD" w:rsidRPr="0035741B" w:rsidRDefault="00BE10BD" w:rsidP="00057F9A">
      <w:pPr>
        <w:pStyle w:val="SingleTxtG"/>
        <w:rPr>
          <w:bCs/>
          <w:lang w:val="fr-FR"/>
        </w:rPr>
      </w:pPr>
      <w:r w:rsidRPr="0035741B">
        <w:rPr>
          <w:lang w:val="fr-FR"/>
        </w:rPr>
        <w:t>4.</w:t>
      </w:r>
      <w:r w:rsidRPr="0035741B">
        <w:rPr>
          <w:lang w:val="fr-FR"/>
        </w:rPr>
        <w:tab/>
      </w:r>
      <w:r w:rsidRPr="00E27BF4">
        <w:rPr>
          <w:iCs/>
          <w:lang w:val="fr-FR"/>
        </w:rPr>
        <w:t>Le texte actuel du RID/ADR</w:t>
      </w:r>
      <w:r w:rsidRPr="0035741B">
        <w:rPr>
          <w:i/>
          <w:iCs/>
          <w:lang w:val="fr-FR"/>
        </w:rPr>
        <w:t xml:space="preserve"> </w:t>
      </w:r>
      <w:r w:rsidRPr="0035741B">
        <w:rPr>
          <w:lang w:val="fr-FR"/>
        </w:rPr>
        <w:t xml:space="preserve">définit une </w:t>
      </w:r>
      <w:r w:rsidR="00AB50D5">
        <w:rPr>
          <w:lang w:val="fr-FR"/>
        </w:rPr>
        <w:t>« </w:t>
      </w:r>
      <w:r w:rsidRPr="0035741B">
        <w:rPr>
          <w:lang w:val="fr-FR"/>
        </w:rPr>
        <w:t>zone protégée</w:t>
      </w:r>
      <w:r w:rsidR="00AB50D5">
        <w:rPr>
          <w:lang w:val="fr-FR"/>
        </w:rPr>
        <w:t> »</w:t>
      </w:r>
      <w:r w:rsidRPr="0035741B">
        <w:rPr>
          <w:lang w:val="fr-FR"/>
        </w:rPr>
        <w:t xml:space="preserve"> (6.10.1.1.1</w:t>
      </w:r>
      <w:r w:rsidR="009E6321">
        <w:rPr>
          <w:lang w:val="fr-FR"/>
        </w:rPr>
        <w:t> </w:t>
      </w:r>
      <w:r w:rsidRPr="0035741B">
        <w:rPr>
          <w:lang w:val="fr-FR"/>
        </w:rPr>
        <w:t>b)</w:t>
      </w:r>
      <w:r>
        <w:rPr>
          <w:lang w:val="fr-FR"/>
        </w:rPr>
        <w:t>)</w:t>
      </w:r>
      <w:r w:rsidRPr="0035741B">
        <w:rPr>
          <w:lang w:val="fr-FR"/>
        </w:rPr>
        <w:t xml:space="preserve"> dans la partie supérieure de la citerne, dans laquelle les équipements sont considérés comme </w:t>
      </w:r>
      <w:r w:rsidRPr="00E27BF4">
        <w:rPr>
          <w:iCs/>
          <w:lang w:val="fr-FR"/>
        </w:rPr>
        <w:t>protégés contre les risques d</w:t>
      </w:r>
      <w:r>
        <w:rPr>
          <w:iCs/>
          <w:lang w:val="fr-FR"/>
        </w:rPr>
        <w:t>’</w:t>
      </w:r>
      <w:r w:rsidRPr="00E27BF4">
        <w:rPr>
          <w:iCs/>
          <w:lang w:val="fr-FR"/>
        </w:rPr>
        <w:t>arrachement ou d</w:t>
      </w:r>
      <w:r>
        <w:rPr>
          <w:iCs/>
          <w:lang w:val="fr-FR"/>
        </w:rPr>
        <w:t>’</w:t>
      </w:r>
      <w:r w:rsidRPr="00E27BF4">
        <w:rPr>
          <w:iCs/>
          <w:lang w:val="fr-FR"/>
        </w:rPr>
        <w:t>avarie en cours de transport et de manutention</w:t>
      </w:r>
      <w:r w:rsidRPr="0035741B">
        <w:rPr>
          <w:lang w:val="fr-FR"/>
        </w:rPr>
        <w:t xml:space="preserve">. Toutefois, </w:t>
      </w:r>
      <w:r>
        <w:rPr>
          <w:lang w:val="fr-FR"/>
        </w:rPr>
        <w:t xml:space="preserve">bien que </w:t>
      </w:r>
      <w:r w:rsidRPr="0035741B">
        <w:rPr>
          <w:lang w:val="fr-FR"/>
        </w:rPr>
        <w:t>les équipements so</w:t>
      </w:r>
      <w:r>
        <w:rPr>
          <w:lang w:val="fr-FR"/>
        </w:rPr>
        <w:t>ie</w:t>
      </w:r>
      <w:r w:rsidRPr="0035741B">
        <w:rPr>
          <w:lang w:val="fr-FR"/>
        </w:rPr>
        <w:t xml:space="preserve">nt considérés comme protégés contre </w:t>
      </w:r>
      <w:r w:rsidRPr="0035741B">
        <w:rPr>
          <w:lang w:val="fr-FR"/>
        </w:rPr>
        <w:lastRenderedPageBreak/>
        <w:t>l</w:t>
      </w:r>
      <w:r>
        <w:rPr>
          <w:lang w:val="fr-FR"/>
        </w:rPr>
        <w:t>’</w:t>
      </w:r>
      <w:r w:rsidRPr="0035741B">
        <w:rPr>
          <w:lang w:val="fr-FR"/>
        </w:rPr>
        <w:t>arrachement ou l</w:t>
      </w:r>
      <w:r>
        <w:rPr>
          <w:lang w:val="fr-FR"/>
        </w:rPr>
        <w:t>’</w:t>
      </w:r>
      <w:r w:rsidRPr="0035741B">
        <w:rPr>
          <w:lang w:val="fr-FR"/>
        </w:rPr>
        <w:t>avarie dans cette zone, le texte du RID/ADR n</w:t>
      </w:r>
      <w:r>
        <w:rPr>
          <w:lang w:val="fr-FR"/>
        </w:rPr>
        <w:t>’</w:t>
      </w:r>
      <w:r w:rsidRPr="0035741B">
        <w:rPr>
          <w:lang w:val="fr-FR"/>
        </w:rPr>
        <w:t xml:space="preserve">indique pas clairement si les équipements doivent également être </w:t>
      </w:r>
      <w:r w:rsidRPr="00E27BF4">
        <w:rPr>
          <w:iCs/>
          <w:lang w:val="fr-FR"/>
        </w:rPr>
        <w:t>protégés contre les dommages</w:t>
      </w:r>
      <w:r w:rsidRPr="0035741B">
        <w:rPr>
          <w:i/>
          <w:iCs/>
          <w:lang w:val="fr-FR"/>
        </w:rPr>
        <w:t xml:space="preserve"> </w:t>
      </w:r>
      <w:r w:rsidRPr="0035741B">
        <w:rPr>
          <w:lang w:val="fr-FR"/>
        </w:rPr>
        <w:t xml:space="preserve">qui peuvent être causés par un renversement (voir document informel INF.17, session de septembre 2018). </w:t>
      </w:r>
    </w:p>
    <w:p w:rsidR="00BE10BD" w:rsidRPr="0035741B" w:rsidRDefault="00BE10BD" w:rsidP="00057F9A">
      <w:pPr>
        <w:pStyle w:val="SingleTxtG"/>
        <w:rPr>
          <w:bCs/>
          <w:lang w:val="fr-FR"/>
        </w:rPr>
      </w:pPr>
      <w:r w:rsidRPr="0035741B">
        <w:rPr>
          <w:lang w:val="fr-FR"/>
        </w:rPr>
        <w:t>5.</w:t>
      </w:r>
      <w:r w:rsidRPr="0035741B">
        <w:rPr>
          <w:lang w:val="fr-FR"/>
        </w:rPr>
        <w:tab/>
        <w:t xml:space="preserve">Étant donné que deux interprétations différentes sont jugées possibles, les propositions ci-dessus visent à </w:t>
      </w:r>
      <w:r>
        <w:rPr>
          <w:lang w:val="fr-FR"/>
        </w:rPr>
        <w:t xml:space="preserve">reformuler </w:t>
      </w:r>
      <w:r w:rsidRPr="0035741B">
        <w:rPr>
          <w:lang w:val="fr-FR"/>
        </w:rPr>
        <w:t>le texte afin qu</w:t>
      </w:r>
      <w:r>
        <w:rPr>
          <w:lang w:val="fr-FR"/>
        </w:rPr>
        <w:t>’</w:t>
      </w:r>
      <w:r w:rsidRPr="0035741B">
        <w:rPr>
          <w:lang w:val="fr-FR"/>
        </w:rPr>
        <w:t>il soit clair que les prescriptions du 6.8.2.1.28 relatives à la protection contre le renversement s</w:t>
      </w:r>
      <w:r>
        <w:rPr>
          <w:lang w:val="fr-FR"/>
        </w:rPr>
        <w:t>’</w:t>
      </w:r>
      <w:r w:rsidRPr="0035741B">
        <w:rPr>
          <w:lang w:val="fr-FR"/>
        </w:rPr>
        <w:t xml:space="preserve">appliquent aux citernes à déchets opérant sous vide et </w:t>
      </w:r>
      <w:r>
        <w:rPr>
          <w:lang w:val="fr-FR"/>
        </w:rPr>
        <w:t>autorisent l’</w:t>
      </w:r>
      <w:r w:rsidRPr="0035741B">
        <w:rPr>
          <w:lang w:val="fr-FR"/>
        </w:rPr>
        <w:t>utilis</w:t>
      </w:r>
      <w:r>
        <w:rPr>
          <w:lang w:val="fr-FR"/>
        </w:rPr>
        <w:t xml:space="preserve">ation de </w:t>
      </w:r>
      <w:r w:rsidRPr="0035741B">
        <w:rPr>
          <w:lang w:val="fr-FR"/>
        </w:rPr>
        <w:t>toute citerne construite avant l</w:t>
      </w:r>
      <w:r>
        <w:rPr>
          <w:lang w:val="fr-FR"/>
        </w:rPr>
        <w:t>’</w:t>
      </w:r>
      <w:r w:rsidRPr="0035741B">
        <w:rPr>
          <w:lang w:val="fr-FR"/>
        </w:rPr>
        <w:t xml:space="preserve">entrée en vigueur de cette clarification. Ces modifications sont nécessaires pour garantir que toutes les Parties contractantes adoptent une approche cohérente. </w:t>
      </w:r>
    </w:p>
    <w:p w:rsidR="00BE10BD" w:rsidRPr="0035741B" w:rsidRDefault="00BE10BD" w:rsidP="00057F9A">
      <w:pPr>
        <w:pStyle w:val="SingleTxtG"/>
        <w:rPr>
          <w:lang w:val="fr-FR"/>
        </w:rPr>
      </w:pPr>
      <w:r w:rsidRPr="0035741B">
        <w:rPr>
          <w:lang w:val="fr-FR"/>
        </w:rPr>
        <w:t>6.</w:t>
      </w:r>
      <w:r w:rsidRPr="0035741B">
        <w:rPr>
          <w:lang w:val="fr-FR"/>
        </w:rPr>
        <w:tab/>
      </w:r>
      <w:r>
        <w:rPr>
          <w:lang w:val="fr-FR"/>
        </w:rPr>
        <w:t>Bien que</w:t>
      </w:r>
      <w:r w:rsidRPr="0035741B">
        <w:rPr>
          <w:lang w:val="fr-FR"/>
        </w:rPr>
        <w:t xml:space="preserve"> deux interprétations différentes du RID/ADR semblent possibles, les auteurs du présent document </w:t>
      </w:r>
      <w:r>
        <w:rPr>
          <w:lang w:val="fr-FR"/>
        </w:rPr>
        <w:t>sont d’avis</w:t>
      </w:r>
      <w:r w:rsidRPr="0035741B">
        <w:rPr>
          <w:lang w:val="fr-FR"/>
        </w:rPr>
        <w:t xml:space="preserve"> que si un tribunal du Royaume-Uni devait se prononcer sur la question, il est probable qu</w:t>
      </w:r>
      <w:r>
        <w:rPr>
          <w:lang w:val="fr-FR"/>
        </w:rPr>
        <w:t>’</w:t>
      </w:r>
      <w:r w:rsidRPr="0035741B">
        <w:rPr>
          <w:lang w:val="fr-FR"/>
        </w:rPr>
        <w:t xml:space="preserve">il </w:t>
      </w:r>
      <w:r>
        <w:rPr>
          <w:lang w:val="fr-FR"/>
        </w:rPr>
        <w:t>estimerait</w:t>
      </w:r>
      <w:r w:rsidRPr="0035741B">
        <w:rPr>
          <w:lang w:val="fr-FR"/>
        </w:rPr>
        <w:t xml:space="preserve"> que l</w:t>
      </w:r>
      <w:r>
        <w:rPr>
          <w:lang w:val="fr-FR"/>
        </w:rPr>
        <w:t>’</w:t>
      </w:r>
      <w:r w:rsidRPr="0035741B">
        <w:rPr>
          <w:lang w:val="fr-FR"/>
        </w:rPr>
        <w:t>ADR dispose que les équipements de service situés dans la partie supérieure des citernes à déchets opérant sous vide doivent être protégés contre les dommages qui pourraient ê</w:t>
      </w:r>
      <w:r>
        <w:rPr>
          <w:lang w:val="fr-FR"/>
        </w:rPr>
        <w:t>tre causés par un renversement.</w:t>
      </w:r>
    </w:p>
    <w:p w:rsidR="00BE10BD" w:rsidRPr="0035741B" w:rsidRDefault="00BE10BD" w:rsidP="00057F9A">
      <w:pPr>
        <w:pStyle w:val="SingleTxtG"/>
        <w:rPr>
          <w:lang w:val="fr-FR"/>
        </w:rPr>
      </w:pPr>
      <w:r w:rsidRPr="0035741B">
        <w:rPr>
          <w:lang w:val="fr-FR"/>
        </w:rPr>
        <w:t>7.</w:t>
      </w:r>
      <w:r w:rsidRPr="0035741B">
        <w:rPr>
          <w:lang w:val="fr-FR"/>
        </w:rPr>
        <w:tab/>
        <w:t>Il est pris acte du fait que les tribunaux d</w:t>
      </w:r>
      <w:r>
        <w:rPr>
          <w:lang w:val="fr-FR"/>
        </w:rPr>
        <w:t>’</w:t>
      </w:r>
      <w:r w:rsidRPr="0035741B">
        <w:rPr>
          <w:lang w:val="fr-FR"/>
        </w:rPr>
        <w:t xml:space="preserve">autres pays interpréteront probablement le RID/ADR de différentes manières, mais du point de vue du Royaume-Uni, les prescriptions du RID/ADR en matière de protection contre le renversement pour ces véhicules ne sont pas claires </w:t>
      </w:r>
      <w:r>
        <w:rPr>
          <w:lang w:val="fr-FR"/>
        </w:rPr>
        <w:t>et doivent donc être précisées.</w:t>
      </w:r>
    </w:p>
    <w:p w:rsidR="00BE10BD" w:rsidRPr="0035741B" w:rsidRDefault="00BE10BD" w:rsidP="00057F9A">
      <w:pPr>
        <w:pStyle w:val="SingleTxtG"/>
        <w:rPr>
          <w:lang w:val="fr-FR"/>
        </w:rPr>
      </w:pPr>
      <w:r w:rsidRPr="0035741B">
        <w:rPr>
          <w:lang w:val="fr-FR"/>
        </w:rPr>
        <w:t>8.</w:t>
      </w:r>
      <w:r w:rsidRPr="0035741B">
        <w:rPr>
          <w:lang w:val="fr-FR"/>
        </w:rPr>
        <w:tab/>
        <w:t xml:space="preserve">Le dictionnaire anglais Oxford définit le verbe </w:t>
      </w:r>
      <w:r>
        <w:rPr>
          <w:lang w:val="fr-FR"/>
        </w:rPr>
        <w:t>« </w:t>
      </w:r>
      <w:proofErr w:type="spellStart"/>
      <w:r>
        <w:rPr>
          <w:i/>
          <w:lang w:val="fr-FR"/>
        </w:rPr>
        <w:t>overturn</w:t>
      </w:r>
      <w:proofErr w:type="spellEnd"/>
      <w:r>
        <w:rPr>
          <w:lang w:val="fr-FR"/>
        </w:rPr>
        <w:t> »</w:t>
      </w:r>
      <w:r>
        <w:rPr>
          <w:i/>
          <w:lang w:val="fr-FR"/>
        </w:rPr>
        <w:t xml:space="preserve"> </w:t>
      </w:r>
      <w:r>
        <w:rPr>
          <w:lang w:val="fr-FR"/>
        </w:rPr>
        <w:t>(</w:t>
      </w:r>
      <w:r w:rsidRPr="0035741B">
        <w:rPr>
          <w:lang w:val="fr-FR"/>
        </w:rPr>
        <w:t>renverser</w:t>
      </w:r>
      <w:r>
        <w:rPr>
          <w:lang w:val="fr-FR"/>
        </w:rPr>
        <w:t>)</w:t>
      </w:r>
      <w:r w:rsidRPr="0035741B">
        <w:rPr>
          <w:lang w:val="fr-FR"/>
        </w:rPr>
        <w:t xml:space="preserve"> comme l</w:t>
      </w:r>
      <w:r>
        <w:rPr>
          <w:lang w:val="fr-FR"/>
        </w:rPr>
        <w:t>’</w:t>
      </w:r>
      <w:r w:rsidRPr="0035741B">
        <w:rPr>
          <w:lang w:val="fr-FR"/>
        </w:rPr>
        <w:t xml:space="preserve">action </w:t>
      </w:r>
      <w:r w:rsidR="00057F9A">
        <w:rPr>
          <w:lang w:val="fr-FR"/>
        </w:rPr>
        <w:t>« </w:t>
      </w:r>
      <w:r w:rsidRPr="0035741B">
        <w:rPr>
          <w:lang w:val="fr-FR"/>
        </w:rPr>
        <w:t>d</w:t>
      </w:r>
      <w:r>
        <w:rPr>
          <w:lang w:val="fr-FR"/>
        </w:rPr>
        <w:t>’</w:t>
      </w:r>
      <w:r w:rsidRPr="0035741B">
        <w:rPr>
          <w:lang w:val="fr-FR"/>
        </w:rPr>
        <w:t>exercer une pression sur quelque chose de manière à ce qu</w:t>
      </w:r>
      <w:r>
        <w:rPr>
          <w:lang w:val="fr-FR"/>
        </w:rPr>
        <w:t>’</w:t>
      </w:r>
      <w:r w:rsidRPr="0035741B">
        <w:rPr>
          <w:lang w:val="fr-FR"/>
        </w:rPr>
        <w:t>il se retro</w:t>
      </w:r>
      <w:r>
        <w:rPr>
          <w:lang w:val="fr-FR"/>
        </w:rPr>
        <w:t>uve à l’envers ou sur le côté</w:t>
      </w:r>
      <w:r w:rsidR="00057F9A">
        <w:rPr>
          <w:lang w:val="fr-FR"/>
        </w:rPr>
        <w:t> »</w:t>
      </w:r>
      <w:r>
        <w:rPr>
          <w:lang w:val="fr-FR"/>
        </w:rPr>
        <w:t>.</w:t>
      </w:r>
      <w:r w:rsidRPr="0035741B">
        <w:rPr>
          <w:lang w:val="fr-FR"/>
        </w:rPr>
        <w:t xml:space="preserve"> Le paragraphe 6.8.2.1.28 semble donc avoir pour objet de protéger les </w:t>
      </w:r>
      <w:r>
        <w:rPr>
          <w:lang w:val="fr-FR"/>
        </w:rPr>
        <w:t>raccord</w:t>
      </w:r>
      <w:r w:rsidRPr="0035741B">
        <w:rPr>
          <w:lang w:val="fr-FR"/>
        </w:rPr>
        <w:t xml:space="preserve">s et les accessoires placés </w:t>
      </w:r>
      <w:r>
        <w:rPr>
          <w:lang w:val="fr-FR"/>
        </w:rPr>
        <w:t xml:space="preserve">dans </w:t>
      </w:r>
      <w:r w:rsidRPr="0035741B">
        <w:rPr>
          <w:lang w:val="fr-FR"/>
        </w:rPr>
        <w:t>la partie supérieure de la citerne en cas de renversement à 90° ou 180° lors d</w:t>
      </w:r>
      <w:r>
        <w:rPr>
          <w:lang w:val="fr-FR"/>
        </w:rPr>
        <w:t>’</w:t>
      </w:r>
      <w:r w:rsidRPr="0035741B">
        <w:rPr>
          <w:lang w:val="fr-FR"/>
        </w:rPr>
        <w:t xml:space="preserve">un accident. </w:t>
      </w:r>
    </w:p>
    <w:p w:rsidR="00BE10BD" w:rsidRPr="0035741B" w:rsidRDefault="00BE10BD" w:rsidP="00057F9A">
      <w:pPr>
        <w:pStyle w:val="SingleTxtG"/>
        <w:rPr>
          <w:lang w:val="fr-FR"/>
        </w:rPr>
      </w:pPr>
      <w:r w:rsidRPr="0035741B">
        <w:rPr>
          <w:lang w:val="fr-FR"/>
        </w:rPr>
        <w:t>9.</w:t>
      </w:r>
      <w:r w:rsidRPr="0035741B">
        <w:rPr>
          <w:lang w:val="fr-FR"/>
        </w:rPr>
        <w:tab/>
      </w:r>
      <w:r>
        <w:rPr>
          <w:lang w:val="fr-FR"/>
        </w:rPr>
        <w:t>Les auteurs ont</w:t>
      </w:r>
      <w:r w:rsidRPr="0035741B">
        <w:rPr>
          <w:lang w:val="fr-FR"/>
        </w:rPr>
        <w:t xml:space="preserve"> eu connaissance d</w:t>
      </w:r>
      <w:r>
        <w:rPr>
          <w:lang w:val="fr-FR"/>
        </w:rPr>
        <w:t>’</w:t>
      </w:r>
      <w:r w:rsidRPr="0035741B">
        <w:rPr>
          <w:lang w:val="fr-FR"/>
        </w:rPr>
        <w:t>un certain nombre d</w:t>
      </w:r>
      <w:r>
        <w:rPr>
          <w:lang w:val="fr-FR"/>
        </w:rPr>
        <w:t>’</w:t>
      </w:r>
      <w:r w:rsidRPr="0035741B">
        <w:rPr>
          <w:lang w:val="fr-FR"/>
        </w:rPr>
        <w:t xml:space="preserve">accidents au Royaume-Uni dans lesquels des citernes à déchets opérant sous vide </w:t>
      </w:r>
      <w:r>
        <w:rPr>
          <w:lang w:val="fr-FR"/>
        </w:rPr>
        <w:t>se sont</w:t>
      </w:r>
      <w:r w:rsidRPr="0035741B">
        <w:rPr>
          <w:lang w:val="fr-FR"/>
        </w:rPr>
        <w:t xml:space="preserve"> renversées de 90°. </w:t>
      </w:r>
      <w:r>
        <w:rPr>
          <w:lang w:val="fr-FR"/>
        </w:rPr>
        <w:t>Ils n’ont</w:t>
      </w:r>
      <w:r w:rsidRPr="0035741B">
        <w:rPr>
          <w:lang w:val="fr-FR"/>
        </w:rPr>
        <w:t xml:space="preserve"> pas connaissance d</w:t>
      </w:r>
      <w:r>
        <w:rPr>
          <w:lang w:val="fr-FR"/>
        </w:rPr>
        <w:t>’</w:t>
      </w:r>
      <w:r w:rsidRPr="0035741B">
        <w:rPr>
          <w:lang w:val="fr-FR"/>
        </w:rPr>
        <w:t>accidents ayant e</w:t>
      </w:r>
      <w:r w:rsidR="009E6321">
        <w:rPr>
          <w:lang w:val="fr-FR"/>
        </w:rPr>
        <w:t>ntraîné un renversement de 180°</w:t>
      </w:r>
      <w:r w:rsidRPr="0035741B">
        <w:rPr>
          <w:lang w:val="fr-FR"/>
        </w:rPr>
        <w:t xml:space="preserve"> mais</w:t>
      </w:r>
      <w:r w:rsidR="009E6321">
        <w:rPr>
          <w:lang w:val="fr-FR"/>
        </w:rPr>
        <w:t>,</w:t>
      </w:r>
      <w:r w:rsidRPr="0035741B">
        <w:rPr>
          <w:lang w:val="fr-FR"/>
        </w:rPr>
        <w:t xml:space="preserve"> néanmoins, comme le montrent les images ci-dessous, le dessus de ces citernes peut être endommagé lors d</w:t>
      </w:r>
      <w:r>
        <w:rPr>
          <w:lang w:val="fr-FR"/>
        </w:rPr>
        <w:t>’</w:t>
      </w:r>
      <w:r w:rsidRPr="0035741B">
        <w:rPr>
          <w:lang w:val="fr-FR"/>
        </w:rPr>
        <w:t>un renversement de 90°.</w:t>
      </w:r>
    </w:p>
    <w:p w:rsidR="00BE10BD" w:rsidRPr="0035741B" w:rsidRDefault="00BE10BD" w:rsidP="002C0F75">
      <w:pPr>
        <w:pStyle w:val="SingleTxtG"/>
        <w:tabs>
          <w:tab w:val="left" w:pos="5670"/>
        </w:tabs>
        <w:spacing w:after="240" w:line="240" w:lineRule="auto"/>
        <w:ind w:right="621"/>
        <w:rPr>
          <w:lang w:val="fr-FR"/>
        </w:rPr>
      </w:pPr>
      <w:r w:rsidRPr="0035741B">
        <w:rPr>
          <w:noProof/>
          <w:lang w:eastAsia="fr-CH"/>
        </w:rPr>
        <w:drawing>
          <wp:inline distT="0" distB="0" distL="0" distR="0" wp14:anchorId="23F1E784" wp14:editId="124B89CC">
            <wp:extent cx="2385392" cy="1344706"/>
            <wp:effectExtent l="0" t="0" r="0" b="8255"/>
            <wp:docPr id="4" name="Picture 2" descr="C:\Users\dadams\AppData\Local\Microsoft\Windows\INetCache\Content.Word\181109 - rolled over and hit a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ms\AppData\Local\Microsoft\Windows\INetCache\Content.Word\181109 - rolled over and hit a 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29" cy="14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CDA">
        <w:rPr>
          <w:lang w:val="fr-FR"/>
        </w:rPr>
        <w:tab/>
      </w:r>
      <w:r w:rsidR="00E45CDA" w:rsidRPr="0035741B">
        <w:rPr>
          <w:noProof/>
          <w:lang w:eastAsia="fr-CH"/>
        </w:rPr>
        <w:drawing>
          <wp:inline distT="0" distB="0" distL="0" distR="0" wp14:anchorId="1C65AEAA" wp14:editId="03EA6E2D">
            <wp:extent cx="1785600" cy="1342800"/>
            <wp:effectExtent l="0" t="0" r="5715" b="0"/>
            <wp:docPr id="5" name="Picture 3" descr="C:\Users\dadams\AppData\Local\Microsoft\Windows\INetCache\Content.Word\181210 - 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ms\AppData\Local\Microsoft\Windows\INetCache\Content.Word\181210 - IMG_0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BD" w:rsidRPr="0035741B" w:rsidRDefault="00BE10BD" w:rsidP="00E45CDA">
      <w:pPr>
        <w:pStyle w:val="SingleTxtG"/>
        <w:rPr>
          <w:lang w:val="fr-FR"/>
        </w:rPr>
      </w:pPr>
      <w:r w:rsidRPr="0035741B">
        <w:rPr>
          <w:lang w:val="fr-FR"/>
        </w:rPr>
        <w:t>10.</w:t>
      </w:r>
      <w:r w:rsidRPr="0035741B">
        <w:rPr>
          <w:lang w:val="fr-FR"/>
        </w:rPr>
        <w:tab/>
        <w:t>Pendant le transport, l</w:t>
      </w:r>
      <w:r>
        <w:rPr>
          <w:lang w:val="fr-FR"/>
        </w:rPr>
        <w:t xml:space="preserve">es </w:t>
      </w:r>
      <w:r w:rsidRPr="0035741B">
        <w:rPr>
          <w:lang w:val="fr-FR"/>
        </w:rPr>
        <w:t>équipement</w:t>
      </w:r>
      <w:r>
        <w:rPr>
          <w:lang w:val="fr-FR"/>
        </w:rPr>
        <w:t>s</w:t>
      </w:r>
      <w:r w:rsidRPr="0035741B">
        <w:rPr>
          <w:lang w:val="fr-FR"/>
        </w:rPr>
        <w:t xml:space="preserve"> de service monté</w:t>
      </w:r>
      <w:r>
        <w:rPr>
          <w:lang w:val="fr-FR"/>
        </w:rPr>
        <w:t>s</w:t>
      </w:r>
      <w:r w:rsidRPr="0035741B">
        <w:rPr>
          <w:lang w:val="fr-FR"/>
        </w:rPr>
        <w:t xml:space="preserve"> sur la partie supérieure des </w:t>
      </w:r>
      <w:r w:rsidRPr="00822E03">
        <w:rPr>
          <w:iCs/>
          <w:lang w:val="fr-FR"/>
        </w:rPr>
        <w:t>conteneurs-citernes</w:t>
      </w:r>
      <w:r w:rsidRPr="0035741B">
        <w:rPr>
          <w:lang w:val="fr-FR"/>
        </w:rPr>
        <w:t xml:space="preserve">, y compris les </w:t>
      </w:r>
      <w:r w:rsidR="009E6321">
        <w:rPr>
          <w:lang w:val="fr-FR"/>
        </w:rPr>
        <w:t>caisses mobiles</w:t>
      </w:r>
      <w:r w:rsidRPr="0035741B">
        <w:rPr>
          <w:lang w:val="fr-FR"/>
        </w:rPr>
        <w:t>, doi</w:t>
      </w:r>
      <w:r>
        <w:rPr>
          <w:lang w:val="fr-FR"/>
        </w:rPr>
        <w:t>ven</w:t>
      </w:r>
      <w:r w:rsidRPr="0035741B">
        <w:rPr>
          <w:lang w:val="fr-FR"/>
        </w:rPr>
        <w:t>t être protégé</w:t>
      </w:r>
      <w:r>
        <w:rPr>
          <w:lang w:val="fr-FR"/>
        </w:rPr>
        <w:t>s</w:t>
      </w:r>
      <w:r w:rsidRPr="0035741B">
        <w:rPr>
          <w:lang w:val="fr-FR"/>
        </w:rPr>
        <w:t xml:space="preserve"> contre les dommages qui pourraient être causés en cas de renversement. Étant donné que le 4.3.2.3.2 du RID/ADR dispose qu</w:t>
      </w:r>
      <w:r>
        <w:rPr>
          <w:lang w:val="fr-FR"/>
        </w:rPr>
        <w:t>’</w:t>
      </w:r>
      <w:r w:rsidRPr="0035741B">
        <w:rPr>
          <w:lang w:val="fr-FR"/>
        </w:rPr>
        <w:t>une telle protection doit être assurée pour l</w:t>
      </w:r>
      <w:r>
        <w:rPr>
          <w:lang w:val="fr-FR"/>
        </w:rPr>
        <w:t>es é</w:t>
      </w:r>
      <w:r w:rsidRPr="0035741B">
        <w:rPr>
          <w:lang w:val="fr-FR"/>
        </w:rPr>
        <w:t>quipement</w:t>
      </w:r>
      <w:r>
        <w:rPr>
          <w:lang w:val="fr-FR"/>
        </w:rPr>
        <w:t>s</w:t>
      </w:r>
      <w:r w:rsidRPr="0035741B">
        <w:rPr>
          <w:lang w:val="fr-FR"/>
        </w:rPr>
        <w:t xml:space="preserve"> de service de ces récipients, il semble approprié de prescrire une protection pour l</w:t>
      </w:r>
      <w:r>
        <w:rPr>
          <w:lang w:val="fr-FR"/>
        </w:rPr>
        <w:t xml:space="preserve">es </w:t>
      </w:r>
      <w:r w:rsidRPr="0035741B">
        <w:rPr>
          <w:lang w:val="fr-FR"/>
        </w:rPr>
        <w:t>équipement</w:t>
      </w:r>
      <w:r>
        <w:rPr>
          <w:lang w:val="fr-FR"/>
        </w:rPr>
        <w:t>s</w:t>
      </w:r>
      <w:r w:rsidRPr="0035741B">
        <w:rPr>
          <w:lang w:val="fr-FR"/>
        </w:rPr>
        <w:t xml:space="preserve"> de service monté</w:t>
      </w:r>
      <w:r>
        <w:rPr>
          <w:lang w:val="fr-FR"/>
        </w:rPr>
        <w:t>s</w:t>
      </w:r>
      <w:r w:rsidRPr="0035741B">
        <w:rPr>
          <w:lang w:val="fr-FR"/>
        </w:rPr>
        <w:t xml:space="preserve"> sur les citernes conformément au 6.10 de l</w:t>
      </w:r>
      <w:r>
        <w:rPr>
          <w:lang w:val="fr-FR"/>
        </w:rPr>
        <w:t>’</w:t>
      </w:r>
      <w:r w:rsidRPr="0035741B">
        <w:rPr>
          <w:lang w:val="fr-FR"/>
        </w:rPr>
        <w:t xml:space="preserve">ADR/RID. </w:t>
      </w:r>
    </w:p>
    <w:p w:rsidR="00BE10BD" w:rsidRPr="0035741B" w:rsidRDefault="00BE10BD" w:rsidP="00E45CDA">
      <w:pPr>
        <w:pStyle w:val="SingleTxtG"/>
        <w:rPr>
          <w:lang w:val="fr-FR"/>
        </w:rPr>
      </w:pPr>
      <w:r w:rsidRPr="0035741B">
        <w:rPr>
          <w:lang w:val="fr-FR"/>
        </w:rPr>
        <w:t>11.</w:t>
      </w:r>
      <w:r w:rsidRPr="0035741B">
        <w:rPr>
          <w:lang w:val="fr-FR"/>
        </w:rPr>
        <w:tab/>
        <w:t>L</w:t>
      </w:r>
      <w:r>
        <w:rPr>
          <w:lang w:val="fr-FR"/>
        </w:rPr>
        <w:t>’</w:t>
      </w:r>
      <w:r w:rsidRPr="0035741B">
        <w:rPr>
          <w:lang w:val="fr-FR"/>
        </w:rPr>
        <w:t>interprétation de ce point a déjà fait l</w:t>
      </w:r>
      <w:r>
        <w:rPr>
          <w:lang w:val="fr-FR"/>
        </w:rPr>
        <w:t>’</w:t>
      </w:r>
      <w:r w:rsidRPr="0035741B">
        <w:rPr>
          <w:lang w:val="fr-FR"/>
        </w:rPr>
        <w:t>objet de débats à la Réunion commune de septembre 2011. Un document informel visait à clarifier l</w:t>
      </w:r>
      <w:r>
        <w:rPr>
          <w:lang w:val="fr-FR"/>
        </w:rPr>
        <w:t>’</w:t>
      </w:r>
      <w:r w:rsidRPr="0035741B">
        <w:rPr>
          <w:lang w:val="fr-FR"/>
        </w:rPr>
        <w:t xml:space="preserve">applicabilité de </w:t>
      </w:r>
      <w:r w:rsidRPr="00822E03">
        <w:rPr>
          <w:iCs/>
          <w:lang w:val="fr-FR"/>
        </w:rPr>
        <w:t xml:space="preserve">la disposition </w:t>
      </w:r>
      <w:r w:rsidRPr="00822E03">
        <w:rPr>
          <w:lang w:val="fr-FR"/>
        </w:rPr>
        <w:t xml:space="preserve">TE19 et de </w:t>
      </w:r>
      <w:r w:rsidRPr="00822E03">
        <w:rPr>
          <w:iCs/>
          <w:lang w:val="fr-FR"/>
        </w:rPr>
        <w:t>la norme</w:t>
      </w:r>
      <w:r w:rsidRPr="0035741B">
        <w:rPr>
          <w:i/>
          <w:iCs/>
          <w:lang w:val="fr-FR"/>
        </w:rPr>
        <w:t xml:space="preserve"> </w:t>
      </w:r>
      <w:r w:rsidRPr="0035741B">
        <w:rPr>
          <w:lang w:val="fr-FR"/>
        </w:rPr>
        <w:t>EN 13094</w:t>
      </w:r>
      <w:r w:rsidR="00367A34">
        <w:rPr>
          <w:lang w:val="fr-FR"/>
        </w:rPr>
        <w:t>:</w:t>
      </w:r>
      <w:r w:rsidRPr="0035741B">
        <w:rPr>
          <w:lang w:val="fr-FR"/>
        </w:rPr>
        <w:t xml:space="preserve">2008 aux citernes à déchets opérant sous vide et, au cours </w:t>
      </w:r>
      <w:r>
        <w:rPr>
          <w:lang w:val="fr-FR"/>
        </w:rPr>
        <w:t>des discussions</w:t>
      </w:r>
      <w:r w:rsidRPr="0035741B">
        <w:rPr>
          <w:lang w:val="fr-FR"/>
        </w:rPr>
        <w:t>, la majorité des experts ont estimé que le 6.8.2.1.28 de l</w:t>
      </w:r>
      <w:r>
        <w:rPr>
          <w:lang w:val="fr-FR"/>
        </w:rPr>
        <w:t>’</w:t>
      </w:r>
      <w:r w:rsidRPr="0035741B">
        <w:rPr>
          <w:lang w:val="fr-FR"/>
        </w:rPr>
        <w:t xml:space="preserve">ADR </w:t>
      </w:r>
      <w:r w:rsidR="009E6321">
        <w:rPr>
          <w:lang w:val="fr-FR"/>
        </w:rPr>
        <w:t xml:space="preserve">et la TE19 </w:t>
      </w:r>
      <w:r w:rsidRPr="0035741B">
        <w:rPr>
          <w:lang w:val="fr-FR"/>
        </w:rPr>
        <w:t>s</w:t>
      </w:r>
      <w:r>
        <w:rPr>
          <w:lang w:val="fr-FR"/>
        </w:rPr>
        <w:t>’</w:t>
      </w:r>
      <w:r w:rsidRPr="0035741B">
        <w:rPr>
          <w:lang w:val="fr-FR"/>
        </w:rPr>
        <w:t>appliquaient aux citernes à déchets opérant sous vide.</w:t>
      </w:r>
    </w:p>
    <w:p w:rsidR="00F9573C" w:rsidRDefault="00BE10BD" w:rsidP="00E45CDA">
      <w:pPr>
        <w:pStyle w:val="SingleTxtG"/>
        <w:rPr>
          <w:lang w:val="fr-FR"/>
        </w:rPr>
      </w:pPr>
      <w:r w:rsidRPr="0035741B">
        <w:rPr>
          <w:lang w:val="fr-FR"/>
        </w:rPr>
        <w:t>12.</w:t>
      </w:r>
      <w:r w:rsidRPr="0035741B">
        <w:rPr>
          <w:lang w:val="fr-FR"/>
        </w:rPr>
        <w:tab/>
        <w:t xml:space="preserve">Ainsi, </w:t>
      </w:r>
      <w:r>
        <w:rPr>
          <w:lang w:val="fr-FR"/>
        </w:rPr>
        <w:t>compte tenu de ce qui précède</w:t>
      </w:r>
      <w:r w:rsidRPr="0035741B">
        <w:rPr>
          <w:lang w:val="fr-FR"/>
        </w:rPr>
        <w:t xml:space="preserve">, il semble opportun de modifier le RID/ADR conformément aux </w:t>
      </w:r>
      <w:r>
        <w:rPr>
          <w:lang w:val="fr-FR"/>
        </w:rPr>
        <w:t>p</w:t>
      </w:r>
      <w:r w:rsidRPr="0035741B">
        <w:rPr>
          <w:lang w:val="fr-FR"/>
        </w:rPr>
        <w:t>ropositions 1 et 2 ci-dessus.</w:t>
      </w:r>
    </w:p>
    <w:p w:rsidR="00BE10BD" w:rsidRPr="00BE10BD" w:rsidRDefault="00BE10BD" w:rsidP="00BE10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10BD" w:rsidRPr="00BE10BD" w:rsidSect="004D282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4A" w:rsidRDefault="00614D4A" w:rsidP="00F95C08">
      <w:pPr>
        <w:spacing w:line="240" w:lineRule="auto"/>
      </w:pPr>
    </w:p>
  </w:endnote>
  <w:endnote w:type="continuationSeparator" w:id="0">
    <w:p w:rsidR="00614D4A" w:rsidRPr="00AC3823" w:rsidRDefault="00614D4A" w:rsidP="00AC3823">
      <w:pPr>
        <w:pStyle w:val="Footer"/>
      </w:pPr>
    </w:p>
  </w:endnote>
  <w:endnote w:type="continuationNotice" w:id="1">
    <w:p w:rsidR="00614D4A" w:rsidRDefault="00614D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26" w:rsidRPr="004D2826" w:rsidRDefault="004D2826" w:rsidP="004D2826">
    <w:pPr>
      <w:pStyle w:val="Footer"/>
      <w:tabs>
        <w:tab w:val="right" w:pos="9638"/>
      </w:tabs>
    </w:pPr>
    <w:r w:rsidRPr="004D2826">
      <w:rPr>
        <w:b/>
        <w:sz w:val="18"/>
      </w:rPr>
      <w:fldChar w:fldCharType="begin"/>
    </w:r>
    <w:r w:rsidRPr="004D2826">
      <w:rPr>
        <w:b/>
        <w:sz w:val="18"/>
      </w:rPr>
      <w:instrText xml:space="preserve"> PAGE  \* MERGEFORMAT </w:instrText>
    </w:r>
    <w:r w:rsidRPr="004D2826">
      <w:rPr>
        <w:b/>
        <w:sz w:val="18"/>
      </w:rPr>
      <w:fldChar w:fldCharType="separate"/>
    </w:r>
    <w:r w:rsidR="00A3033B">
      <w:rPr>
        <w:b/>
        <w:noProof/>
        <w:sz w:val="18"/>
      </w:rPr>
      <w:t>2</w:t>
    </w:r>
    <w:r w:rsidRPr="004D2826">
      <w:rPr>
        <w:b/>
        <w:sz w:val="18"/>
      </w:rPr>
      <w:fldChar w:fldCharType="end"/>
    </w:r>
    <w:r>
      <w:rPr>
        <w:b/>
        <w:sz w:val="18"/>
      </w:rPr>
      <w:tab/>
    </w:r>
    <w:r>
      <w:t>GE.18-22805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26" w:rsidRPr="004D2826" w:rsidRDefault="004D2826" w:rsidP="004D2826">
    <w:pPr>
      <w:pStyle w:val="Footer"/>
      <w:tabs>
        <w:tab w:val="right" w:pos="9638"/>
      </w:tabs>
      <w:rPr>
        <w:b/>
        <w:sz w:val="18"/>
      </w:rPr>
    </w:pPr>
    <w:r>
      <w:t>GE.18-22805</w:t>
    </w:r>
    <w:r>
      <w:tab/>
    </w:r>
    <w:r w:rsidRPr="004D2826">
      <w:rPr>
        <w:b/>
        <w:sz w:val="18"/>
      </w:rPr>
      <w:fldChar w:fldCharType="begin"/>
    </w:r>
    <w:r w:rsidRPr="004D2826">
      <w:rPr>
        <w:b/>
        <w:sz w:val="18"/>
      </w:rPr>
      <w:instrText xml:space="preserve"> PAGE  \* MERGEFORMAT </w:instrText>
    </w:r>
    <w:r w:rsidRPr="004D2826">
      <w:rPr>
        <w:b/>
        <w:sz w:val="18"/>
      </w:rPr>
      <w:fldChar w:fldCharType="separate"/>
    </w:r>
    <w:r w:rsidR="00A3033B">
      <w:rPr>
        <w:b/>
        <w:noProof/>
        <w:sz w:val="18"/>
      </w:rPr>
      <w:t>3</w:t>
    </w:r>
    <w:r w:rsidRPr="004D28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D2826" w:rsidRDefault="004D2826" w:rsidP="004D282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18-22805  (F)</w:t>
    </w:r>
    <w:r w:rsidR="00886F3F">
      <w:rPr>
        <w:sz w:val="20"/>
      </w:rPr>
      <w:t xml:space="preserve">    250119    290119</w:t>
    </w:r>
    <w:r>
      <w:rPr>
        <w:sz w:val="20"/>
      </w:rPr>
      <w:br/>
    </w:r>
    <w:r w:rsidRPr="004D2826">
      <w:rPr>
        <w:rFonts w:ascii="C39T30Lfz" w:hAnsi="C39T30Lfz"/>
        <w:sz w:val="56"/>
      </w:rPr>
      <w:t></w:t>
    </w:r>
    <w:r w:rsidRPr="004D2826">
      <w:rPr>
        <w:rFonts w:ascii="C39T30Lfz" w:hAnsi="C39T30Lfz"/>
        <w:sz w:val="56"/>
      </w:rPr>
      <w:t></w:t>
    </w:r>
    <w:r w:rsidRPr="004D2826">
      <w:rPr>
        <w:rFonts w:ascii="C39T30Lfz" w:hAnsi="C39T30Lfz"/>
        <w:sz w:val="56"/>
      </w:rPr>
      <w:t></w:t>
    </w:r>
    <w:r w:rsidRPr="004D2826">
      <w:rPr>
        <w:rFonts w:ascii="C39T30Lfz" w:hAnsi="C39T30Lfz"/>
        <w:sz w:val="56"/>
      </w:rPr>
      <w:t></w:t>
    </w:r>
    <w:r w:rsidRPr="004D2826">
      <w:rPr>
        <w:rFonts w:ascii="C39T30Lfz" w:hAnsi="C39T30Lfz"/>
        <w:sz w:val="56"/>
      </w:rPr>
      <w:t></w:t>
    </w:r>
    <w:r w:rsidRPr="004D2826">
      <w:rPr>
        <w:rFonts w:ascii="C39T30Lfz" w:hAnsi="C39T30Lfz"/>
        <w:sz w:val="56"/>
      </w:rPr>
      <w:t></w:t>
    </w:r>
    <w:r w:rsidRPr="004D2826">
      <w:rPr>
        <w:rFonts w:ascii="C39T30Lfz" w:hAnsi="C39T30Lfz"/>
        <w:sz w:val="56"/>
      </w:rPr>
      <w:t></w:t>
    </w:r>
    <w:r w:rsidRPr="004D2826">
      <w:rPr>
        <w:rFonts w:ascii="C39T30Lfz" w:hAnsi="C39T30Lfz"/>
        <w:sz w:val="56"/>
      </w:rPr>
      <w:t></w:t>
    </w:r>
    <w:r w:rsidRPr="004D282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4A" w:rsidRPr="00AC3823" w:rsidRDefault="00614D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4D4A" w:rsidRPr="00AC3823" w:rsidRDefault="00614D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4D4A" w:rsidRPr="00AC3823" w:rsidRDefault="00614D4A">
      <w:pPr>
        <w:spacing w:line="240" w:lineRule="auto"/>
        <w:rPr>
          <w:sz w:val="2"/>
          <w:szCs w:val="2"/>
        </w:rPr>
      </w:pPr>
    </w:p>
  </w:footnote>
  <w:footnote w:id="2">
    <w:p w:rsidR="00A64600" w:rsidRPr="00A64600" w:rsidRDefault="00A64600">
      <w:pPr>
        <w:pStyle w:val="FootnoteText"/>
      </w:pPr>
      <w:r>
        <w:rPr>
          <w:rStyle w:val="FootnoteReference"/>
        </w:rPr>
        <w:tab/>
      </w:r>
      <w:r w:rsidRPr="00A6460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</w:t>
      </w:r>
      <w:r w:rsidR="003B1830">
        <w:rPr>
          <w:lang w:val="fr-FR"/>
        </w:rPr>
        <w:t xml:space="preserve"> (ECE/TRANS/WP.15/237, annexe V</w:t>
      </w:r>
      <w:r>
        <w:rPr>
          <w:lang w:val="fr-FR"/>
        </w:rPr>
        <w:t xml:space="preserve"> (9.2)).</w:t>
      </w:r>
    </w:p>
  </w:footnote>
  <w:footnote w:id="3">
    <w:p w:rsidR="00A64600" w:rsidRPr="00A64600" w:rsidRDefault="00A64600">
      <w:pPr>
        <w:pStyle w:val="FootnoteText"/>
      </w:pPr>
      <w:r>
        <w:rPr>
          <w:rStyle w:val="FootnoteReference"/>
        </w:rPr>
        <w:tab/>
      </w:r>
      <w:r w:rsidRPr="00A6460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OTIF/RID/RC/2019/17.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26" w:rsidRPr="004D2826" w:rsidRDefault="00BA0E1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B1830">
      <w:t>ECE/TRANS/WP.15/AC.1/2019/17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26" w:rsidRPr="004D2826" w:rsidRDefault="00BA0E13" w:rsidP="004D282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B1830">
      <w:t>ECE/TRANS/WP.15/AC.1/2019/17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4A"/>
    <w:rsid w:val="00017F94"/>
    <w:rsid w:val="00023842"/>
    <w:rsid w:val="000334F9"/>
    <w:rsid w:val="00045FEB"/>
    <w:rsid w:val="00057F9A"/>
    <w:rsid w:val="0007796D"/>
    <w:rsid w:val="000B7790"/>
    <w:rsid w:val="00111F2F"/>
    <w:rsid w:val="001374E5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0F75"/>
    <w:rsid w:val="002D7C93"/>
    <w:rsid w:val="00305801"/>
    <w:rsid w:val="00367A34"/>
    <w:rsid w:val="003916DE"/>
    <w:rsid w:val="003B1830"/>
    <w:rsid w:val="00421996"/>
    <w:rsid w:val="00441C3B"/>
    <w:rsid w:val="00446FE5"/>
    <w:rsid w:val="00452396"/>
    <w:rsid w:val="004837D8"/>
    <w:rsid w:val="004A514D"/>
    <w:rsid w:val="004D2826"/>
    <w:rsid w:val="004E2EED"/>
    <w:rsid w:val="004E468C"/>
    <w:rsid w:val="005505B7"/>
    <w:rsid w:val="00573BE5"/>
    <w:rsid w:val="00586ED3"/>
    <w:rsid w:val="00596AA9"/>
    <w:rsid w:val="00614D4A"/>
    <w:rsid w:val="0071601D"/>
    <w:rsid w:val="007966A1"/>
    <w:rsid w:val="007A62E6"/>
    <w:rsid w:val="007F20FA"/>
    <w:rsid w:val="0080684C"/>
    <w:rsid w:val="00871C75"/>
    <w:rsid w:val="008776DC"/>
    <w:rsid w:val="00886F3F"/>
    <w:rsid w:val="008F02CA"/>
    <w:rsid w:val="009446C0"/>
    <w:rsid w:val="009705C8"/>
    <w:rsid w:val="009C1CF4"/>
    <w:rsid w:val="009E6321"/>
    <w:rsid w:val="009F6B74"/>
    <w:rsid w:val="00A3029F"/>
    <w:rsid w:val="00A3033B"/>
    <w:rsid w:val="00A30353"/>
    <w:rsid w:val="00A64600"/>
    <w:rsid w:val="00AB28EC"/>
    <w:rsid w:val="00AB50D5"/>
    <w:rsid w:val="00AC3823"/>
    <w:rsid w:val="00AE323C"/>
    <w:rsid w:val="00AF0CB5"/>
    <w:rsid w:val="00B00181"/>
    <w:rsid w:val="00B00B0D"/>
    <w:rsid w:val="00B45F2E"/>
    <w:rsid w:val="00B765F7"/>
    <w:rsid w:val="00BA0CA9"/>
    <w:rsid w:val="00BA0E13"/>
    <w:rsid w:val="00BE10BD"/>
    <w:rsid w:val="00C02897"/>
    <w:rsid w:val="00C97039"/>
    <w:rsid w:val="00D3439C"/>
    <w:rsid w:val="00DB1831"/>
    <w:rsid w:val="00DD3BFD"/>
    <w:rsid w:val="00DF6678"/>
    <w:rsid w:val="00E0299A"/>
    <w:rsid w:val="00E45CDA"/>
    <w:rsid w:val="00E5119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AB1D29-2924-4B50-87A5-695E725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E10B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BE10B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BE10B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7328</Characters>
  <Application>Microsoft Office Word</Application>
  <DocSecurity>0</DocSecurity>
  <Lines>146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ECE/TRANS/WP.15/AC.1/2019/17</vt:lpstr>
      <vt:lpstr>ECE/TRANS/WP.15/AC.1/2019/17</vt:lpstr>
    </vt:vector>
  </TitlesOfParts>
  <Company>DCM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ECE/TRANS/WP.15/AC.1/2019/17</dc:title>
  <dc:subject/>
  <dc:creator>Nathalie VITTOZ</dc:creator>
  <cp:keywords/>
  <cp:lastModifiedBy>Christine Barrio-Champeau</cp:lastModifiedBy>
  <cp:revision>2</cp:revision>
  <cp:lastPrinted>2019-01-29T11:06:00Z</cp:lastPrinted>
  <dcterms:created xsi:type="dcterms:W3CDTF">2019-01-29T13:40:00Z</dcterms:created>
  <dcterms:modified xsi:type="dcterms:W3CDTF">2019-01-29T13:40:00Z</dcterms:modified>
</cp:coreProperties>
</file>