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86509" w14:paraId="721A55F6" w14:textId="77777777" w:rsidTr="001707B7">
        <w:trPr>
          <w:cantSplit/>
          <w:trHeight w:hRule="exact" w:val="851"/>
        </w:trPr>
        <w:tc>
          <w:tcPr>
            <w:tcW w:w="1276" w:type="dxa"/>
            <w:tcBorders>
              <w:bottom w:val="single" w:sz="4" w:space="0" w:color="auto"/>
            </w:tcBorders>
            <w:shd w:val="clear" w:color="auto" w:fill="auto"/>
            <w:vAlign w:val="bottom"/>
          </w:tcPr>
          <w:p w14:paraId="4A1FB603" w14:textId="77777777" w:rsidR="00B56E9C" w:rsidRPr="00786509" w:rsidRDefault="007B168D" w:rsidP="001707B7">
            <w:pPr>
              <w:spacing w:after="80"/>
            </w:pPr>
            <w:r>
              <w:t xml:space="preserve"> </w:t>
            </w:r>
          </w:p>
        </w:tc>
        <w:tc>
          <w:tcPr>
            <w:tcW w:w="2268" w:type="dxa"/>
            <w:tcBorders>
              <w:bottom w:val="single" w:sz="4" w:space="0" w:color="auto"/>
            </w:tcBorders>
            <w:shd w:val="clear" w:color="auto" w:fill="auto"/>
            <w:vAlign w:val="bottom"/>
          </w:tcPr>
          <w:p w14:paraId="3D96745F" w14:textId="77777777" w:rsidR="00B56E9C" w:rsidRPr="001707B7" w:rsidRDefault="00B56E9C" w:rsidP="001707B7">
            <w:pPr>
              <w:spacing w:after="80" w:line="300" w:lineRule="exact"/>
              <w:rPr>
                <w:b/>
                <w:sz w:val="24"/>
                <w:szCs w:val="24"/>
              </w:rPr>
            </w:pPr>
            <w:r w:rsidRPr="001707B7">
              <w:rPr>
                <w:sz w:val="28"/>
                <w:szCs w:val="28"/>
              </w:rPr>
              <w:t>United Nations</w:t>
            </w:r>
          </w:p>
        </w:tc>
        <w:tc>
          <w:tcPr>
            <w:tcW w:w="6095" w:type="dxa"/>
            <w:gridSpan w:val="2"/>
            <w:tcBorders>
              <w:bottom w:val="single" w:sz="4" w:space="0" w:color="auto"/>
            </w:tcBorders>
            <w:shd w:val="clear" w:color="auto" w:fill="auto"/>
            <w:vAlign w:val="bottom"/>
          </w:tcPr>
          <w:p w14:paraId="4FFB2DD6" w14:textId="7A04888E" w:rsidR="00B56E9C" w:rsidRPr="00786509" w:rsidRDefault="007A6E87" w:rsidP="000F23E3">
            <w:pPr>
              <w:suppressAutoHyphens w:val="0"/>
              <w:spacing w:after="20"/>
              <w:jc w:val="right"/>
            </w:pPr>
            <w:r w:rsidRPr="001707B7">
              <w:rPr>
                <w:sz w:val="40"/>
              </w:rPr>
              <w:t>ECE</w:t>
            </w:r>
            <w:r w:rsidRPr="00786509">
              <w:t>/TRANS/WP.15/AC.1/</w:t>
            </w:r>
            <w:r w:rsidR="00793BB3">
              <w:t>1</w:t>
            </w:r>
            <w:r w:rsidR="007637A1">
              <w:t>56</w:t>
            </w:r>
          </w:p>
        </w:tc>
      </w:tr>
      <w:tr w:rsidR="00B56E9C" w:rsidRPr="00786509" w14:paraId="1663DBF9" w14:textId="77777777" w:rsidTr="001707B7">
        <w:trPr>
          <w:cantSplit/>
          <w:trHeight w:hRule="exact" w:val="2835"/>
        </w:trPr>
        <w:tc>
          <w:tcPr>
            <w:tcW w:w="1276" w:type="dxa"/>
            <w:tcBorders>
              <w:top w:val="single" w:sz="4" w:space="0" w:color="auto"/>
              <w:bottom w:val="single" w:sz="12" w:space="0" w:color="auto"/>
            </w:tcBorders>
            <w:shd w:val="clear" w:color="auto" w:fill="auto"/>
          </w:tcPr>
          <w:p w14:paraId="7760BBCB" w14:textId="77777777" w:rsidR="00B56E9C" w:rsidRPr="00786509" w:rsidRDefault="00210708" w:rsidP="001707B7">
            <w:pPr>
              <w:spacing w:before="120"/>
            </w:pPr>
            <w:r>
              <w:rPr>
                <w:noProof/>
                <w:lang w:val="en-US"/>
              </w:rPr>
              <w:drawing>
                <wp:inline distT="0" distB="0" distL="0" distR="0" wp14:anchorId="3A1B00B4" wp14:editId="38F6CE0F">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5115DA5" w14:textId="77777777" w:rsidR="00B56E9C" w:rsidRPr="001707B7" w:rsidRDefault="00D773DF" w:rsidP="001707B7">
            <w:pPr>
              <w:spacing w:before="120" w:line="420" w:lineRule="exact"/>
              <w:rPr>
                <w:sz w:val="40"/>
                <w:szCs w:val="40"/>
              </w:rPr>
            </w:pPr>
            <w:r w:rsidRPr="001707B7">
              <w:rPr>
                <w:b/>
                <w:sz w:val="40"/>
                <w:szCs w:val="40"/>
              </w:rPr>
              <w:t>Economic and Social Council</w:t>
            </w:r>
          </w:p>
        </w:tc>
        <w:tc>
          <w:tcPr>
            <w:tcW w:w="2835" w:type="dxa"/>
            <w:tcBorders>
              <w:top w:val="single" w:sz="4" w:space="0" w:color="auto"/>
              <w:bottom w:val="single" w:sz="12" w:space="0" w:color="auto"/>
            </w:tcBorders>
            <w:shd w:val="clear" w:color="auto" w:fill="auto"/>
          </w:tcPr>
          <w:p w14:paraId="1642695F" w14:textId="77777777" w:rsidR="007A6E87" w:rsidRPr="00786509" w:rsidRDefault="007A6E87" w:rsidP="001707B7">
            <w:pPr>
              <w:suppressAutoHyphens w:val="0"/>
              <w:spacing w:before="240" w:line="240" w:lineRule="exact"/>
            </w:pPr>
            <w:r w:rsidRPr="00786509">
              <w:t>Distr.: General</w:t>
            </w:r>
          </w:p>
          <w:p w14:paraId="0CD1209B" w14:textId="1ED30998" w:rsidR="007A6E87" w:rsidRPr="00786509" w:rsidRDefault="00236A5E" w:rsidP="001707B7">
            <w:pPr>
              <w:suppressAutoHyphens w:val="0"/>
            </w:pPr>
            <w:r>
              <w:t>14 October</w:t>
            </w:r>
            <w:bookmarkStart w:id="0" w:name="_GoBack"/>
            <w:bookmarkEnd w:id="0"/>
            <w:r w:rsidR="00780F4A">
              <w:t xml:space="preserve"> 201</w:t>
            </w:r>
            <w:r w:rsidR="000D58B3">
              <w:t>9</w:t>
            </w:r>
          </w:p>
          <w:p w14:paraId="4DDC8B89" w14:textId="43E6CD2B" w:rsidR="007A6E87" w:rsidRPr="00786509" w:rsidRDefault="007A6E87" w:rsidP="001707B7">
            <w:pPr>
              <w:suppressAutoHyphens w:val="0"/>
            </w:pPr>
          </w:p>
          <w:p w14:paraId="20E1ED93" w14:textId="1D783A4F" w:rsidR="00B56E9C" w:rsidRPr="00786509" w:rsidRDefault="007A6E87" w:rsidP="001707B7">
            <w:pPr>
              <w:suppressAutoHyphens w:val="0"/>
            </w:pPr>
            <w:r w:rsidRPr="00786509">
              <w:t xml:space="preserve">Original: </w:t>
            </w:r>
            <w:r w:rsidR="003F27B6">
              <w:t>English</w:t>
            </w:r>
          </w:p>
        </w:tc>
      </w:tr>
    </w:tbl>
    <w:p w14:paraId="0FFAA272" w14:textId="77777777" w:rsidR="00F67911" w:rsidRPr="00786509" w:rsidRDefault="00F67911">
      <w:pPr>
        <w:spacing w:before="120"/>
        <w:rPr>
          <w:b/>
          <w:sz w:val="28"/>
          <w:szCs w:val="28"/>
        </w:rPr>
      </w:pPr>
      <w:r w:rsidRPr="00786509">
        <w:rPr>
          <w:b/>
          <w:sz w:val="28"/>
          <w:szCs w:val="28"/>
        </w:rPr>
        <w:t xml:space="preserve">Economic Commission for </w:t>
      </w:r>
      <w:smartTag w:uri="urn:schemas-microsoft-com:office:smarttags" w:element="place">
        <w:r w:rsidRPr="00786509">
          <w:rPr>
            <w:b/>
            <w:sz w:val="28"/>
            <w:szCs w:val="28"/>
          </w:rPr>
          <w:t>Europe</w:t>
        </w:r>
      </w:smartTag>
    </w:p>
    <w:p w14:paraId="1D36B1BA" w14:textId="77777777" w:rsidR="00F67911" w:rsidRPr="00786509" w:rsidRDefault="00F67911" w:rsidP="00E92F5D">
      <w:pPr>
        <w:spacing w:before="120"/>
        <w:outlineLvl w:val="0"/>
        <w:rPr>
          <w:sz w:val="28"/>
          <w:szCs w:val="28"/>
        </w:rPr>
      </w:pPr>
      <w:r w:rsidRPr="00786509">
        <w:rPr>
          <w:sz w:val="28"/>
          <w:szCs w:val="28"/>
        </w:rPr>
        <w:t>Inland Transport Committee</w:t>
      </w:r>
    </w:p>
    <w:p w14:paraId="564CFCE4" w14:textId="77777777" w:rsidR="00F67911" w:rsidRPr="00786509" w:rsidRDefault="00F67911" w:rsidP="00E92F5D">
      <w:pPr>
        <w:spacing w:before="120"/>
        <w:outlineLvl w:val="0"/>
        <w:rPr>
          <w:b/>
          <w:sz w:val="24"/>
          <w:szCs w:val="24"/>
        </w:rPr>
      </w:pPr>
      <w:r w:rsidRPr="00786509">
        <w:rPr>
          <w:b/>
          <w:sz w:val="24"/>
          <w:szCs w:val="24"/>
        </w:rPr>
        <w:t>Working Party on the Transport of Dangerous Goods</w:t>
      </w:r>
    </w:p>
    <w:p w14:paraId="628EAC3D" w14:textId="77777777" w:rsidR="007A6E87" w:rsidRPr="00786509" w:rsidRDefault="007D629E" w:rsidP="00F67911">
      <w:pPr>
        <w:spacing w:before="120"/>
        <w:rPr>
          <w:b/>
        </w:rPr>
      </w:pPr>
      <w:r w:rsidRPr="00786509">
        <w:rPr>
          <w:b/>
        </w:rPr>
        <w:t>Joint M</w:t>
      </w:r>
      <w:r w:rsidR="00F67911" w:rsidRPr="00786509">
        <w:rPr>
          <w:b/>
        </w:rPr>
        <w:t>eeting of the RID Committee of Experts and the</w:t>
      </w:r>
      <w:r w:rsidR="00F67911" w:rsidRPr="00786509">
        <w:rPr>
          <w:b/>
        </w:rPr>
        <w:br/>
        <w:t>Working Party on the Transport of Dangerous Goods</w:t>
      </w:r>
    </w:p>
    <w:p w14:paraId="16729234" w14:textId="79E8E3BE" w:rsidR="00F67911" w:rsidRPr="00944671" w:rsidRDefault="00F67911" w:rsidP="009C737B">
      <w:pPr>
        <w:pStyle w:val="HChG"/>
        <w:rPr>
          <w:lang w:val="en-GB"/>
        </w:rPr>
      </w:pPr>
      <w:r w:rsidRPr="00786509">
        <w:tab/>
      </w:r>
      <w:r w:rsidRPr="00786509">
        <w:tab/>
      </w:r>
      <w:r w:rsidRPr="00944671">
        <w:t xml:space="preserve">Report of the Joint Meeting of the RID Committee of Experts and the Working Party on the Transport of Dangerous Goods on its </w:t>
      </w:r>
      <w:r w:rsidR="001C1B54" w:rsidRPr="00944671">
        <w:t>a</w:t>
      </w:r>
      <w:r w:rsidR="00E62A4C" w:rsidRPr="00944671">
        <w:t>utumn</w:t>
      </w:r>
      <w:r w:rsidR="00A638D7" w:rsidRPr="00944671">
        <w:t xml:space="preserve"> 201</w:t>
      </w:r>
      <w:r w:rsidR="003B0DFB" w:rsidRPr="00944671">
        <w:rPr>
          <w:lang w:val="en-GB"/>
        </w:rPr>
        <w:t>9</w:t>
      </w:r>
      <w:r w:rsidR="00A638D7" w:rsidRPr="00944671">
        <w:t xml:space="preserve"> session</w:t>
      </w:r>
      <w:r w:rsidR="005D5932" w:rsidRPr="00944671">
        <w:rPr>
          <w:rStyle w:val="FootnoteReference"/>
          <w:sz w:val="20"/>
        </w:rPr>
        <w:footnoteReference w:customMarkFollows="1" w:id="2"/>
        <w:t>*</w:t>
      </w:r>
    </w:p>
    <w:p w14:paraId="445F99E6" w14:textId="03457076" w:rsidR="00F67911" w:rsidRPr="00944671" w:rsidRDefault="00671767" w:rsidP="00671767">
      <w:pPr>
        <w:pStyle w:val="H56G"/>
      </w:pPr>
      <w:r w:rsidRPr="00944671">
        <w:tab/>
      </w:r>
      <w:r w:rsidRPr="00944671">
        <w:tab/>
      </w:r>
      <w:r w:rsidR="007D629E" w:rsidRPr="00944671">
        <w:t>h</w:t>
      </w:r>
      <w:r w:rsidR="00800004" w:rsidRPr="00944671">
        <w:t xml:space="preserve">eld </w:t>
      </w:r>
      <w:r w:rsidR="00F67911" w:rsidRPr="00944671">
        <w:t xml:space="preserve">in </w:t>
      </w:r>
      <w:r w:rsidR="009673BC" w:rsidRPr="00944671">
        <w:t>Geneva</w:t>
      </w:r>
      <w:r w:rsidR="00F67911" w:rsidRPr="00944671">
        <w:t xml:space="preserve"> from </w:t>
      </w:r>
      <w:r w:rsidR="009673BC" w:rsidRPr="00944671">
        <w:t>1</w:t>
      </w:r>
      <w:r w:rsidR="003B0DFB" w:rsidRPr="00944671">
        <w:t>7</w:t>
      </w:r>
      <w:r w:rsidR="00A77861" w:rsidRPr="00944671">
        <w:t>–</w:t>
      </w:r>
      <w:r w:rsidR="000E2040" w:rsidRPr="00944671">
        <w:t>2</w:t>
      </w:r>
      <w:r w:rsidR="00A4768D" w:rsidRPr="00944671">
        <w:t>6</w:t>
      </w:r>
      <w:r w:rsidR="00F0775A" w:rsidRPr="00944671">
        <w:t xml:space="preserve"> </w:t>
      </w:r>
      <w:r w:rsidR="009673BC" w:rsidRPr="00944671">
        <w:t>September</w:t>
      </w:r>
      <w:r w:rsidR="00BF32BE" w:rsidRPr="00944671">
        <w:t xml:space="preserve"> 201</w:t>
      </w:r>
      <w:r w:rsidR="003B0DFB" w:rsidRPr="00944671">
        <w:t>9</w:t>
      </w:r>
    </w:p>
    <w:p w14:paraId="229FF18F" w14:textId="77777777" w:rsidR="001A3E62" w:rsidRPr="00944671" w:rsidRDefault="001A3E62" w:rsidP="00E92F5D">
      <w:pPr>
        <w:spacing w:after="120"/>
        <w:outlineLvl w:val="0"/>
        <w:rPr>
          <w:sz w:val="28"/>
          <w:lang w:val="fr-CH"/>
        </w:rPr>
      </w:pPr>
      <w:r w:rsidRPr="00944671">
        <w:rPr>
          <w:sz w:val="28"/>
          <w:lang w:val="fr-CH"/>
        </w:rPr>
        <w:t>Contents</w:t>
      </w:r>
    </w:p>
    <w:p w14:paraId="6D02CF17" w14:textId="77777777" w:rsidR="001A3E62" w:rsidRPr="00944671" w:rsidRDefault="001A3E62" w:rsidP="001A3E62">
      <w:pPr>
        <w:tabs>
          <w:tab w:val="right" w:pos="8929"/>
          <w:tab w:val="right" w:pos="9638"/>
        </w:tabs>
        <w:spacing w:after="120"/>
        <w:ind w:left="283"/>
        <w:rPr>
          <w:lang w:val="fr-CH"/>
        </w:rPr>
      </w:pPr>
      <w:r w:rsidRPr="00944671">
        <w:rPr>
          <w:i/>
          <w:sz w:val="18"/>
          <w:lang w:val="fr-CH"/>
        </w:rPr>
        <w:tab/>
      </w:r>
      <w:proofErr w:type="spellStart"/>
      <w:r w:rsidRPr="00944671">
        <w:rPr>
          <w:i/>
          <w:sz w:val="18"/>
          <w:lang w:val="fr-CH"/>
        </w:rPr>
        <w:t>Paragraphs</w:t>
      </w:r>
      <w:proofErr w:type="spellEnd"/>
      <w:r w:rsidRPr="00944671">
        <w:rPr>
          <w:i/>
          <w:sz w:val="18"/>
          <w:lang w:val="fr-CH"/>
        </w:rPr>
        <w:tab/>
        <w:t>Page</w:t>
      </w:r>
    </w:p>
    <w:p w14:paraId="1FCFA4E3" w14:textId="65761D0B" w:rsidR="00201168" w:rsidRPr="00944671" w:rsidRDefault="00201168" w:rsidP="00201168">
      <w:pPr>
        <w:tabs>
          <w:tab w:val="right" w:pos="850"/>
          <w:tab w:val="left" w:pos="1134"/>
          <w:tab w:val="left" w:pos="1559"/>
          <w:tab w:val="left" w:pos="1984"/>
          <w:tab w:val="left" w:leader="dot" w:pos="7654"/>
          <w:tab w:val="right" w:pos="8929"/>
          <w:tab w:val="right" w:pos="9638"/>
        </w:tabs>
        <w:spacing w:after="120"/>
        <w:rPr>
          <w:lang w:val="fr-CH"/>
        </w:rPr>
      </w:pPr>
      <w:r w:rsidRPr="00944671">
        <w:rPr>
          <w:lang w:val="fr-CH"/>
        </w:rPr>
        <w:tab/>
        <w:t>I.</w:t>
      </w:r>
      <w:r w:rsidRPr="00944671">
        <w:rPr>
          <w:lang w:val="fr-CH"/>
        </w:rPr>
        <w:tab/>
      </w:r>
      <w:r w:rsidR="008A739E" w:rsidRPr="00944671">
        <w:t>Attendance</w:t>
      </w:r>
      <w:r w:rsidR="00AC0BF0" w:rsidRPr="00944671">
        <w:rPr>
          <w:lang w:val="fr-CH"/>
        </w:rPr>
        <w:tab/>
      </w:r>
      <w:r w:rsidR="00AC0BF0" w:rsidRPr="00944671">
        <w:rPr>
          <w:lang w:val="fr-CH"/>
        </w:rPr>
        <w:tab/>
      </w:r>
      <w:r w:rsidR="00CF68B0" w:rsidRPr="00944671">
        <w:rPr>
          <w:lang w:val="fr-CH"/>
        </w:rPr>
        <w:t>1-</w:t>
      </w:r>
      <w:r w:rsidR="00294703">
        <w:rPr>
          <w:lang w:val="fr-CH"/>
        </w:rPr>
        <w:t>4</w:t>
      </w:r>
      <w:r w:rsidRPr="00944671">
        <w:rPr>
          <w:lang w:val="fr-CH"/>
        </w:rPr>
        <w:tab/>
      </w:r>
      <w:r w:rsidR="00AC0BF0" w:rsidRPr="00944671">
        <w:rPr>
          <w:lang w:val="fr-CH"/>
        </w:rPr>
        <w:t>4</w:t>
      </w:r>
    </w:p>
    <w:p w14:paraId="0EF56DBF" w14:textId="4F88A223" w:rsidR="00CF68B0" w:rsidRPr="00944671" w:rsidRDefault="00CF68B0" w:rsidP="00CF68B0">
      <w:pPr>
        <w:tabs>
          <w:tab w:val="right" w:pos="850"/>
          <w:tab w:val="left" w:pos="1134"/>
          <w:tab w:val="left" w:pos="1559"/>
          <w:tab w:val="left" w:pos="1984"/>
          <w:tab w:val="left" w:leader="dot" w:pos="7654"/>
          <w:tab w:val="right" w:pos="8929"/>
          <w:tab w:val="right" w:pos="9638"/>
        </w:tabs>
        <w:spacing w:after="120"/>
        <w:rPr>
          <w:lang w:val="fr-CH"/>
        </w:rPr>
      </w:pPr>
      <w:r w:rsidRPr="00944671">
        <w:rPr>
          <w:lang w:val="fr-CH"/>
        </w:rPr>
        <w:tab/>
      </w:r>
      <w:r w:rsidR="00317101" w:rsidRPr="00944671">
        <w:rPr>
          <w:lang w:val="fr-CH"/>
        </w:rPr>
        <w:t>II.</w:t>
      </w:r>
      <w:r w:rsidRPr="00944671">
        <w:rPr>
          <w:lang w:val="fr-CH"/>
        </w:rPr>
        <w:tab/>
      </w:r>
      <w:r w:rsidRPr="00944671">
        <w:t>Opening of the session</w:t>
      </w:r>
      <w:r w:rsidRPr="00944671">
        <w:rPr>
          <w:lang w:val="fr-CH"/>
        </w:rPr>
        <w:tab/>
      </w:r>
      <w:r w:rsidRPr="00944671">
        <w:rPr>
          <w:lang w:val="fr-CH"/>
        </w:rPr>
        <w:tab/>
      </w:r>
      <w:r w:rsidR="00294703">
        <w:rPr>
          <w:lang w:val="fr-CH"/>
        </w:rPr>
        <w:t>5</w:t>
      </w:r>
      <w:r w:rsidRPr="00944671">
        <w:rPr>
          <w:lang w:val="fr-CH"/>
        </w:rPr>
        <w:t>-</w:t>
      </w:r>
      <w:r w:rsidR="00294703">
        <w:rPr>
          <w:lang w:val="fr-CH"/>
        </w:rPr>
        <w:t>6</w:t>
      </w:r>
      <w:r w:rsidRPr="00944671">
        <w:rPr>
          <w:lang w:val="fr-CH"/>
        </w:rPr>
        <w:tab/>
        <w:t>4</w:t>
      </w:r>
    </w:p>
    <w:p w14:paraId="7BF551EE" w14:textId="53CF1919" w:rsidR="00201168" w:rsidRPr="00944671" w:rsidRDefault="00CF68B0" w:rsidP="00201168">
      <w:pPr>
        <w:tabs>
          <w:tab w:val="right" w:pos="850"/>
          <w:tab w:val="left" w:pos="1134"/>
          <w:tab w:val="left" w:pos="1559"/>
          <w:tab w:val="left" w:pos="1984"/>
          <w:tab w:val="left" w:leader="dot" w:pos="7654"/>
          <w:tab w:val="right" w:pos="8929"/>
          <w:tab w:val="right" w:pos="9638"/>
        </w:tabs>
        <w:spacing w:after="120"/>
      </w:pPr>
      <w:r w:rsidRPr="00944671">
        <w:tab/>
      </w:r>
      <w:r w:rsidR="00201168" w:rsidRPr="00944671">
        <w:t>I</w:t>
      </w:r>
      <w:r w:rsidR="00317101" w:rsidRPr="00944671">
        <w:t>I</w:t>
      </w:r>
      <w:r w:rsidR="00201168" w:rsidRPr="00944671">
        <w:t>I.</w:t>
      </w:r>
      <w:r w:rsidR="00201168" w:rsidRPr="00944671">
        <w:tab/>
      </w:r>
      <w:r w:rsidR="008A739E" w:rsidRPr="00944671">
        <w:t>Adoption of the agenda (agenda item 1)</w:t>
      </w:r>
      <w:r w:rsidR="00201168" w:rsidRPr="00944671">
        <w:tab/>
      </w:r>
      <w:r w:rsidR="00201168" w:rsidRPr="00944671">
        <w:tab/>
      </w:r>
      <w:r w:rsidR="00294703">
        <w:t>7</w:t>
      </w:r>
      <w:r w:rsidR="00201168" w:rsidRPr="00944671">
        <w:tab/>
      </w:r>
      <w:r w:rsidR="00945BBC" w:rsidRPr="00944671">
        <w:t>5</w:t>
      </w:r>
    </w:p>
    <w:p w14:paraId="0D5523E1" w14:textId="33462ED2" w:rsidR="00201168" w:rsidRPr="00944671" w:rsidRDefault="00201168" w:rsidP="00201168">
      <w:pPr>
        <w:tabs>
          <w:tab w:val="right" w:pos="850"/>
          <w:tab w:val="left" w:pos="1134"/>
          <w:tab w:val="left" w:pos="1984"/>
          <w:tab w:val="left" w:leader="dot" w:pos="7654"/>
          <w:tab w:val="right" w:pos="8929"/>
          <w:tab w:val="right" w:pos="9638"/>
        </w:tabs>
        <w:spacing w:after="120"/>
        <w:ind w:left="1134" w:hanging="534"/>
      </w:pPr>
      <w:r w:rsidRPr="00944671">
        <w:t>I</w:t>
      </w:r>
      <w:r w:rsidR="00317101" w:rsidRPr="00944671">
        <w:t>V</w:t>
      </w:r>
      <w:r w:rsidRPr="00944671">
        <w:t>.</w:t>
      </w:r>
      <w:r w:rsidRPr="00944671">
        <w:tab/>
      </w:r>
      <w:r w:rsidR="008A739E" w:rsidRPr="00944671">
        <w:t>Tanks (agenda item 2)</w:t>
      </w:r>
      <w:r w:rsidRPr="00944671">
        <w:tab/>
      </w:r>
      <w:r w:rsidRPr="00944671">
        <w:tab/>
      </w:r>
      <w:r w:rsidR="00D64E9E">
        <w:t>8</w:t>
      </w:r>
      <w:r w:rsidR="00CF68B0" w:rsidRPr="00944671">
        <w:t>-</w:t>
      </w:r>
      <w:r w:rsidR="003742E3" w:rsidRPr="00944671">
        <w:t>1</w:t>
      </w:r>
      <w:r w:rsidR="00D64E9E">
        <w:t>3</w:t>
      </w:r>
      <w:r w:rsidRPr="00944671">
        <w:tab/>
      </w:r>
      <w:r w:rsidR="00374366" w:rsidRPr="00944671">
        <w:t>5</w:t>
      </w:r>
    </w:p>
    <w:p w14:paraId="5D8BDDD9" w14:textId="70B27197" w:rsidR="00CF68B0" w:rsidRPr="00944671" w:rsidRDefault="00CF68B0" w:rsidP="00201168">
      <w:pPr>
        <w:tabs>
          <w:tab w:val="right" w:pos="850"/>
          <w:tab w:val="left" w:pos="1134"/>
          <w:tab w:val="left" w:pos="1984"/>
          <w:tab w:val="left" w:leader="dot" w:pos="7654"/>
          <w:tab w:val="right" w:pos="8929"/>
          <w:tab w:val="right" w:pos="9638"/>
        </w:tabs>
        <w:spacing w:after="120"/>
        <w:ind w:left="1134" w:hanging="534"/>
      </w:pPr>
      <w:r w:rsidRPr="00944671">
        <w:tab/>
      </w:r>
      <w:r w:rsidRPr="00944671">
        <w:tab/>
        <w:t>Report of the Working Group on Tanks</w:t>
      </w:r>
      <w:r w:rsidRPr="00944671">
        <w:tab/>
      </w:r>
      <w:r w:rsidRPr="00944671">
        <w:tab/>
      </w:r>
      <w:r w:rsidR="00D64E9E">
        <w:t>10</w:t>
      </w:r>
      <w:r w:rsidR="003742E3" w:rsidRPr="00944671">
        <w:t>-1</w:t>
      </w:r>
      <w:r w:rsidR="00D64E9E">
        <w:t>3</w:t>
      </w:r>
      <w:r w:rsidRPr="00944671">
        <w:tab/>
      </w:r>
      <w:r w:rsidR="00ED1F99">
        <w:t>5</w:t>
      </w:r>
    </w:p>
    <w:p w14:paraId="50CDCF45" w14:textId="60322C02" w:rsidR="00201168" w:rsidRPr="00944671" w:rsidRDefault="00201168" w:rsidP="003742E3">
      <w:pPr>
        <w:tabs>
          <w:tab w:val="right" w:pos="850"/>
          <w:tab w:val="left" w:pos="1134"/>
          <w:tab w:val="left" w:pos="1559"/>
          <w:tab w:val="left" w:pos="1984"/>
          <w:tab w:val="left" w:leader="dot" w:pos="7654"/>
          <w:tab w:val="right" w:pos="8929"/>
          <w:tab w:val="right" w:pos="9638"/>
        </w:tabs>
        <w:spacing w:after="120"/>
        <w:ind w:left="1980" w:hanging="1380"/>
      </w:pPr>
      <w:r w:rsidRPr="00944671">
        <w:tab/>
        <w:t>V.</w:t>
      </w:r>
      <w:r w:rsidRPr="00944671">
        <w:tab/>
      </w:r>
      <w:r w:rsidR="008A739E" w:rsidRPr="00944671">
        <w:t>Standards (agenda item 3)</w:t>
      </w:r>
      <w:r w:rsidRPr="00944671">
        <w:tab/>
      </w:r>
      <w:r w:rsidRPr="00944671">
        <w:tab/>
      </w:r>
      <w:r w:rsidR="003742E3" w:rsidRPr="00944671">
        <w:t>1</w:t>
      </w:r>
      <w:r w:rsidR="00D64E9E">
        <w:t>4</w:t>
      </w:r>
      <w:r w:rsidR="003742E3" w:rsidRPr="00944671">
        <w:t>-1</w:t>
      </w:r>
      <w:r w:rsidR="00D64E9E">
        <w:t>7</w:t>
      </w:r>
      <w:r w:rsidRPr="00944671">
        <w:tab/>
      </w:r>
      <w:r w:rsidR="0007643F" w:rsidRPr="00944671">
        <w:t>6</w:t>
      </w:r>
    </w:p>
    <w:p w14:paraId="58F12250" w14:textId="122C49FC" w:rsidR="003742E3" w:rsidRPr="00944671" w:rsidRDefault="003742E3" w:rsidP="003742E3">
      <w:pPr>
        <w:tabs>
          <w:tab w:val="right" w:pos="850"/>
          <w:tab w:val="left" w:pos="1134"/>
          <w:tab w:val="left" w:pos="1984"/>
          <w:tab w:val="left" w:leader="dot" w:pos="7654"/>
          <w:tab w:val="right" w:pos="8929"/>
          <w:tab w:val="right" w:pos="9638"/>
        </w:tabs>
        <w:spacing w:after="120"/>
        <w:ind w:left="1134" w:hanging="534"/>
      </w:pPr>
      <w:r w:rsidRPr="00944671">
        <w:tab/>
      </w:r>
      <w:r w:rsidRPr="00944671">
        <w:tab/>
        <w:t xml:space="preserve">Report of the Working Group on </w:t>
      </w:r>
      <w:r w:rsidR="00A01117" w:rsidRPr="00944671">
        <w:t>S</w:t>
      </w:r>
      <w:r w:rsidRPr="00944671">
        <w:t>tandards</w:t>
      </w:r>
      <w:r w:rsidRPr="00944671">
        <w:tab/>
      </w:r>
      <w:r w:rsidRPr="00944671">
        <w:tab/>
        <w:t>17</w:t>
      </w:r>
      <w:r w:rsidRPr="00944671">
        <w:tab/>
      </w:r>
      <w:r w:rsidR="00AE164D" w:rsidRPr="00944671">
        <w:t>6</w:t>
      </w:r>
    </w:p>
    <w:p w14:paraId="029566C2" w14:textId="4717B181" w:rsidR="00201168" w:rsidRPr="00944671" w:rsidRDefault="00201168" w:rsidP="00321DE3">
      <w:pPr>
        <w:tabs>
          <w:tab w:val="right" w:pos="850"/>
          <w:tab w:val="left" w:pos="1134"/>
          <w:tab w:val="left" w:pos="1559"/>
          <w:tab w:val="left" w:leader="dot" w:pos="7654"/>
          <w:tab w:val="right" w:pos="8929"/>
          <w:tab w:val="right" w:pos="9638"/>
        </w:tabs>
        <w:spacing w:after="120"/>
        <w:ind w:left="1134" w:hanging="1134"/>
      </w:pPr>
      <w:r w:rsidRPr="00944671">
        <w:tab/>
        <w:t>V</w:t>
      </w:r>
      <w:r w:rsidR="00317101" w:rsidRPr="00944671">
        <w:t>I</w:t>
      </w:r>
      <w:r w:rsidRPr="00944671">
        <w:t>.</w:t>
      </w:r>
      <w:r w:rsidRPr="00944671">
        <w:tab/>
      </w:r>
      <w:r w:rsidR="008D545A" w:rsidRPr="00944671">
        <w:t xml:space="preserve">Harmonization with the United Nations Recommendations on the Transport of </w:t>
      </w:r>
      <w:r w:rsidR="00321DE3" w:rsidRPr="00944671">
        <w:br/>
      </w:r>
      <w:r w:rsidR="008D545A" w:rsidRPr="00944671">
        <w:t>Dangerous Goods (agenda item 4)</w:t>
      </w:r>
      <w:r w:rsidRPr="00944671">
        <w:tab/>
      </w:r>
      <w:r w:rsidRPr="00944671">
        <w:tab/>
      </w:r>
      <w:r w:rsidR="003742E3" w:rsidRPr="00944671">
        <w:t>18-21</w:t>
      </w:r>
      <w:r w:rsidRPr="00944671">
        <w:tab/>
      </w:r>
      <w:r w:rsidR="00AE164D" w:rsidRPr="00944671">
        <w:t>7</w:t>
      </w:r>
    </w:p>
    <w:p w14:paraId="51F8B87F" w14:textId="4CC9342B" w:rsidR="00CF68B0" w:rsidRPr="00944671" w:rsidRDefault="00CF68B0" w:rsidP="00BC2ECA">
      <w:pPr>
        <w:tabs>
          <w:tab w:val="right" w:pos="850"/>
          <w:tab w:val="left" w:pos="1134"/>
          <w:tab w:val="left" w:pos="1701"/>
          <w:tab w:val="left" w:leader="dot" w:pos="7654"/>
          <w:tab w:val="right" w:pos="8929"/>
          <w:tab w:val="right" w:pos="9638"/>
        </w:tabs>
        <w:spacing w:after="120"/>
        <w:ind w:left="1134" w:hanging="1134"/>
      </w:pPr>
      <w:r w:rsidRPr="00944671">
        <w:tab/>
      </w:r>
      <w:r w:rsidRPr="00944671">
        <w:tab/>
        <w:t>A.</w:t>
      </w:r>
      <w:r w:rsidRPr="00944671">
        <w:tab/>
        <w:t xml:space="preserve">Report of the Ad Hoc Working Group on the Harmonization </w:t>
      </w:r>
      <w:r w:rsidRPr="00944671">
        <w:br/>
      </w:r>
      <w:r w:rsidRPr="00944671">
        <w:tab/>
        <w:t>of RID/ADR/</w:t>
      </w:r>
      <w:r w:rsidR="00982AEC" w:rsidRPr="00944671">
        <w:t>A</w:t>
      </w:r>
      <w:r w:rsidR="00D64E9E">
        <w:t>D</w:t>
      </w:r>
      <w:r w:rsidR="00982AEC" w:rsidRPr="00944671">
        <w:t xml:space="preserve">N </w:t>
      </w:r>
      <w:r w:rsidRPr="00944671">
        <w:t xml:space="preserve">with the United Nations Recommendations </w:t>
      </w:r>
      <w:r w:rsidRPr="00944671">
        <w:br/>
      </w:r>
      <w:r w:rsidRPr="00944671">
        <w:tab/>
        <w:t>on the Transport of Dangerous Goods</w:t>
      </w:r>
      <w:r w:rsidRPr="00944671">
        <w:tab/>
      </w:r>
      <w:r w:rsidRPr="00944671">
        <w:tab/>
      </w:r>
      <w:r w:rsidR="003742E3" w:rsidRPr="00944671">
        <w:t>18</w:t>
      </w:r>
      <w:r w:rsidRPr="00944671">
        <w:tab/>
      </w:r>
      <w:r w:rsidR="00AE164D" w:rsidRPr="00944671">
        <w:t>7</w:t>
      </w:r>
    </w:p>
    <w:p w14:paraId="10F2F134" w14:textId="11E12057" w:rsidR="00CF68B0" w:rsidRPr="00944671" w:rsidRDefault="00CF68B0" w:rsidP="00BC2ECA">
      <w:pPr>
        <w:tabs>
          <w:tab w:val="right" w:pos="850"/>
          <w:tab w:val="left" w:pos="1134"/>
          <w:tab w:val="left" w:pos="1701"/>
          <w:tab w:val="left" w:leader="dot" w:pos="7654"/>
          <w:tab w:val="right" w:pos="8929"/>
          <w:tab w:val="right" w:pos="9638"/>
        </w:tabs>
        <w:spacing w:after="120"/>
        <w:ind w:left="1134" w:hanging="1134"/>
      </w:pPr>
      <w:r w:rsidRPr="00944671">
        <w:tab/>
      </w:r>
      <w:r w:rsidRPr="00944671">
        <w:tab/>
        <w:t>B.</w:t>
      </w:r>
      <w:r w:rsidRPr="00944671">
        <w:tab/>
        <w:t>New special provisions 393 and 394, chemical stability of nitrocellulose</w:t>
      </w:r>
      <w:r w:rsidRPr="00944671">
        <w:tab/>
      </w:r>
      <w:r w:rsidRPr="00944671">
        <w:tab/>
      </w:r>
      <w:r w:rsidR="003742E3" w:rsidRPr="00944671">
        <w:t>19-20</w:t>
      </w:r>
      <w:r w:rsidRPr="00944671">
        <w:tab/>
      </w:r>
      <w:r w:rsidR="00AE164D" w:rsidRPr="00944671">
        <w:t>9</w:t>
      </w:r>
    </w:p>
    <w:p w14:paraId="75F1BC91" w14:textId="04A251EC" w:rsidR="00CF68B0" w:rsidRPr="00944671" w:rsidRDefault="00CF68B0" w:rsidP="00BC2ECA">
      <w:pPr>
        <w:tabs>
          <w:tab w:val="right" w:pos="850"/>
          <w:tab w:val="left" w:pos="1134"/>
          <w:tab w:val="left" w:pos="1701"/>
          <w:tab w:val="left" w:leader="dot" w:pos="7654"/>
          <w:tab w:val="right" w:pos="8929"/>
          <w:tab w:val="right" w:pos="9638"/>
        </w:tabs>
        <w:spacing w:after="120"/>
        <w:ind w:left="1134" w:hanging="1134"/>
      </w:pPr>
      <w:r w:rsidRPr="00944671">
        <w:lastRenderedPageBreak/>
        <w:tab/>
      </w:r>
      <w:r w:rsidRPr="00944671">
        <w:tab/>
        <w:t>C.</w:t>
      </w:r>
      <w:r w:rsidRPr="00944671">
        <w:tab/>
      </w:r>
      <w:r w:rsidRPr="00944671">
        <w:rPr>
          <w:lang w:val="fr-CH"/>
        </w:rPr>
        <w:t xml:space="preserve">Use of the </w:t>
      </w:r>
      <w:proofErr w:type="spellStart"/>
      <w:r w:rsidRPr="00944671">
        <w:rPr>
          <w:lang w:val="fr-CH"/>
        </w:rPr>
        <w:t>term</w:t>
      </w:r>
      <w:proofErr w:type="spellEnd"/>
      <w:r w:rsidRPr="00944671">
        <w:rPr>
          <w:lang w:val="fr-CH"/>
        </w:rPr>
        <w:t xml:space="preserve"> “</w:t>
      </w:r>
      <w:proofErr w:type="spellStart"/>
      <w:r w:rsidRPr="00944671">
        <w:rPr>
          <w:lang w:val="fr-CH"/>
        </w:rPr>
        <w:t>conveyance</w:t>
      </w:r>
      <w:proofErr w:type="spellEnd"/>
      <w:r w:rsidRPr="00944671">
        <w:rPr>
          <w:lang w:val="fr-CH"/>
        </w:rPr>
        <w:t>”</w:t>
      </w:r>
      <w:r w:rsidRPr="00944671">
        <w:rPr>
          <w:lang w:val="fr-CH"/>
        </w:rPr>
        <w:tab/>
      </w:r>
      <w:r w:rsidRPr="00944671">
        <w:rPr>
          <w:lang w:val="fr-CH"/>
        </w:rPr>
        <w:tab/>
      </w:r>
      <w:r w:rsidR="003742E3" w:rsidRPr="00944671">
        <w:rPr>
          <w:lang w:val="fr-CH"/>
        </w:rPr>
        <w:t>21</w:t>
      </w:r>
      <w:r w:rsidRPr="00944671">
        <w:rPr>
          <w:lang w:val="fr-CH"/>
        </w:rPr>
        <w:tab/>
      </w:r>
      <w:r w:rsidR="00AE164D" w:rsidRPr="00944671">
        <w:rPr>
          <w:lang w:val="fr-CH"/>
        </w:rPr>
        <w:t>9</w:t>
      </w:r>
    </w:p>
    <w:p w14:paraId="06D92206" w14:textId="7301704F" w:rsidR="00201168" w:rsidRPr="00944671" w:rsidRDefault="00201168" w:rsidP="00201168">
      <w:pPr>
        <w:tabs>
          <w:tab w:val="right" w:pos="850"/>
          <w:tab w:val="left" w:pos="1134"/>
          <w:tab w:val="left" w:pos="1559"/>
          <w:tab w:val="left" w:pos="1984"/>
          <w:tab w:val="left" w:leader="dot" w:pos="7654"/>
          <w:tab w:val="right" w:pos="8929"/>
          <w:tab w:val="right" w:pos="9638"/>
        </w:tabs>
        <w:spacing w:after="120"/>
        <w:ind w:left="1980" w:hanging="1980"/>
      </w:pPr>
      <w:r w:rsidRPr="00944671">
        <w:tab/>
        <w:t>V</w:t>
      </w:r>
      <w:r w:rsidR="00317101" w:rsidRPr="00944671">
        <w:t>I</w:t>
      </w:r>
      <w:r w:rsidRPr="00944671">
        <w:t>I.</w:t>
      </w:r>
      <w:r w:rsidRPr="00944671">
        <w:tab/>
      </w:r>
      <w:r w:rsidR="008A739E" w:rsidRPr="00944671">
        <w:t>Proposals for amendments to RID/ADR/ADN (agenda item 5)</w:t>
      </w:r>
      <w:r w:rsidRPr="00944671">
        <w:tab/>
      </w:r>
      <w:r w:rsidRPr="00944671">
        <w:tab/>
      </w:r>
      <w:r w:rsidR="003742E3" w:rsidRPr="00944671">
        <w:t>22-44</w:t>
      </w:r>
      <w:r w:rsidRPr="00944671">
        <w:tab/>
      </w:r>
      <w:r w:rsidR="0007643F" w:rsidRPr="00944671">
        <w:t>1</w:t>
      </w:r>
      <w:r w:rsidR="00AE164D" w:rsidRPr="00944671">
        <w:t>0</w:t>
      </w:r>
    </w:p>
    <w:p w14:paraId="23E69C34" w14:textId="05D865DE" w:rsidR="00CF68B0" w:rsidRPr="00944671" w:rsidRDefault="00201168" w:rsidP="00BC2ECA">
      <w:pPr>
        <w:tabs>
          <w:tab w:val="right" w:pos="850"/>
          <w:tab w:val="left" w:pos="1134"/>
          <w:tab w:val="left" w:pos="1701"/>
          <w:tab w:val="left" w:leader="dot" w:pos="7654"/>
          <w:tab w:val="right" w:pos="8929"/>
          <w:tab w:val="right" w:pos="9638"/>
        </w:tabs>
        <w:spacing w:after="120"/>
        <w:ind w:left="1134" w:hanging="1134"/>
      </w:pPr>
      <w:r w:rsidRPr="00944671">
        <w:tab/>
      </w:r>
      <w:r w:rsidRPr="00944671">
        <w:tab/>
        <w:t>A.</w:t>
      </w:r>
      <w:r w:rsidRPr="00944671">
        <w:tab/>
      </w:r>
      <w:r w:rsidR="008A739E" w:rsidRPr="00944671">
        <w:t>Pending issue</w:t>
      </w:r>
      <w:r w:rsidR="00CF68B0" w:rsidRPr="00944671">
        <w:t>s</w:t>
      </w:r>
      <w:r w:rsidR="003742E3" w:rsidRPr="00944671">
        <w:tab/>
      </w:r>
      <w:r w:rsidR="003742E3" w:rsidRPr="00944671">
        <w:tab/>
        <w:t>22-24</w:t>
      </w:r>
      <w:r w:rsidR="003742E3" w:rsidRPr="00944671">
        <w:tab/>
      </w:r>
      <w:r w:rsidR="00AE164D" w:rsidRPr="00944671">
        <w:t>10</w:t>
      </w:r>
    </w:p>
    <w:p w14:paraId="2CA4B87B" w14:textId="00245849" w:rsidR="00CF68B0" w:rsidRPr="00944671" w:rsidRDefault="00CF68B0"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00BB4887" w:rsidRPr="00944671">
        <w:tab/>
      </w:r>
      <w:r w:rsidRPr="00944671">
        <w:t>1.</w:t>
      </w:r>
      <w:r w:rsidRPr="00944671">
        <w:tab/>
        <w:t>Proposal of amendment to 5.4.1.1.1</w:t>
      </w:r>
      <w:r w:rsidRPr="00944671">
        <w:tab/>
      </w:r>
      <w:r w:rsidRPr="00944671">
        <w:tab/>
      </w:r>
      <w:r w:rsidR="003742E3" w:rsidRPr="00944671">
        <w:t>22</w:t>
      </w:r>
      <w:r w:rsidRPr="00944671">
        <w:tab/>
      </w:r>
      <w:r w:rsidR="00AE164D" w:rsidRPr="00944671">
        <w:t>10</w:t>
      </w:r>
    </w:p>
    <w:p w14:paraId="2CD2AC5B" w14:textId="0FEC46C2" w:rsidR="00CF68B0" w:rsidRPr="00944671" w:rsidRDefault="00CF68B0"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00BB4887" w:rsidRPr="00944671">
        <w:tab/>
      </w:r>
      <w:r w:rsidRPr="00944671">
        <w:t>2.</w:t>
      </w:r>
      <w:r w:rsidRPr="00944671">
        <w:tab/>
        <w:t>Marking of wagons and containers loaded with limited quantities</w:t>
      </w:r>
      <w:r w:rsidRPr="00944671">
        <w:tab/>
      </w:r>
      <w:r w:rsidRPr="00944671">
        <w:tab/>
      </w:r>
      <w:r w:rsidR="003742E3" w:rsidRPr="00944671">
        <w:t>23</w:t>
      </w:r>
      <w:r w:rsidRPr="00944671">
        <w:tab/>
      </w:r>
      <w:r w:rsidR="00AE164D" w:rsidRPr="00944671">
        <w:t>10</w:t>
      </w:r>
    </w:p>
    <w:p w14:paraId="5CA0C1BD" w14:textId="5A52C8BC" w:rsidR="00CF68B0" w:rsidRPr="00944671" w:rsidRDefault="00CF68B0"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00BB4887" w:rsidRPr="00944671">
        <w:tab/>
      </w:r>
      <w:r w:rsidRPr="00944671">
        <w:t>3.</w:t>
      </w:r>
      <w:r w:rsidRPr="00944671">
        <w:tab/>
        <w:t>Online refresher training for drivers of dangerous goods</w:t>
      </w:r>
      <w:r w:rsidRPr="00944671">
        <w:tab/>
      </w:r>
      <w:r w:rsidRPr="00944671">
        <w:tab/>
      </w:r>
      <w:r w:rsidR="003742E3" w:rsidRPr="00944671">
        <w:t>24</w:t>
      </w:r>
      <w:r w:rsidRPr="00944671">
        <w:tab/>
      </w:r>
      <w:r w:rsidR="00AE164D" w:rsidRPr="00944671">
        <w:t>10</w:t>
      </w:r>
    </w:p>
    <w:p w14:paraId="7B52B417" w14:textId="5397E2F3" w:rsidR="00201168" w:rsidRPr="00944671" w:rsidRDefault="00201168" w:rsidP="00BC2ECA">
      <w:pPr>
        <w:tabs>
          <w:tab w:val="right" w:pos="850"/>
          <w:tab w:val="left" w:pos="1134"/>
          <w:tab w:val="left" w:pos="1701"/>
          <w:tab w:val="left" w:leader="dot" w:pos="7654"/>
          <w:tab w:val="right" w:pos="8929"/>
          <w:tab w:val="right" w:pos="9638"/>
        </w:tabs>
        <w:spacing w:after="120"/>
        <w:ind w:left="1134" w:hanging="1134"/>
      </w:pPr>
      <w:r w:rsidRPr="00944671">
        <w:tab/>
      </w:r>
      <w:r w:rsidRPr="00944671">
        <w:tab/>
        <w:t>B.</w:t>
      </w:r>
      <w:r w:rsidRPr="00944671">
        <w:tab/>
      </w:r>
      <w:r w:rsidR="008A739E" w:rsidRPr="00944671">
        <w:t>New proposals</w:t>
      </w:r>
      <w:r w:rsidRPr="00944671">
        <w:tab/>
      </w:r>
      <w:r w:rsidRPr="00944671">
        <w:tab/>
      </w:r>
      <w:r w:rsidR="003742E3" w:rsidRPr="00944671">
        <w:t>25-44</w:t>
      </w:r>
      <w:r w:rsidRPr="00944671">
        <w:tab/>
      </w:r>
      <w:r w:rsidR="0007643F" w:rsidRPr="00944671">
        <w:t>1</w:t>
      </w:r>
      <w:r w:rsidR="00AE164D" w:rsidRPr="00944671">
        <w:t>0</w:t>
      </w:r>
    </w:p>
    <w:p w14:paraId="33A44167" w14:textId="3159D1D8" w:rsidR="00CF68B0" w:rsidRPr="00944671" w:rsidRDefault="00CF68B0"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00BB4887" w:rsidRPr="00944671">
        <w:tab/>
      </w:r>
      <w:r w:rsidRPr="00944671">
        <w:t>1.</w:t>
      </w:r>
      <w:r w:rsidRPr="00944671">
        <w:tab/>
        <w:t xml:space="preserve">UN No. 3082 Environmentally hazardous substance, liquid, </w:t>
      </w:r>
      <w:proofErr w:type="spellStart"/>
      <w:r w:rsidRPr="00944671">
        <w:t>n.o.s</w:t>
      </w:r>
      <w:proofErr w:type="spellEnd"/>
      <w:r w:rsidRPr="00944671">
        <w:t>.</w:t>
      </w:r>
      <w:r w:rsidRPr="00944671">
        <w:tab/>
      </w:r>
      <w:r w:rsidRPr="00944671">
        <w:tab/>
      </w:r>
      <w:r w:rsidR="003742E3" w:rsidRPr="00944671">
        <w:t>25</w:t>
      </w:r>
      <w:r w:rsidRPr="00944671">
        <w:tab/>
      </w:r>
      <w:r w:rsidR="00AE164D" w:rsidRPr="00944671">
        <w:t>10</w:t>
      </w:r>
    </w:p>
    <w:p w14:paraId="461057C7" w14:textId="2BAB7BC6" w:rsidR="00CF68B0" w:rsidRPr="00944671" w:rsidRDefault="00CF68B0"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00BB4887" w:rsidRPr="00944671">
        <w:tab/>
      </w:r>
      <w:r w:rsidRPr="00944671">
        <w:tab/>
        <w:t>2.</w:t>
      </w:r>
      <w:r w:rsidRPr="00944671">
        <w:tab/>
        <w:t>Carriage in a transport chain including maritime carriage</w:t>
      </w:r>
      <w:r w:rsidRPr="00944671">
        <w:tab/>
      </w:r>
      <w:r w:rsidRPr="00944671">
        <w:tab/>
      </w:r>
      <w:r w:rsidR="003742E3" w:rsidRPr="00944671">
        <w:t>26</w:t>
      </w:r>
      <w:r w:rsidRPr="00944671">
        <w:tab/>
      </w:r>
      <w:r w:rsidR="00AE164D" w:rsidRPr="00944671">
        <w:t>10</w:t>
      </w:r>
    </w:p>
    <w:p w14:paraId="7135B367" w14:textId="4440D27C" w:rsidR="00CF68B0" w:rsidRPr="00944671" w:rsidRDefault="00CF68B0"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00BB4887" w:rsidRPr="00944671">
        <w:tab/>
      </w:r>
      <w:r w:rsidRPr="00944671">
        <w:t>3.</w:t>
      </w:r>
      <w:r w:rsidRPr="00944671">
        <w:tab/>
        <w:t xml:space="preserve">Classification of substances of Class 9 other than </w:t>
      </w:r>
      <w:r w:rsidRPr="00944671">
        <w:br/>
      </w:r>
      <w:r w:rsidR="00BB4887" w:rsidRPr="00944671">
        <w:tab/>
      </w:r>
      <w:r w:rsidRPr="00944671">
        <w:t>environmentally hazardous substances</w:t>
      </w:r>
      <w:r w:rsidRPr="00944671">
        <w:tab/>
      </w:r>
      <w:r w:rsidRPr="00944671">
        <w:tab/>
      </w:r>
      <w:r w:rsidR="003742E3" w:rsidRPr="00944671">
        <w:t>27</w:t>
      </w:r>
      <w:r w:rsidRPr="00944671">
        <w:tab/>
      </w:r>
      <w:r w:rsidR="00AE164D" w:rsidRPr="00944671">
        <w:t>1</w:t>
      </w:r>
      <w:r w:rsidR="00804176">
        <w:t>1</w:t>
      </w:r>
    </w:p>
    <w:p w14:paraId="29DC8327" w14:textId="369EBDD8" w:rsidR="00CF68B0" w:rsidRPr="00944671" w:rsidRDefault="00CF68B0"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00BB4887" w:rsidRPr="00944671">
        <w:tab/>
      </w:r>
      <w:r w:rsidRPr="00944671">
        <w:t>4.</w:t>
      </w:r>
      <w:r w:rsidRPr="00944671">
        <w:tab/>
        <w:t>Proposal of amendment to Chapter 1.2 of RID/ADR</w:t>
      </w:r>
      <w:r w:rsidRPr="00944671">
        <w:tab/>
      </w:r>
      <w:r w:rsidRPr="00944671">
        <w:tab/>
      </w:r>
      <w:r w:rsidR="003742E3" w:rsidRPr="00944671">
        <w:t>28</w:t>
      </w:r>
      <w:r w:rsidRPr="00944671">
        <w:tab/>
      </w:r>
      <w:r w:rsidR="00AE164D" w:rsidRPr="00944671">
        <w:t>11</w:t>
      </w:r>
    </w:p>
    <w:p w14:paraId="48EDABAE" w14:textId="48F2DA82" w:rsidR="00CF68B0" w:rsidRPr="00944671" w:rsidRDefault="00CF68B0"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00BB4887" w:rsidRPr="00944671">
        <w:tab/>
      </w:r>
      <w:r w:rsidRPr="00944671">
        <w:t>5.</w:t>
      </w:r>
      <w:r w:rsidRPr="00944671">
        <w:tab/>
        <w:t>Amendment of section 1.2.1: Definition</w:t>
      </w:r>
      <w:r w:rsidRPr="00944671">
        <w:tab/>
      </w:r>
      <w:r w:rsidRPr="00944671">
        <w:tab/>
      </w:r>
      <w:r w:rsidR="003742E3" w:rsidRPr="00944671">
        <w:t>29</w:t>
      </w:r>
      <w:r w:rsidRPr="00944671">
        <w:tab/>
      </w:r>
      <w:r w:rsidR="00AE164D" w:rsidRPr="00944671">
        <w:t>11</w:t>
      </w:r>
    </w:p>
    <w:p w14:paraId="1710B7D3" w14:textId="79D7C22D" w:rsidR="00CF68B0" w:rsidRPr="00944671" w:rsidRDefault="00BB4887"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6.</w:t>
      </w:r>
      <w:r w:rsidR="00CF68B0" w:rsidRPr="00944671">
        <w:tab/>
        <w:t xml:space="preserve">Updating of references to UIC technical documentation regarding </w:t>
      </w:r>
      <w:r w:rsidRPr="00944671">
        <w:br/>
      </w:r>
      <w:r w:rsidRPr="00944671">
        <w:tab/>
      </w:r>
      <w:r w:rsidR="00CF68B0" w:rsidRPr="00944671">
        <w:t>combined transport</w:t>
      </w:r>
      <w:r w:rsidR="00CF68B0" w:rsidRPr="00944671">
        <w:tab/>
      </w:r>
      <w:r w:rsidR="00CF68B0" w:rsidRPr="00944671">
        <w:tab/>
      </w:r>
      <w:r w:rsidR="003742E3" w:rsidRPr="00944671">
        <w:t>30</w:t>
      </w:r>
      <w:r w:rsidR="00CF68B0" w:rsidRPr="00944671">
        <w:tab/>
      </w:r>
      <w:r w:rsidR="00AE164D" w:rsidRPr="00944671">
        <w:t>11</w:t>
      </w:r>
    </w:p>
    <w:p w14:paraId="050DC1D0" w14:textId="14BA33EE" w:rsidR="00CF68B0" w:rsidRPr="00944671" w:rsidRDefault="00BB4887"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7.</w:t>
      </w:r>
      <w:r w:rsidR="00CF68B0" w:rsidRPr="00944671">
        <w:tab/>
        <w:t>Inclusion of UN No. 3358 in the list of collective entries</w:t>
      </w:r>
      <w:r w:rsidR="00CF68B0" w:rsidRPr="00944671">
        <w:tab/>
      </w:r>
      <w:r w:rsidR="00CF68B0" w:rsidRPr="00944671">
        <w:tab/>
      </w:r>
      <w:r w:rsidR="003742E3" w:rsidRPr="00944671">
        <w:t>31</w:t>
      </w:r>
      <w:r w:rsidR="00AE164D" w:rsidRPr="00944671">
        <w:tab/>
        <w:t>11</w:t>
      </w:r>
    </w:p>
    <w:p w14:paraId="76DC804A" w14:textId="0D5E5852"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8.</w:t>
      </w:r>
      <w:r w:rsidR="00CF68B0" w:rsidRPr="00944671">
        <w:tab/>
        <w:t>Amendment of special provision 591 in Chapter 3.3 of RID/ADR/A</w:t>
      </w:r>
      <w:r w:rsidR="00A77F06" w:rsidRPr="00944671">
        <w:t>DN</w:t>
      </w:r>
      <w:r w:rsidR="00CF68B0" w:rsidRPr="00944671">
        <w:tab/>
      </w:r>
      <w:r w:rsidR="003742E3" w:rsidRPr="00944671">
        <w:t>32</w:t>
      </w:r>
      <w:r w:rsidR="00CF68B0" w:rsidRPr="00944671">
        <w:tab/>
      </w:r>
      <w:r w:rsidR="00AE164D" w:rsidRPr="00944671">
        <w:t>11</w:t>
      </w:r>
    </w:p>
    <w:p w14:paraId="65B16686" w14:textId="19100C9B"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9.</w:t>
      </w:r>
      <w:r w:rsidR="00CF68B0" w:rsidRPr="00944671">
        <w:tab/>
        <w:t>Deletion of transitional provision 1.6.1.22 of RID/ADR/A</w:t>
      </w:r>
      <w:r w:rsidR="00A77F06" w:rsidRPr="00944671">
        <w:t>DN</w:t>
      </w:r>
      <w:r w:rsidR="00CF68B0" w:rsidRPr="00944671">
        <w:tab/>
      </w:r>
      <w:r w:rsidR="00CF68B0" w:rsidRPr="00944671">
        <w:tab/>
      </w:r>
      <w:r w:rsidR="003742E3" w:rsidRPr="00944671">
        <w:t>33</w:t>
      </w:r>
      <w:r w:rsidR="00AE164D" w:rsidRPr="00944671">
        <w:tab/>
      </w:r>
      <w:r w:rsidR="00592DFD" w:rsidRPr="00944671">
        <w:t>11</w:t>
      </w:r>
    </w:p>
    <w:p w14:paraId="2B30690A" w14:textId="2E1B6EF5"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10.</w:t>
      </w:r>
      <w:r w:rsidR="00CF68B0" w:rsidRPr="00944671">
        <w:tab/>
        <w:t xml:space="preserve">Separate assessment of valves and other demountable accessories having </w:t>
      </w:r>
      <w:r w:rsidR="00CF68B0" w:rsidRPr="00944671">
        <w:br/>
      </w:r>
      <w:r w:rsidRPr="00944671">
        <w:tab/>
      </w:r>
      <w:r w:rsidR="00CF68B0" w:rsidRPr="00944671">
        <w:t>a direct safety function on UN pressure receptacles</w:t>
      </w:r>
      <w:r w:rsidR="00CF68B0" w:rsidRPr="00944671">
        <w:tab/>
      </w:r>
      <w:r w:rsidR="00CF68B0" w:rsidRPr="00944671">
        <w:tab/>
      </w:r>
      <w:r w:rsidR="003742E3" w:rsidRPr="00944671">
        <w:t>34</w:t>
      </w:r>
      <w:r w:rsidR="00592DFD" w:rsidRPr="00944671">
        <w:tab/>
        <w:t>11</w:t>
      </w:r>
    </w:p>
    <w:p w14:paraId="70804404" w14:textId="41E216DC"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11.</w:t>
      </w:r>
      <w:r w:rsidR="00CF68B0" w:rsidRPr="00944671">
        <w:tab/>
        <w:t xml:space="preserve">Different names and description for UN numbers between </w:t>
      </w:r>
      <w:r w:rsidR="00CF68B0" w:rsidRPr="00944671">
        <w:br/>
      </w:r>
      <w:r w:rsidRPr="00944671">
        <w:tab/>
      </w:r>
      <w:r w:rsidR="00CF68B0" w:rsidRPr="00944671">
        <w:t>the Model Regulations and RID/ADR</w:t>
      </w:r>
      <w:r w:rsidR="00CF68B0" w:rsidRPr="00944671">
        <w:tab/>
      </w:r>
      <w:r w:rsidR="00CF68B0" w:rsidRPr="00944671">
        <w:tab/>
      </w:r>
      <w:r w:rsidR="003742E3" w:rsidRPr="00944671">
        <w:t>35</w:t>
      </w:r>
      <w:r w:rsidR="00592DFD" w:rsidRPr="00944671">
        <w:tab/>
        <w:t>1</w:t>
      </w:r>
      <w:r w:rsidR="00804176">
        <w:t>2</w:t>
      </w:r>
    </w:p>
    <w:p w14:paraId="48B4470D" w14:textId="1C0F4FEF"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12.</w:t>
      </w:r>
      <w:r w:rsidR="00CF68B0" w:rsidRPr="00944671">
        <w:tab/>
        <w:t>Harmonization of special provision 593 with 5.5.3</w:t>
      </w:r>
      <w:r w:rsidR="00CF68B0" w:rsidRPr="00944671">
        <w:tab/>
      </w:r>
      <w:r w:rsidR="00CF68B0" w:rsidRPr="00944671">
        <w:tab/>
      </w:r>
      <w:r w:rsidR="003742E3" w:rsidRPr="00944671">
        <w:t>36</w:t>
      </w:r>
      <w:r w:rsidR="00592DFD" w:rsidRPr="00944671">
        <w:tab/>
        <w:t>12</w:t>
      </w:r>
    </w:p>
    <w:p w14:paraId="280973E4" w14:textId="61F69E24"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13.</w:t>
      </w:r>
      <w:r w:rsidR="00CF68B0" w:rsidRPr="00944671">
        <w:tab/>
        <w:t xml:space="preserve">Consequential amendments related to the introduction </w:t>
      </w:r>
      <w:r w:rsidR="00CF68B0" w:rsidRPr="00944671">
        <w:br/>
      </w:r>
      <w:r w:rsidRPr="00944671">
        <w:tab/>
      </w:r>
      <w:r w:rsidR="00CF68B0" w:rsidRPr="00944671">
        <w:t>of “TEMPERATURE CONTROLLED” in 3.1.2.6</w:t>
      </w:r>
      <w:r w:rsidR="00CF68B0" w:rsidRPr="00944671">
        <w:tab/>
      </w:r>
      <w:r w:rsidR="00CF68B0" w:rsidRPr="00944671">
        <w:tab/>
      </w:r>
      <w:r w:rsidR="003742E3" w:rsidRPr="00944671">
        <w:t>37</w:t>
      </w:r>
      <w:r w:rsidR="00592DFD" w:rsidRPr="00944671">
        <w:tab/>
        <w:t>12</w:t>
      </w:r>
    </w:p>
    <w:p w14:paraId="0EC11EE6" w14:textId="59269D4C"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14.</w:t>
      </w:r>
      <w:r w:rsidR="00CF68B0" w:rsidRPr="00944671">
        <w:tab/>
        <w:t xml:space="preserve">Reference to “MOLTEN” as part of the proper shipping name </w:t>
      </w:r>
      <w:r w:rsidRPr="00944671">
        <w:br/>
      </w:r>
      <w:r w:rsidRPr="00944671">
        <w:tab/>
      </w:r>
      <w:r w:rsidR="00CF68B0" w:rsidRPr="00944671">
        <w:t>in the transport document</w:t>
      </w:r>
      <w:r w:rsidR="00CF68B0" w:rsidRPr="00944671">
        <w:tab/>
      </w:r>
      <w:r w:rsidR="00CF68B0" w:rsidRPr="00944671">
        <w:tab/>
      </w:r>
      <w:r w:rsidR="003742E3" w:rsidRPr="00944671">
        <w:t>38</w:t>
      </w:r>
      <w:r w:rsidR="00592DFD" w:rsidRPr="00944671">
        <w:tab/>
        <w:t>12</w:t>
      </w:r>
    </w:p>
    <w:p w14:paraId="416623D6" w14:textId="50C447A7"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15.</w:t>
      </w:r>
      <w:r w:rsidR="00CF68B0" w:rsidRPr="00944671">
        <w:tab/>
        <w:t xml:space="preserve">Carriage of “FERTILIZER AMMONIATING SOLUTION” </w:t>
      </w:r>
      <w:r w:rsidRPr="00944671">
        <w:br/>
      </w:r>
      <w:r w:rsidRPr="00944671">
        <w:tab/>
      </w:r>
      <w:r w:rsidR="00CF68B0" w:rsidRPr="00944671">
        <w:t>(UN No. 1043)</w:t>
      </w:r>
      <w:r w:rsidR="00CF68B0" w:rsidRPr="00944671">
        <w:tab/>
      </w:r>
      <w:r w:rsidR="00CF68B0" w:rsidRPr="00944671">
        <w:tab/>
      </w:r>
      <w:r w:rsidR="003742E3" w:rsidRPr="00944671">
        <w:t>39</w:t>
      </w:r>
      <w:r w:rsidR="00592DFD" w:rsidRPr="00944671">
        <w:tab/>
        <w:t>12</w:t>
      </w:r>
    </w:p>
    <w:p w14:paraId="3F5B27A0" w14:textId="5D9CA451" w:rsidR="00CF68B0"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CF68B0" w:rsidRPr="00944671">
        <w:t>16.</w:t>
      </w:r>
      <w:r w:rsidR="00CF68B0" w:rsidRPr="00944671">
        <w:tab/>
        <w:t xml:space="preserve">Proposal for a new designed flexible IBC for carriage of </w:t>
      </w:r>
      <w:r w:rsidR="00BB4887" w:rsidRPr="00944671">
        <w:br/>
      </w:r>
      <w:r w:rsidRPr="00944671">
        <w:tab/>
      </w:r>
      <w:r w:rsidR="00CF68B0" w:rsidRPr="00944671">
        <w:t xml:space="preserve">refined cobalt </w:t>
      </w:r>
      <w:proofErr w:type="spellStart"/>
      <w:r w:rsidR="00CF68B0" w:rsidRPr="00944671">
        <w:t>dihydroxide</w:t>
      </w:r>
      <w:proofErr w:type="spellEnd"/>
      <w:r w:rsidR="00CF68B0" w:rsidRPr="00944671">
        <w:t xml:space="preserve"> meeting the packing group I</w:t>
      </w:r>
      <w:r w:rsidR="00BB4887" w:rsidRPr="00944671">
        <w:br/>
      </w:r>
      <w:r w:rsidRPr="00944671">
        <w:tab/>
      </w:r>
      <w:r w:rsidR="00CF68B0" w:rsidRPr="00944671">
        <w:t>criteria for inhalation toxicity</w:t>
      </w:r>
      <w:r w:rsidR="00BB4887" w:rsidRPr="00944671">
        <w:tab/>
      </w:r>
      <w:r w:rsidR="00BB4887" w:rsidRPr="00944671">
        <w:tab/>
      </w:r>
      <w:r w:rsidR="003742E3" w:rsidRPr="00944671">
        <w:t>40</w:t>
      </w:r>
      <w:r w:rsidR="00592DFD" w:rsidRPr="00944671">
        <w:tab/>
        <w:t>12</w:t>
      </w:r>
    </w:p>
    <w:p w14:paraId="34E47A0D" w14:textId="54969488" w:rsidR="00BB4887"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BB4887" w:rsidRPr="00944671">
        <w:t>17.</w:t>
      </w:r>
      <w:r w:rsidR="00BB4887" w:rsidRPr="00944671">
        <w:tab/>
        <w:t>Classification of lead dioxide (UN No. 1872)</w:t>
      </w:r>
      <w:r w:rsidR="00BB4887" w:rsidRPr="00944671">
        <w:tab/>
      </w:r>
      <w:r w:rsidR="00BB4887" w:rsidRPr="00944671">
        <w:tab/>
      </w:r>
      <w:r w:rsidR="003742E3" w:rsidRPr="00944671">
        <w:t>41</w:t>
      </w:r>
      <w:r w:rsidR="00592DFD" w:rsidRPr="00944671">
        <w:tab/>
        <w:t>1</w:t>
      </w:r>
      <w:r w:rsidR="00804176">
        <w:t>3</w:t>
      </w:r>
    </w:p>
    <w:p w14:paraId="0C170E4F" w14:textId="6709DE50" w:rsidR="00BB4887"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BB4887" w:rsidRPr="00944671">
        <w:t>18.</w:t>
      </w:r>
      <w:r w:rsidR="00BB4887" w:rsidRPr="00944671">
        <w:tab/>
        <w:t xml:space="preserve">Proposal for amendment to the exemptions related to the nature of </w:t>
      </w:r>
      <w:r w:rsidR="00BB4887" w:rsidRPr="00944671">
        <w:br/>
      </w:r>
      <w:r w:rsidRPr="00944671">
        <w:tab/>
      </w:r>
      <w:r w:rsidR="00BB4887" w:rsidRPr="00944671">
        <w:t>the transport operation in 1.1.3.1</w:t>
      </w:r>
      <w:r w:rsidR="00BB4887" w:rsidRPr="00944671">
        <w:tab/>
      </w:r>
      <w:r w:rsidR="00BB4887" w:rsidRPr="00944671">
        <w:tab/>
      </w:r>
      <w:r w:rsidR="003742E3" w:rsidRPr="00944671">
        <w:t>42</w:t>
      </w:r>
      <w:r w:rsidR="00592DFD" w:rsidRPr="00944671">
        <w:tab/>
        <w:t>1</w:t>
      </w:r>
      <w:r w:rsidR="00804176">
        <w:t>3</w:t>
      </w:r>
    </w:p>
    <w:p w14:paraId="4C27601B" w14:textId="0AEC6E74" w:rsidR="00BB4887"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BB4887" w:rsidRPr="00944671">
        <w:t>19.</w:t>
      </w:r>
      <w:r w:rsidR="00BB4887" w:rsidRPr="00944671">
        <w:tab/>
        <w:t>Interpretation problem in ADR sub-section 7.5.2.3</w:t>
      </w:r>
      <w:r w:rsidR="00BB4887" w:rsidRPr="00944671">
        <w:tab/>
      </w:r>
      <w:r w:rsidR="00BB4887" w:rsidRPr="00944671">
        <w:tab/>
      </w:r>
      <w:r w:rsidR="003742E3" w:rsidRPr="00944671">
        <w:t>43</w:t>
      </w:r>
      <w:r w:rsidR="00592DFD" w:rsidRPr="00944671">
        <w:tab/>
        <w:t>13</w:t>
      </w:r>
    </w:p>
    <w:p w14:paraId="0AF1B153" w14:textId="1425BCFE" w:rsidR="00BB4887" w:rsidRPr="00944671" w:rsidRDefault="001C27D3" w:rsidP="00BB4887">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Pr="00944671">
        <w:tab/>
      </w:r>
      <w:r w:rsidRPr="00944671">
        <w:tab/>
      </w:r>
      <w:r w:rsidR="00BB4887" w:rsidRPr="00944671">
        <w:t>20.</w:t>
      </w:r>
      <w:r w:rsidR="00BB4887" w:rsidRPr="00944671">
        <w:tab/>
        <w:t>Provisions in 5.5.3 for dry ice (UN No. 1845) as a consignment</w:t>
      </w:r>
      <w:r w:rsidR="00BB4887" w:rsidRPr="00944671">
        <w:tab/>
      </w:r>
      <w:r w:rsidR="00BB4887" w:rsidRPr="00944671">
        <w:tab/>
      </w:r>
      <w:r w:rsidR="003742E3" w:rsidRPr="00944671">
        <w:t>44</w:t>
      </w:r>
      <w:r w:rsidR="00592DFD" w:rsidRPr="00944671">
        <w:tab/>
        <w:t>13</w:t>
      </w:r>
    </w:p>
    <w:p w14:paraId="1DC79849" w14:textId="193E8DB9" w:rsidR="00201168" w:rsidRPr="00944671" w:rsidRDefault="00201168" w:rsidP="00201168">
      <w:pPr>
        <w:tabs>
          <w:tab w:val="right" w:pos="850"/>
          <w:tab w:val="left" w:pos="1134"/>
          <w:tab w:val="left" w:leader="dot" w:pos="7654"/>
          <w:tab w:val="right" w:pos="8929"/>
          <w:tab w:val="right" w:pos="9638"/>
        </w:tabs>
        <w:spacing w:after="120"/>
        <w:ind w:left="1980" w:hanging="1980"/>
      </w:pPr>
      <w:r w:rsidRPr="00944671">
        <w:tab/>
        <w:t>VI</w:t>
      </w:r>
      <w:r w:rsidR="00317101" w:rsidRPr="00944671">
        <w:t>I</w:t>
      </w:r>
      <w:r w:rsidRPr="00944671">
        <w:t>I.</w:t>
      </w:r>
      <w:r w:rsidRPr="00944671">
        <w:tab/>
      </w:r>
      <w:r w:rsidR="001E6B06" w:rsidRPr="00944671">
        <w:t>Interpretation of RID/ADR/ADN (agenda item 6)</w:t>
      </w:r>
      <w:r w:rsidRPr="00944671">
        <w:tab/>
      </w:r>
      <w:r w:rsidRPr="00944671">
        <w:tab/>
      </w:r>
      <w:r w:rsidR="003742E3" w:rsidRPr="00944671">
        <w:t>45</w:t>
      </w:r>
      <w:r w:rsidRPr="00944671">
        <w:tab/>
      </w:r>
      <w:r w:rsidR="00592DFD" w:rsidRPr="00944671">
        <w:t>13</w:t>
      </w:r>
    </w:p>
    <w:p w14:paraId="2DB707C9" w14:textId="3ECC9146" w:rsidR="00201168" w:rsidRPr="00944671" w:rsidRDefault="00201168" w:rsidP="00201168">
      <w:pPr>
        <w:tabs>
          <w:tab w:val="right" w:pos="850"/>
          <w:tab w:val="left" w:pos="1134"/>
          <w:tab w:val="left" w:leader="dot" w:pos="7654"/>
          <w:tab w:val="right" w:pos="8929"/>
          <w:tab w:val="right" w:pos="9638"/>
        </w:tabs>
        <w:spacing w:after="120"/>
        <w:ind w:left="1980" w:hanging="1980"/>
      </w:pPr>
      <w:r w:rsidRPr="00944671">
        <w:tab/>
        <w:t>I</w:t>
      </w:r>
      <w:r w:rsidR="00317101" w:rsidRPr="00944671">
        <w:t>X</w:t>
      </w:r>
      <w:r w:rsidRPr="00944671">
        <w:t>.</w:t>
      </w:r>
      <w:r w:rsidRPr="00944671">
        <w:tab/>
      </w:r>
      <w:r w:rsidR="001E6B06" w:rsidRPr="00944671">
        <w:t>Reports of informal working groups</w:t>
      </w:r>
      <w:r w:rsidR="001E6B06" w:rsidRPr="00944671">
        <w:rPr>
          <w:lang w:val="fr-CH"/>
        </w:rPr>
        <w:t xml:space="preserve"> (agenda item 7)</w:t>
      </w:r>
      <w:r w:rsidR="003F27B6" w:rsidRPr="00944671">
        <w:rPr>
          <w:lang w:val="fr-CH"/>
        </w:rPr>
        <w:tab/>
      </w:r>
      <w:r w:rsidRPr="00944671">
        <w:tab/>
      </w:r>
      <w:r w:rsidR="003742E3" w:rsidRPr="00944671">
        <w:t>46-52</w:t>
      </w:r>
      <w:r w:rsidRPr="00944671">
        <w:tab/>
      </w:r>
      <w:r w:rsidR="00592DFD" w:rsidRPr="00944671">
        <w:t>13</w:t>
      </w:r>
    </w:p>
    <w:p w14:paraId="7C6572E1" w14:textId="2747143C" w:rsidR="00BB4887" w:rsidRPr="00944671" w:rsidRDefault="00BB4887" w:rsidP="00BC2ECA">
      <w:pPr>
        <w:tabs>
          <w:tab w:val="right" w:pos="850"/>
          <w:tab w:val="left" w:pos="1134"/>
          <w:tab w:val="left" w:pos="1701"/>
          <w:tab w:val="left" w:leader="dot" w:pos="7654"/>
          <w:tab w:val="right" w:pos="8929"/>
          <w:tab w:val="right" w:pos="9638"/>
        </w:tabs>
        <w:spacing w:after="120"/>
        <w:ind w:left="1134" w:hanging="1134"/>
      </w:pPr>
      <w:r w:rsidRPr="00944671">
        <w:lastRenderedPageBreak/>
        <w:tab/>
      </w:r>
      <w:r w:rsidR="001C27D3" w:rsidRPr="00944671">
        <w:tab/>
      </w:r>
      <w:r w:rsidRPr="00944671">
        <w:t>A.</w:t>
      </w:r>
      <w:r w:rsidRPr="00944671">
        <w:tab/>
        <w:t xml:space="preserve">Carriage of pressure receptacles approved by </w:t>
      </w:r>
      <w:r w:rsidRPr="00944671">
        <w:br/>
      </w:r>
      <w:r w:rsidR="00BC2ECA" w:rsidRPr="00944671">
        <w:tab/>
      </w:r>
      <w:r w:rsidRPr="00944671">
        <w:t>the Department of Transportation of the United States of America</w:t>
      </w:r>
      <w:r w:rsidRPr="00944671">
        <w:tab/>
      </w:r>
      <w:r w:rsidRPr="00944671">
        <w:tab/>
      </w:r>
      <w:r w:rsidR="003742E3" w:rsidRPr="00944671">
        <w:t>46</w:t>
      </w:r>
      <w:r w:rsidRPr="00944671">
        <w:tab/>
      </w:r>
      <w:r w:rsidR="00592DFD" w:rsidRPr="00944671">
        <w:t>13</w:t>
      </w:r>
    </w:p>
    <w:p w14:paraId="1DC1AEFD" w14:textId="6B68FB34" w:rsidR="00BB4887" w:rsidRPr="00944671" w:rsidRDefault="00BB4887" w:rsidP="00BC2ECA">
      <w:pPr>
        <w:tabs>
          <w:tab w:val="right" w:pos="850"/>
          <w:tab w:val="left" w:pos="1134"/>
          <w:tab w:val="left" w:pos="1701"/>
          <w:tab w:val="left" w:leader="dot" w:pos="7654"/>
          <w:tab w:val="right" w:pos="8929"/>
          <w:tab w:val="right" w:pos="9638"/>
        </w:tabs>
        <w:spacing w:after="120"/>
        <w:ind w:left="1134" w:hanging="1134"/>
      </w:pPr>
      <w:r w:rsidRPr="00944671">
        <w:tab/>
      </w:r>
      <w:r w:rsidR="001C27D3" w:rsidRPr="00944671">
        <w:tab/>
      </w:r>
      <w:r w:rsidRPr="00944671">
        <w:t>B.</w:t>
      </w:r>
      <w:r w:rsidRPr="00944671">
        <w:tab/>
        <w:t xml:space="preserve">Informal working group on the transport of hazardous waste: </w:t>
      </w:r>
      <w:r w:rsidRPr="00944671">
        <w:br/>
      </w:r>
      <w:r w:rsidR="00BC2ECA" w:rsidRPr="00944671">
        <w:tab/>
      </w:r>
      <w:r w:rsidRPr="00944671">
        <w:t>meeting in Brussels (2 to 3 April 2019)</w:t>
      </w:r>
      <w:r w:rsidRPr="00944671">
        <w:tab/>
      </w:r>
      <w:r w:rsidRPr="00944671">
        <w:tab/>
      </w:r>
      <w:r w:rsidR="003742E3" w:rsidRPr="00944671">
        <w:t>47</w:t>
      </w:r>
      <w:r w:rsidRPr="00944671">
        <w:tab/>
      </w:r>
      <w:r w:rsidR="00592DFD" w:rsidRPr="00944671">
        <w:t>14</w:t>
      </w:r>
    </w:p>
    <w:p w14:paraId="425AC009" w14:textId="0F42EDB4" w:rsidR="00BB4887" w:rsidRPr="00944671" w:rsidRDefault="00BB4887" w:rsidP="00BC2ECA">
      <w:pPr>
        <w:tabs>
          <w:tab w:val="right" w:pos="850"/>
          <w:tab w:val="left" w:pos="1134"/>
          <w:tab w:val="left" w:pos="1701"/>
          <w:tab w:val="left" w:leader="dot" w:pos="7654"/>
          <w:tab w:val="right" w:pos="8929"/>
          <w:tab w:val="right" w:pos="9638"/>
        </w:tabs>
        <w:spacing w:after="120"/>
        <w:ind w:left="1134" w:hanging="1134"/>
      </w:pPr>
      <w:r w:rsidRPr="00944671">
        <w:tab/>
      </w:r>
      <w:r w:rsidR="001C27D3" w:rsidRPr="00944671">
        <w:tab/>
      </w:r>
      <w:r w:rsidRPr="00944671">
        <w:t>C.</w:t>
      </w:r>
      <w:r w:rsidRPr="00944671">
        <w:tab/>
        <w:t xml:space="preserve">Informal working group on telematics: </w:t>
      </w:r>
      <w:r w:rsidRPr="00944671">
        <w:br/>
      </w:r>
      <w:r w:rsidR="00BC2ECA" w:rsidRPr="00944671">
        <w:tab/>
      </w:r>
      <w:r w:rsidRPr="00944671">
        <w:t xml:space="preserve">Guidelines for the use of </w:t>
      </w:r>
      <w:r w:rsidR="00D64E9E" w:rsidRPr="00944671">
        <w:t>5.4.0.2</w:t>
      </w:r>
      <w:r w:rsidR="00D64E9E">
        <w:t xml:space="preserve"> in </w:t>
      </w:r>
      <w:r w:rsidRPr="00944671">
        <w:t>RID/ADR/ADN</w:t>
      </w:r>
      <w:r w:rsidRPr="00944671">
        <w:tab/>
      </w:r>
      <w:r w:rsidRPr="00944671">
        <w:tab/>
      </w:r>
      <w:r w:rsidR="003742E3" w:rsidRPr="00944671">
        <w:t>48-51</w:t>
      </w:r>
      <w:r w:rsidR="00592DFD" w:rsidRPr="00944671">
        <w:tab/>
        <w:t>14</w:t>
      </w:r>
    </w:p>
    <w:p w14:paraId="4D6903A6" w14:textId="15A7302D" w:rsidR="00BB4887" w:rsidRPr="00944671" w:rsidRDefault="00BB4887" w:rsidP="00BC2ECA">
      <w:pPr>
        <w:tabs>
          <w:tab w:val="right" w:pos="850"/>
          <w:tab w:val="left" w:pos="1134"/>
          <w:tab w:val="left" w:pos="1701"/>
          <w:tab w:val="left" w:leader="dot" w:pos="7654"/>
          <w:tab w:val="right" w:pos="8929"/>
          <w:tab w:val="right" w:pos="9638"/>
        </w:tabs>
        <w:spacing w:after="120"/>
        <w:ind w:left="1134" w:hanging="1134"/>
      </w:pPr>
      <w:r w:rsidRPr="00944671">
        <w:tab/>
      </w:r>
      <w:r w:rsidR="001C27D3" w:rsidRPr="00944671">
        <w:tab/>
      </w:r>
      <w:r w:rsidRPr="00944671">
        <w:t>D.</w:t>
      </w:r>
      <w:r w:rsidRPr="00944671">
        <w:tab/>
        <w:t xml:space="preserve">Report on the discussion on the use of the terms risk and hazard </w:t>
      </w:r>
      <w:r w:rsidRPr="00944671">
        <w:br/>
      </w:r>
      <w:r w:rsidR="00BC2ECA" w:rsidRPr="00944671">
        <w:tab/>
      </w:r>
      <w:r w:rsidRPr="00944671">
        <w:t xml:space="preserve">at the fifty-fifth session of the Sub-Committee on Experts </w:t>
      </w:r>
      <w:r w:rsidRPr="00944671">
        <w:br/>
      </w:r>
      <w:r w:rsidR="00BC2ECA" w:rsidRPr="00944671">
        <w:tab/>
      </w:r>
      <w:r w:rsidRPr="00944671">
        <w:t>on the Transport of Dangerous Goods</w:t>
      </w:r>
      <w:r w:rsidRPr="00944671">
        <w:tab/>
      </w:r>
      <w:r w:rsidRPr="00944671">
        <w:tab/>
      </w:r>
      <w:r w:rsidR="003742E3" w:rsidRPr="00944671">
        <w:t>52</w:t>
      </w:r>
      <w:r w:rsidR="00592DFD" w:rsidRPr="00944671">
        <w:tab/>
        <w:t>1</w:t>
      </w:r>
      <w:r w:rsidR="00D64E9E">
        <w:t>5</w:t>
      </w:r>
    </w:p>
    <w:p w14:paraId="497EC1DA" w14:textId="48EDF415" w:rsidR="00201168" w:rsidRPr="00944671" w:rsidRDefault="00201168" w:rsidP="00201168">
      <w:pPr>
        <w:tabs>
          <w:tab w:val="right" w:pos="850"/>
          <w:tab w:val="left" w:pos="1134"/>
          <w:tab w:val="left" w:leader="dot" w:pos="7654"/>
          <w:tab w:val="right" w:pos="8929"/>
          <w:tab w:val="right" w:pos="9638"/>
        </w:tabs>
        <w:spacing w:after="120"/>
        <w:ind w:left="1980" w:hanging="1980"/>
      </w:pPr>
      <w:r w:rsidRPr="00944671">
        <w:tab/>
        <w:t>X.</w:t>
      </w:r>
      <w:r w:rsidRPr="00944671">
        <w:tab/>
      </w:r>
      <w:r w:rsidR="001E6B06" w:rsidRPr="00944671">
        <w:t>Accidents and risk management (agenda item 8)</w:t>
      </w:r>
      <w:r w:rsidRPr="00944671">
        <w:tab/>
      </w:r>
      <w:r w:rsidR="00AC0BF0" w:rsidRPr="00944671">
        <w:tab/>
      </w:r>
      <w:r w:rsidR="003742E3" w:rsidRPr="00944671">
        <w:t>53-56</w:t>
      </w:r>
      <w:r w:rsidRPr="00944671">
        <w:tab/>
      </w:r>
      <w:r w:rsidR="00592DFD" w:rsidRPr="00944671">
        <w:t>15</w:t>
      </w:r>
    </w:p>
    <w:p w14:paraId="6108C82A" w14:textId="1B47A274" w:rsidR="00BB4887" w:rsidRPr="00944671" w:rsidRDefault="00BB4887" w:rsidP="00BC2ECA">
      <w:pPr>
        <w:tabs>
          <w:tab w:val="right" w:pos="850"/>
          <w:tab w:val="left" w:pos="1134"/>
          <w:tab w:val="left" w:pos="1701"/>
          <w:tab w:val="left" w:leader="dot" w:pos="7654"/>
          <w:tab w:val="right" w:pos="8929"/>
          <w:tab w:val="right" w:pos="9638"/>
        </w:tabs>
        <w:spacing w:after="120"/>
        <w:ind w:left="1134" w:hanging="1134"/>
      </w:pPr>
      <w:r w:rsidRPr="00944671">
        <w:tab/>
      </w:r>
      <w:r w:rsidR="001C27D3" w:rsidRPr="00944671">
        <w:tab/>
      </w:r>
      <w:r w:rsidRPr="00944671">
        <w:t>A.</w:t>
      </w:r>
      <w:r w:rsidRPr="00944671">
        <w:tab/>
        <w:t>Risk management framework for inland transport of dangerous goods</w:t>
      </w:r>
      <w:r w:rsidR="003742E3" w:rsidRPr="00944671">
        <w:tab/>
      </w:r>
      <w:r w:rsidR="003742E3" w:rsidRPr="00944671">
        <w:tab/>
        <w:t>53-54</w:t>
      </w:r>
      <w:r w:rsidR="003742E3" w:rsidRPr="00944671">
        <w:tab/>
      </w:r>
      <w:r w:rsidR="00592DFD" w:rsidRPr="00944671">
        <w:t>15</w:t>
      </w:r>
    </w:p>
    <w:p w14:paraId="28F3EA3F" w14:textId="1A66D6C9" w:rsidR="00BB4887" w:rsidRPr="00944671" w:rsidRDefault="00BB4887" w:rsidP="001C27D3">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001C27D3" w:rsidRPr="00944671">
        <w:tab/>
      </w:r>
      <w:r w:rsidR="001C27D3" w:rsidRPr="00944671">
        <w:tab/>
      </w:r>
      <w:r w:rsidRPr="00944671">
        <w:t>1.</w:t>
      </w:r>
      <w:r w:rsidRPr="00944671">
        <w:tab/>
        <w:t>Publication of the inland TDG Risk Management</w:t>
      </w:r>
      <w:r w:rsidRPr="00944671">
        <w:tab/>
      </w:r>
      <w:r w:rsidRPr="00944671">
        <w:tab/>
      </w:r>
      <w:r w:rsidR="003742E3" w:rsidRPr="00944671">
        <w:t>53</w:t>
      </w:r>
      <w:r w:rsidR="003742E3" w:rsidRPr="00944671">
        <w:tab/>
      </w:r>
      <w:r w:rsidR="00592DFD" w:rsidRPr="00944671">
        <w:t>15</w:t>
      </w:r>
    </w:p>
    <w:p w14:paraId="306E3773" w14:textId="27707479" w:rsidR="00BB4887" w:rsidRPr="00944671" w:rsidRDefault="00BB4887" w:rsidP="001C27D3">
      <w:pPr>
        <w:tabs>
          <w:tab w:val="right" w:pos="850"/>
          <w:tab w:val="left" w:pos="1134"/>
          <w:tab w:val="left" w:pos="1559"/>
          <w:tab w:val="left" w:pos="1984"/>
          <w:tab w:val="left" w:leader="dot" w:pos="7654"/>
          <w:tab w:val="right" w:pos="8929"/>
          <w:tab w:val="right" w:pos="9638"/>
        </w:tabs>
        <w:spacing w:after="120"/>
        <w:ind w:left="1559" w:hanging="1559"/>
      </w:pPr>
      <w:r w:rsidRPr="00944671">
        <w:tab/>
      </w:r>
      <w:r w:rsidR="001C27D3" w:rsidRPr="00944671">
        <w:tab/>
      </w:r>
      <w:r w:rsidR="001C27D3" w:rsidRPr="00944671">
        <w:tab/>
      </w:r>
      <w:r w:rsidRPr="00944671">
        <w:t>2.</w:t>
      </w:r>
      <w:r w:rsidRPr="00944671">
        <w:tab/>
        <w:t xml:space="preserve">Report from the "Expert Users and Development Group (EUDG)" </w:t>
      </w:r>
      <w:r w:rsidRPr="00944671">
        <w:br/>
      </w:r>
      <w:r w:rsidR="001C27D3" w:rsidRPr="00944671">
        <w:tab/>
      </w:r>
      <w:r w:rsidRPr="00944671">
        <w:t xml:space="preserve">concerning the use of risk acceptance criteria with </w:t>
      </w:r>
      <w:r w:rsidRPr="00944671">
        <w:br/>
      </w:r>
      <w:r w:rsidR="001C27D3" w:rsidRPr="00944671">
        <w:tab/>
      </w:r>
      <w:r w:rsidRPr="00944671">
        <w:t>the inland TDG Risk Management Framework</w:t>
      </w:r>
      <w:r w:rsidRPr="00944671">
        <w:tab/>
      </w:r>
      <w:r w:rsidR="003742E3" w:rsidRPr="00944671">
        <w:tab/>
        <w:t>54</w:t>
      </w:r>
      <w:r w:rsidRPr="00944671">
        <w:tab/>
      </w:r>
      <w:r w:rsidR="00592DFD" w:rsidRPr="00944671">
        <w:t>15</w:t>
      </w:r>
    </w:p>
    <w:p w14:paraId="0F51F1F9" w14:textId="1364D769" w:rsidR="00BB4887" w:rsidRPr="00944671" w:rsidRDefault="00BB4887" w:rsidP="00BC2ECA">
      <w:pPr>
        <w:tabs>
          <w:tab w:val="right" w:pos="850"/>
          <w:tab w:val="left" w:pos="1134"/>
          <w:tab w:val="left" w:pos="1701"/>
          <w:tab w:val="left" w:leader="dot" w:pos="7654"/>
          <w:tab w:val="right" w:pos="8929"/>
          <w:tab w:val="right" w:pos="9638"/>
        </w:tabs>
        <w:spacing w:after="120"/>
        <w:ind w:left="1134" w:hanging="1134"/>
      </w:pPr>
      <w:r w:rsidRPr="00944671">
        <w:tab/>
      </w:r>
      <w:r w:rsidR="001C27D3" w:rsidRPr="00944671">
        <w:tab/>
      </w:r>
      <w:r w:rsidRPr="00944671">
        <w:t>B.</w:t>
      </w:r>
      <w:r w:rsidRPr="00944671">
        <w:tab/>
        <w:t xml:space="preserve">Report of the informal working group on the improvement </w:t>
      </w:r>
      <w:r w:rsidR="001C27D3" w:rsidRPr="00944671">
        <w:br/>
      </w:r>
      <w:r w:rsidR="00BC2ECA" w:rsidRPr="00944671">
        <w:tab/>
      </w:r>
      <w:r w:rsidRPr="00944671">
        <w:t>of the accident report</w:t>
      </w:r>
      <w:r w:rsidRPr="00944671">
        <w:tab/>
      </w:r>
      <w:r w:rsidRPr="00944671">
        <w:tab/>
      </w:r>
      <w:r w:rsidR="00EB728D" w:rsidRPr="00944671">
        <w:t>55-56</w:t>
      </w:r>
      <w:r w:rsidRPr="00944671">
        <w:tab/>
      </w:r>
      <w:r w:rsidR="00592DFD" w:rsidRPr="00944671">
        <w:t>15</w:t>
      </w:r>
    </w:p>
    <w:p w14:paraId="1EDF9AFE" w14:textId="6BB9B8AC" w:rsidR="00201168" w:rsidRPr="00944671" w:rsidRDefault="00201168" w:rsidP="00201168">
      <w:pPr>
        <w:tabs>
          <w:tab w:val="right" w:pos="850"/>
          <w:tab w:val="left" w:pos="1134"/>
          <w:tab w:val="left" w:leader="dot" w:pos="7654"/>
          <w:tab w:val="right" w:pos="8929"/>
          <w:tab w:val="right" w:pos="9638"/>
        </w:tabs>
        <w:spacing w:after="120"/>
        <w:ind w:left="1980" w:hanging="1980"/>
      </w:pPr>
      <w:r w:rsidRPr="00944671">
        <w:tab/>
        <w:t>X</w:t>
      </w:r>
      <w:r w:rsidR="00317101" w:rsidRPr="00944671">
        <w:t>I</w:t>
      </w:r>
      <w:r w:rsidRPr="00944671">
        <w:t>.</w:t>
      </w:r>
      <w:r w:rsidRPr="00944671">
        <w:tab/>
      </w:r>
      <w:r w:rsidR="001E6B06" w:rsidRPr="00944671">
        <w:t>Election of officers for 20</w:t>
      </w:r>
      <w:r w:rsidR="008F73E4" w:rsidRPr="00944671">
        <w:t>20</w:t>
      </w:r>
      <w:r w:rsidR="001E6B06" w:rsidRPr="00944671">
        <w:t xml:space="preserve"> (agenda item 9)</w:t>
      </w:r>
      <w:r w:rsidRPr="00944671">
        <w:tab/>
      </w:r>
      <w:r w:rsidRPr="00944671">
        <w:tab/>
      </w:r>
      <w:r w:rsidR="00EB728D" w:rsidRPr="00944671">
        <w:t>57</w:t>
      </w:r>
      <w:r w:rsidRPr="00944671">
        <w:tab/>
      </w:r>
      <w:r w:rsidR="00592DFD" w:rsidRPr="00944671">
        <w:t>16</w:t>
      </w:r>
    </w:p>
    <w:p w14:paraId="3F8ECE7E" w14:textId="4EEE7FAA" w:rsidR="00201168" w:rsidRPr="00944671" w:rsidRDefault="00201168" w:rsidP="00201168">
      <w:pPr>
        <w:tabs>
          <w:tab w:val="right" w:pos="850"/>
          <w:tab w:val="left" w:pos="1134"/>
          <w:tab w:val="left" w:leader="dot" w:pos="7654"/>
          <w:tab w:val="right" w:pos="8929"/>
          <w:tab w:val="right" w:pos="9638"/>
        </w:tabs>
        <w:spacing w:after="120"/>
        <w:ind w:left="1980" w:hanging="1980"/>
      </w:pPr>
      <w:r w:rsidRPr="00944671">
        <w:tab/>
        <w:t>X</w:t>
      </w:r>
      <w:r w:rsidR="00317101" w:rsidRPr="00944671">
        <w:t>I</w:t>
      </w:r>
      <w:r w:rsidRPr="00944671">
        <w:t>I.</w:t>
      </w:r>
      <w:r w:rsidRPr="00944671">
        <w:tab/>
      </w:r>
      <w:r w:rsidR="00953931" w:rsidRPr="00944671">
        <w:t>Future work (agenda item 10)</w:t>
      </w:r>
      <w:r w:rsidRPr="00944671">
        <w:tab/>
      </w:r>
      <w:r w:rsidR="00953931" w:rsidRPr="00944671">
        <w:tab/>
      </w:r>
      <w:r w:rsidR="00EB728D" w:rsidRPr="00944671">
        <w:t>58</w:t>
      </w:r>
      <w:r w:rsidRPr="00944671">
        <w:tab/>
      </w:r>
      <w:r w:rsidR="00592DFD" w:rsidRPr="00944671">
        <w:t>16</w:t>
      </w:r>
    </w:p>
    <w:p w14:paraId="64949342" w14:textId="2EA48D3A" w:rsidR="00953931" w:rsidRPr="00944671" w:rsidRDefault="00953931" w:rsidP="00201168">
      <w:pPr>
        <w:tabs>
          <w:tab w:val="right" w:pos="850"/>
          <w:tab w:val="left" w:pos="1134"/>
          <w:tab w:val="left" w:leader="dot" w:pos="7654"/>
          <w:tab w:val="right" w:pos="8929"/>
          <w:tab w:val="right" w:pos="9638"/>
        </w:tabs>
        <w:spacing w:after="120"/>
        <w:ind w:left="1980" w:hanging="1980"/>
      </w:pPr>
      <w:r w:rsidRPr="00944671">
        <w:tab/>
        <w:t>X</w:t>
      </w:r>
      <w:r w:rsidR="00317101" w:rsidRPr="00944671">
        <w:t>I</w:t>
      </w:r>
      <w:r w:rsidRPr="00944671">
        <w:t>II.</w:t>
      </w:r>
      <w:r w:rsidRPr="00944671">
        <w:tab/>
        <w:t>Any other business (agenda item 11)</w:t>
      </w:r>
      <w:r w:rsidRPr="00944671">
        <w:tab/>
      </w:r>
      <w:r w:rsidRPr="00944671">
        <w:tab/>
      </w:r>
      <w:r w:rsidR="00EB728D" w:rsidRPr="00944671">
        <w:t>59</w:t>
      </w:r>
      <w:r w:rsidRPr="00944671">
        <w:tab/>
      </w:r>
      <w:r w:rsidR="00592DFD" w:rsidRPr="00944671">
        <w:t>16</w:t>
      </w:r>
    </w:p>
    <w:p w14:paraId="5027DCFE" w14:textId="28CF97B1" w:rsidR="00953931" w:rsidRPr="00944671" w:rsidRDefault="00953931" w:rsidP="00953931">
      <w:pPr>
        <w:tabs>
          <w:tab w:val="right" w:pos="850"/>
          <w:tab w:val="left" w:pos="1134"/>
          <w:tab w:val="left" w:leader="dot" w:pos="7654"/>
          <w:tab w:val="right" w:pos="8929"/>
          <w:tab w:val="right" w:pos="9638"/>
        </w:tabs>
        <w:spacing w:after="120"/>
        <w:ind w:left="1980" w:hanging="1980"/>
        <w:rPr>
          <w:spacing w:val="-2"/>
          <w:w w:val="103"/>
          <w:kern w:val="14"/>
          <w:lang w:eastAsia="zh-CN"/>
        </w:rPr>
      </w:pPr>
      <w:r w:rsidRPr="00944671">
        <w:rPr>
          <w:spacing w:val="-2"/>
          <w:w w:val="103"/>
          <w:kern w:val="14"/>
          <w:lang w:eastAsia="zh-CN"/>
        </w:rPr>
        <w:tab/>
        <w:t>XI</w:t>
      </w:r>
      <w:r w:rsidR="00317101" w:rsidRPr="00944671">
        <w:rPr>
          <w:spacing w:val="-2"/>
          <w:w w:val="103"/>
          <w:kern w:val="14"/>
          <w:lang w:eastAsia="zh-CN"/>
        </w:rPr>
        <w:t>V</w:t>
      </w:r>
      <w:r w:rsidRPr="00944671">
        <w:rPr>
          <w:spacing w:val="-2"/>
          <w:w w:val="103"/>
          <w:kern w:val="14"/>
          <w:lang w:eastAsia="zh-CN"/>
        </w:rPr>
        <w:t>.</w:t>
      </w:r>
      <w:r w:rsidRPr="00944671">
        <w:rPr>
          <w:spacing w:val="-2"/>
          <w:w w:val="103"/>
          <w:kern w:val="14"/>
          <w:lang w:eastAsia="zh-CN"/>
        </w:rPr>
        <w:tab/>
        <w:t>Adoption of the report (agenda item 12)</w:t>
      </w:r>
      <w:r w:rsidRPr="00944671">
        <w:rPr>
          <w:spacing w:val="-2"/>
          <w:w w:val="103"/>
          <w:kern w:val="14"/>
          <w:lang w:eastAsia="zh-CN"/>
        </w:rPr>
        <w:tab/>
      </w:r>
      <w:r w:rsidRPr="00944671">
        <w:rPr>
          <w:spacing w:val="-2"/>
          <w:w w:val="103"/>
          <w:kern w:val="14"/>
          <w:lang w:eastAsia="zh-CN"/>
        </w:rPr>
        <w:tab/>
      </w:r>
      <w:r w:rsidR="00EB728D" w:rsidRPr="00944671">
        <w:rPr>
          <w:spacing w:val="-2"/>
          <w:w w:val="103"/>
          <w:kern w:val="14"/>
          <w:lang w:eastAsia="zh-CN"/>
        </w:rPr>
        <w:t>60</w:t>
      </w:r>
      <w:r w:rsidR="00EB728D" w:rsidRPr="00944671">
        <w:rPr>
          <w:spacing w:val="-2"/>
          <w:w w:val="103"/>
          <w:kern w:val="14"/>
          <w:lang w:eastAsia="zh-CN"/>
        </w:rPr>
        <w:tab/>
      </w:r>
      <w:r w:rsidR="00592DFD" w:rsidRPr="00944671">
        <w:rPr>
          <w:spacing w:val="-2"/>
          <w:w w:val="103"/>
          <w:kern w:val="14"/>
          <w:lang w:eastAsia="zh-CN"/>
        </w:rPr>
        <w:t>16</w:t>
      </w:r>
    </w:p>
    <w:p w14:paraId="11003F9C" w14:textId="77777777" w:rsidR="002766C4" w:rsidRDefault="002766C4" w:rsidP="00201168">
      <w:pPr>
        <w:tabs>
          <w:tab w:val="right" w:pos="850"/>
          <w:tab w:val="left" w:pos="1134"/>
          <w:tab w:val="left" w:pos="1559"/>
          <w:tab w:val="left" w:pos="1984"/>
          <w:tab w:val="left" w:leader="dot" w:pos="7654"/>
          <w:tab w:val="right" w:pos="8929"/>
          <w:tab w:val="right" w:pos="9638"/>
        </w:tabs>
        <w:spacing w:after="120"/>
      </w:pPr>
    </w:p>
    <w:p w14:paraId="59E86E97" w14:textId="4137B3F9" w:rsidR="00201168" w:rsidRPr="00944671" w:rsidRDefault="00201168" w:rsidP="00201168">
      <w:pPr>
        <w:tabs>
          <w:tab w:val="right" w:pos="850"/>
          <w:tab w:val="left" w:pos="1134"/>
          <w:tab w:val="left" w:pos="1559"/>
          <w:tab w:val="left" w:pos="1984"/>
          <w:tab w:val="left" w:leader="dot" w:pos="7654"/>
          <w:tab w:val="right" w:pos="8929"/>
          <w:tab w:val="right" w:pos="9638"/>
        </w:tabs>
        <w:spacing w:after="120"/>
      </w:pPr>
      <w:r w:rsidRPr="00944671">
        <w:t>Annexes</w:t>
      </w:r>
    </w:p>
    <w:p w14:paraId="20986CAE" w14:textId="4155ABDE" w:rsidR="00FA1F9F" w:rsidRPr="00D30840" w:rsidRDefault="00DA0272" w:rsidP="00FA1F9F">
      <w:pPr>
        <w:tabs>
          <w:tab w:val="right" w:pos="850"/>
          <w:tab w:val="left" w:pos="1134"/>
          <w:tab w:val="left" w:leader="dot" w:pos="7654"/>
          <w:tab w:val="right" w:pos="8929"/>
          <w:tab w:val="right" w:pos="9638"/>
        </w:tabs>
        <w:ind w:left="1134" w:hanging="1134"/>
      </w:pPr>
      <w:r w:rsidRPr="00944671">
        <w:tab/>
      </w:r>
      <w:r w:rsidR="00FA1F9F" w:rsidRPr="00D30840">
        <w:t>I.</w:t>
      </w:r>
      <w:r w:rsidR="00FA1F9F" w:rsidRPr="00D30840">
        <w:tab/>
      </w:r>
      <w:r w:rsidR="00397874" w:rsidRPr="00D30840">
        <w:t>Report of the Working Group on Tanks</w:t>
      </w:r>
      <w:r w:rsidR="00631924" w:rsidRPr="00D30840">
        <w:rPr>
          <w:rStyle w:val="FootnoteReference"/>
        </w:rPr>
        <w:footnoteReference w:customMarkFollows="1" w:id="3"/>
        <w:t>**</w:t>
      </w:r>
      <w:r w:rsidR="0007643F" w:rsidRPr="00D30840">
        <w:tab/>
      </w:r>
      <w:r w:rsidR="0007643F" w:rsidRPr="00D30840">
        <w:tab/>
      </w:r>
      <w:r w:rsidR="0007643F" w:rsidRPr="00D30840">
        <w:tab/>
      </w:r>
      <w:r w:rsidR="00D30840">
        <w:t>17</w:t>
      </w:r>
    </w:p>
    <w:p w14:paraId="183E262A" w14:textId="4626F5DF" w:rsidR="00271615" w:rsidRPr="00D30840" w:rsidRDefault="00271615" w:rsidP="00271615">
      <w:pPr>
        <w:tabs>
          <w:tab w:val="right" w:pos="850"/>
          <w:tab w:val="left" w:pos="1134"/>
          <w:tab w:val="left" w:leader="dot" w:pos="7654"/>
          <w:tab w:val="right" w:pos="8929"/>
          <w:tab w:val="right" w:pos="9638"/>
        </w:tabs>
        <w:ind w:left="1134" w:hanging="1134"/>
      </w:pPr>
      <w:r w:rsidRPr="00D30840">
        <w:tab/>
        <w:t>II.</w:t>
      </w:r>
      <w:r w:rsidRPr="00D30840">
        <w:tab/>
      </w:r>
      <w:r w:rsidR="00397874" w:rsidRPr="00D30840">
        <w:t>Draft amendments to RID, ADR and ADN for entry into force on 1 January 2021</w:t>
      </w:r>
      <w:r w:rsidRPr="00D30840">
        <w:tab/>
      </w:r>
      <w:r w:rsidRPr="00D30840">
        <w:tab/>
      </w:r>
      <w:r w:rsidR="00FE476F">
        <w:tab/>
      </w:r>
      <w:r w:rsidR="00D30840">
        <w:t>18</w:t>
      </w:r>
    </w:p>
    <w:p w14:paraId="234ACD56" w14:textId="2585D543" w:rsidR="00271615" w:rsidRPr="00944671" w:rsidRDefault="00271615" w:rsidP="00E97D06">
      <w:pPr>
        <w:tabs>
          <w:tab w:val="right" w:pos="850"/>
          <w:tab w:val="left" w:pos="1134"/>
          <w:tab w:val="left" w:leader="dot" w:pos="7654"/>
          <w:tab w:val="right" w:pos="8929"/>
          <w:tab w:val="right" w:pos="9638"/>
        </w:tabs>
        <w:ind w:left="1134" w:hanging="1134"/>
      </w:pPr>
      <w:r w:rsidRPr="00D30840">
        <w:tab/>
        <w:t>III.</w:t>
      </w:r>
      <w:r w:rsidRPr="00D30840">
        <w:tab/>
      </w:r>
      <w:r w:rsidR="00317101" w:rsidRPr="00D30840">
        <w:t>Guidelines for the use of 5.4.0.2 in RID/ADR/ADN</w:t>
      </w:r>
      <w:r w:rsidRPr="00944671">
        <w:tab/>
      </w:r>
      <w:r w:rsidRPr="00944671">
        <w:tab/>
      </w:r>
      <w:r w:rsidRPr="00944671">
        <w:tab/>
      </w:r>
      <w:r w:rsidR="00B77AB2">
        <w:t>28</w:t>
      </w:r>
    </w:p>
    <w:p w14:paraId="4DB1D208" w14:textId="77777777" w:rsidR="00271615" w:rsidRPr="00944671" w:rsidRDefault="00271615" w:rsidP="00FA1F9F">
      <w:pPr>
        <w:tabs>
          <w:tab w:val="right" w:pos="850"/>
          <w:tab w:val="left" w:pos="1134"/>
          <w:tab w:val="left" w:leader="dot" w:pos="7654"/>
          <w:tab w:val="right" w:pos="8929"/>
          <w:tab w:val="right" w:pos="9638"/>
        </w:tabs>
        <w:ind w:left="1134" w:hanging="1134"/>
      </w:pPr>
    </w:p>
    <w:p w14:paraId="0EDD3307" w14:textId="5C33F43C" w:rsidR="00947812" w:rsidRPr="00944671" w:rsidRDefault="00201168" w:rsidP="00FA1F9F">
      <w:pPr>
        <w:tabs>
          <w:tab w:val="right" w:pos="850"/>
          <w:tab w:val="left" w:pos="1134"/>
          <w:tab w:val="left" w:pos="1559"/>
          <w:tab w:val="left" w:pos="1984"/>
          <w:tab w:val="left" w:leader="dot" w:pos="7654"/>
          <w:tab w:val="right" w:pos="8929"/>
          <w:tab w:val="right" w:pos="9638"/>
        </w:tabs>
      </w:pPr>
      <w:r w:rsidRPr="00944671">
        <w:tab/>
      </w:r>
      <w:r w:rsidR="00A05F6A" w:rsidRPr="00944671">
        <w:br w:type="page"/>
      </w:r>
    </w:p>
    <w:p w14:paraId="35A009FE" w14:textId="77777777" w:rsidR="008F4FAF" w:rsidRPr="00944671" w:rsidRDefault="000F23E3" w:rsidP="008F4FAF">
      <w:pPr>
        <w:pStyle w:val="HChG"/>
      </w:pPr>
      <w:r w:rsidRPr="00944671">
        <w:lastRenderedPageBreak/>
        <w:tab/>
      </w:r>
      <w:r w:rsidR="008F4FAF" w:rsidRPr="00944671">
        <w:t>I.</w:t>
      </w:r>
      <w:r w:rsidR="008F4FAF" w:rsidRPr="00944671">
        <w:tab/>
        <w:t>Attendance</w:t>
      </w:r>
    </w:p>
    <w:p w14:paraId="57AC290B" w14:textId="752A11A3" w:rsidR="008F4FAF" w:rsidRPr="00944671" w:rsidRDefault="008F4FAF" w:rsidP="008F4FAF">
      <w:pPr>
        <w:pStyle w:val="SingleTxtG"/>
      </w:pPr>
      <w:r w:rsidRPr="00944671">
        <w:t>1.</w:t>
      </w:r>
      <w:r w:rsidRPr="00944671">
        <w:tab/>
        <w:t xml:space="preserve">The Joint Meeting of the RID Committee of Experts and the Working Party on the Transport of Dangerous Goods of the United Nations Economic Commission for Europe was held in Geneva from 17 to </w:t>
      </w:r>
      <w:r w:rsidR="00657A14" w:rsidRPr="00944671">
        <w:t xml:space="preserve">26 </w:t>
      </w:r>
      <w:r w:rsidRPr="00944671">
        <w:t>September 2019, with Mr. C. Pfauvadel (France) as Chair and Ms. S. García Wolfrum (Spain) as Vice-Chair.</w:t>
      </w:r>
    </w:p>
    <w:p w14:paraId="02AF67B0" w14:textId="7F3916F2" w:rsidR="008F4FAF" w:rsidRPr="00944671" w:rsidRDefault="008F4FAF" w:rsidP="008F4FAF">
      <w:pPr>
        <w:pStyle w:val="SingleTxtG"/>
      </w:pPr>
      <w:r w:rsidRPr="00944671">
        <w:t>2.</w:t>
      </w:r>
      <w:r w:rsidRPr="00944671">
        <w:tab/>
        <w:t>In accordance with rule 1 (a) of the rules of procedure of the Joint Meeting, (ECE/TRANS/WP.15/AC.1/112/Add.2), representatives of the following countries participated as full members at the session: Austria, Belgium, Croatia, Czechia, Denmark, Finland, France, Germany, Italy, Latvia, Luxembourg, Netherlands, Poland, Romania, Russian Federation, Slovakia, Spain, Sweden, Switzerland, Turkey, United Kingdom and United States of America.</w:t>
      </w:r>
    </w:p>
    <w:p w14:paraId="7F7967B4" w14:textId="67E6CB20" w:rsidR="00397874" w:rsidRPr="00944671" w:rsidRDefault="00397874" w:rsidP="008F4FAF">
      <w:pPr>
        <w:pStyle w:val="SingleTxtG"/>
      </w:pPr>
      <w:r w:rsidRPr="00944671">
        <w:t>3.</w:t>
      </w:r>
      <w:r w:rsidRPr="00944671">
        <w:tab/>
        <w:t>In accordance with rule 1 (b) of the rules of procedure, the Democratic Republic of the Congo was represented in a consultative capacity.</w:t>
      </w:r>
    </w:p>
    <w:p w14:paraId="1E297281" w14:textId="060F5213" w:rsidR="008F4FAF" w:rsidRPr="00944671" w:rsidRDefault="00397874" w:rsidP="008F4FAF">
      <w:pPr>
        <w:pStyle w:val="SingleTxtG"/>
      </w:pPr>
      <w:r w:rsidRPr="00944671">
        <w:t>4</w:t>
      </w:r>
      <w:r w:rsidR="008F4FAF" w:rsidRPr="00944671">
        <w:t>.</w:t>
      </w:r>
      <w:r w:rsidR="008F4FAF" w:rsidRPr="00944671">
        <w:tab/>
        <w:t>In accordance with rule</w:t>
      </w:r>
      <w:r w:rsidR="00905AAB">
        <w:t>s</w:t>
      </w:r>
      <w:r w:rsidR="008F4FAF" w:rsidRPr="00944671">
        <w:t xml:space="preserve"> 1 (c) and (d) of the rules of procedure, the following organisations were represented in a consultative capacity:</w:t>
      </w:r>
    </w:p>
    <w:p w14:paraId="371A6EBF" w14:textId="3EFF6912" w:rsidR="008F4FAF" w:rsidRPr="00944671" w:rsidRDefault="008F4FAF" w:rsidP="008F4FAF">
      <w:pPr>
        <w:pStyle w:val="SingleTxtG"/>
      </w:pPr>
      <w:r w:rsidRPr="00944671">
        <w:tab/>
      </w:r>
      <w:r w:rsidRPr="00944671">
        <w:tab/>
        <w:t>(a)</w:t>
      </w:r>
      <w:r w:rsidRPr="00944671">
        <w:tab/>
        <w:t>European Union (European Commission and European Union Agency for Railways) and Organization for Cooperation between Railways (OSJD);</w:t>
      </w:r>
    </w:p>
    <w:p w14:paraId="0C17627E" w14:textId="5326CE85" w:rsidR="008F4FAF" w:rsidRPr="00944671" w:rsidRDefault="008F4FAF" w:rsidP="008F4FAF">
      <w:pPr>
        <w:pStyle w:val="SingleTxtG"/>
      </w:pPr>
      <w:r w:rsidRPr="00944671">
        <w:tab/>
      </w:r>
      <w:r w:rsidRPr="00944671">
        <w:tab/>
        <w:t>(b)</w:t>
      </w:r>
      <w:r w:rsidRPr="00944671">
        <w:tab/>
        <w:t xml:space="preserve">International non-governmental organizations: Cosmetics Europe, </w:t>
      </w:r>
      <w:r w:rsidR="00FD3C7A" w:rsidRPr="00944671">
        <w:t xml:space="preserve">Council on Safe Transportation of Hazardous Articles (COSTHA), European Association of Dangerous Goods Safety Advisers (EASA), European Chemical Industry Council (CEFIC), </w:t>
      </w:r>
      <w:r w:rsidRPr="00944671">
        <w:t xml:space="preserve">European Committee for Standardization (CEN), </w:t>
      </w:r>
      <w:r w:rsidR="00FD3C7A" w:rsidRPr="00944671">
        <w:t xml:space="preserve">European Conference of Fuel Distributors (ECFD), European Cylinder Makers Association (ECMA), </w:t>
      </w:r>
      <w:r w:rsidR="00225182" w:rsidRPr="00944671">
        <w:t xml:space="preserve">European Federation of Waste Management and Environmental Services (FEAD), </w:t>
      </w:r>
      <w:r w:rsidR="00FD3C7A" w:rsidRPr="00944671">
        <w:t>European Industrial Gases Association (EIGA), Federation of European Aerosol Associations (FEA), Fertilizers Europe (FE),</w:t>
      </w:r>
      <w:r w:rsidR="00303FD1" w:rsidRPr="00944671">
        <w:t xml:space="preserve"> Fuels</w:t>
      </w:r>
      <w:r w:rsidR="00E64EDE" w:rsidRPr="00944671">
        <w:t xml:space="preserve"> </w:t>
      </w:r>
      <w:r w:rsidR="00303FD1" w:rsidRPr="00944671">
        <w:t>Europe,</w:t>
      </w:r>
      <w:r w:rsidR="009D5C35" w:rsidRPr="00944671">
        <w:t xml:space="preserve"> </w:t>
      </w:r>
      <w:r w:rsidR="00225182" w:rsidRPr="00944671">
        <w:t xml:space="preserve">International Association of the Body and Trailer Building Industry (CLCCR), International Association for Soaps, Detergents and Maintenance Products (AISE), International Road Transport Union (IRU), International Confederation of Container </w:t>
      </w:r>
      <w:proofErr w:type="spellStart"/>
      <w:r w:rsidR="00225182" w:rsidRPr="00944671">
        <w:t>Reconditioners</w:t>
      </w:r>
      <w:proofErr w:type="spellEnd"/>
      <w:r w:rsidR="00225182" w:rsidRPr="00944671">
        <w:t xml:space="preserve"> (ICCR), International Tank Container Organisation (ITCO), </w:t>
      </w:r>
      <w:r w:rsidR="00657A14" w:rsidRPr="00944671">
        <w:t>Liquid Gas Europe</w:t>
      </w:r>
      <w:r w:rsidRPr="00944671">
        <w:t xml:space="preserve">, </w:t>
      </w:r>
      <w:r w:rsidR="00FD3C7A" w:rsidRPr="00944671">
        <w:t>Union of Private Wagons (UIP)</w:t>
      </w:r>
      <w:r w:rsidR="00303FD1" w:rsidRPr="00944671">
        <w:t xml:space="preserve"> and </w:t>
      </w:r>
      <w:r w:rsidR="00FD3C7A" w:rsidRPr="00944671">
        <w:t>International Union of Railways (UIC)</w:t>
      </w:r>
      <w:r w:rsidR="00303FD1" w:rsidRPr="00944671">
        <w:t>.</w:t>
      </w:r>
    </w:p>
    <w:p w14:paraId="782A2BB9" w14:textId="64C7262D" w:rsidR="008F4FAF" w:rsidRPr="00944671" w:rsidRDefault="008F4FAF" w:rsidP="008F4FAF">
      <w:pPr>
        <w:pStyle w:val="HChG"/>
      </w:pPr>
      <w:r w:rsidRPr="00944671">
        <w:tab/>
      </w:r>
      <w:r w:rsidR="00317101" w:rsidRPr="00944671">
        <w:t>I</w:t>
      </w:r>
      <w:r w:rsidR="00317101" w:rsidRPr="00944671">
        <w:rPr>
          <w:lang w:val="fr-CH"/>
        </w:rPr>
        <w:t>I</w:t>
      </w:r>
      <w:r w:rsidR="00317101" w:rsidRPr="00944671">
        <w:t>.</w:t>
      </w:r>
      <w:r w:rsidRPr="00944671">
        <w:tab/>
        <w:t>Opening of the session</w:t>
      </w:r>
    </w:p>
    <w:p w14:paraId="04DC6201" w14:textId="03415E29" w:rsidR="008F4FAF" w:rsidRPr="00944671" w:rsidRDefault="00E07A65" w:rsidP="008F4FAF">
      <w:pPr>
        <w:pStyle w:val="SingleTxtG"/>
      </w:pPr>
      <w:r w:rsidRPr="00944671">
        <w:t>5</w:t>
      </w:r>
      <w:r w:rsidR="008F4FAF" w:rsidRPr="00944671">
        <w:t>.</w:t>
      </w:r>
      <w:r w:rsidR="008F4FAF" w:rsidRPr="00944671">
        <w:tab/>
        <w:t>Mr. Yuwei Li, the Director of the Sustainable Transport Division, informed the Joint Meeting about the recent changes in the Division, namely the creation of a new section “Road Safety Management and Dangerous Goods” and the appointment of Mr. Romain Hubert as Chief of Section, effective as from 1 June 2019. Mr. Li pointed out that the new section was established to contribute to the implementation of the Inland Transport Committee strategy on enhancement of road safety. The activities of the new section now include, in addition to transport of dangerous goods, those related to the secretariat servicing of the United Nations Trust Fund on Road Safety and of the United Nations Special Envoy for Road Safety. Mr. Li informed the Joint Meeting that the Trust Fund was already fully operational and that a first call for project proposals will be opened in October 2019.</w:t>
      </w:r>
    </w:p>
    <w:p w14:paraId="15A87557" w14:textId="14CC60F2" w:rsidR="008F4FAF" w:rsidRPr="00944671" w:rsidRDefault="00E07A65" w:rsidP="008F4FAF">
      <w:pPr>
        <w:pStyle w:val="SingleTxtG"/>
      </w:pPr>
      <w:r w:rsidRPr="00944671">
        <w:t>6</w:t>
      </w:r>
      <w:r w:rsidR="008F4FAF" w:rsidRPr="00944671">
        <w:t>.</w:t>
      </w:r>
      <w:r w:rsidR="008F4FAF" w:rsidRPr="00944671">
        <w:tab/>
        <w:t>Finally, Mr. Li invited the Joint Meeting to join him in welcoming Mr. Hubert and in expressing his appreciation for the professionalism, the successful delivery of outcomes and the hard work of the dangerous goods team led by Ms. Garcia Couto, during the interim period since the retirement of Mr. Kervella (former Section Chief) until the recruitment of Mr. Hubert.</w:t>
      </w:r>
    </w:p>
    <w:p w14:paraId="7AAA4E30" w14:textId="47107446" w:rsidR="008F4FAF" w:rsidRPr="00944671" w:rsidRDefault="008F4FAF" w:rsidP="008F4FAF">
      <w:pPr>
        <w:pStyle w:val="HChG"/>
      </w:pPr>
      <w:r w:rsidRPr="00944671">
        <w:lastRenderedPageBreak/>
        <w:tab/>
        <w:t>I</w:t>
      </w:r>
      <w:r w:rsidR="00317101" w:rsidRPr="00944671">
        <w:rPr>
          <w:lang w:val="fr-CH"/>
        </w:rPr>
        <w:t>I</w:t>
      </w:r>
      <w:r w:rsidRPr="00944671">
        <w:t>I</w:t>
      </w:r>
      <w:r w:rsidR="00982AEC" w:rsidRPr="00944671">
        <w:rPr>
          <w:lang w:val="fr-CH"/>
        </w:rPr>
        <w:t>.</w:t>
      </w:r>
      <w:r w:rsidRPr="00944671">
        <w:tab/>
        <w:t>Adoption of the agenda (agenda item 1)</w:t>
      </w:r>
    </w:p>
    <w:p w14:paraId="7286817E" w14:textId="77777777" w:rsidR="008F4FAF" w:rsidRPr="00944671" w:rsidRDefault="008F4FAF" w:rsidP="008F4FAF">
      <w:pPr>
        <w:pStyle w:val="SingleTxtG"/>
        <w:spacing w:after="0"/>
        <w:ind w:left="3402" w:hanging="2268"/>
      </w:pPr>
      <w:r w:rsidRPr="00944671">
        <w:rPr>
          <w:i/>
        </w:rPr>
        <w:t>Documents</w:t>
      </w:r>
      <w:r w:rsidRPr="00944671">
        <w:t>:</w:t>
      </w:r>
      <w:r w:rsidRPr="00944671">
        <w:tab/>
        <w:t>ECE/TRANS/WP.15/AC.1/155</w:t>
      </w:r>
    </w:p>
    <w:p w14:paraId="2D22BAEE" w14:textId="77777777" w:rsidR="008F4FAF" w:rsidRPr="00944671" w:rsidRDefault="008F4FAF" w:rsidP="008F4FAF">
      <w:pPr>
        <w:pStyle w:val="SingleTxtG"/>
        <w:ind w:left="3402" w:hanging="2268"/>
      </w:pPr>
      <w:r w:rsidRPr="00944671">
        <w:tab/>
        <w:t>ECE/TRANS/WP.15/AC.1/155/Add.1</w:t>
      </w:r>
    </w:p>
    <w:p w14:paraId="286A158D" w14:textId="77777777" w:rsidR="008F4FAF" w:rsidRPr="00944671" w:rsidRDefault="008F4FAF" w:rsidP="008F4FAF">
      <w:pPr>
        <w:pStyle w:val="SingleTxtG"/>
        <w:rPr>
          <w:iCs/>
        </w:rPr>
      </w:pPr>
      <w:r w:rsidRPr="00944671">
        <w:rPr>
          <w:i/>
        </w:rPr>
        <w:t>Informal documents</w:t>
      </w:r>
      <w:r w:rsidRPr="00944671">
        <w:t xml:space="preserve">: </w:t>
      </w:r>
      <w:r w:rsidRPr="00944671">
        <w:tab/>
      </w:r>
      <w:r w:rsidRPr="00944671">
        <w:rPr>
          <w:iCs/>
        </w:rPr>
        <w:t>INF.1, INF.2 and INF.26 (Secretariat)</w:t>
      </w:r>
    </w:p>
    <w:p w14:paraId="08C99AF1" w14:textId="2C835466" w:rsidR="008F4FAF" w:rsidRPr="00944671" w:rsidRDefault="00E07A65" w:rsidP="008F4FAF">
      <w:pPr>
        <w:pStyle w:val="SingleTxtG"/>
      </w:pPr>
      <w:r w:rsidRPr="00944671">
        <w:t>7</w:t>
      </w:r>
      <w:r w:rsidR="008F4FAF" w:rsidRPr="00944671">
        <w:t>.</w:t>
      </w:r>
      <w:r w:rsidR="008F4FAF" w:rsidRPr="00944671">
        <w:tab/>
        <w:t>The Joint Meeting adopted the agenda proposed by the secretariat in documents ECE/TRANS/WP.15/AC.1/155 and Add.1 as updated by informal document INF.2 after amending it to take account of informal documents INF.1 to INF.</w:t>
      </w:r>
      <w:r w:rsidR="00657A14" w:rsidRPr="00944671">
        <w:t>50</w:t>
      </w:r>
      <w:r w:rsidR="008F4FAF" w:rsidRPr="00944671">
        <w:t>.</w:t>
      </w:r>
    </w:p>
    <w:p w14:paraId="577402D9" w14:textId="6EEFA0A8" w:rsidR="007637A1" w:rsidRPr="00944671" w:rsidRDefault="007637A1" w:rsidP="008F4FAF">
      <w:pPr>
        <w:pStyle w:val="HChG"/>
      </w:pPr>
      <w:r w:rsidRPr="00944671">
        <w:tab/>
      </w:r>
      <w:r w:rsidR="0095609A" w:rsidRPr="00944671">
        <w:rPr>
          <w:lang w:val="fr-CH"/>
        </w:rPr>
        <w:t>I</w:t>
      </w:r>
      <w:r w:rsidR="00317101" w:rsidRPr="00944671">
        <w:rPr>
          <w:lang w:val="fr-CH"/>
        </w:rPr>
        <w:t>V</w:t>
      </w:r>
      <w:r w:rsidRPr="00944671">
        <w:t>.</w:t>
      </w:r>
      <w:r w:rsidRPr="00944671">
        <w:tab/>
        <w:t>Tanks</w:t>
      </w:r>
      <w:r w:rsidR="00A40FEC" w:rsidRPr="00944671">
        <w:rPr>
          <w:lang w:val="fr-CH"/>
        </w:rPr>
        <w:t xml:space="preserve"> </w:t>
      </w:r>
      <w:r w:rsidR="00A40FEC" w:rsidRPr="00944671">
        <w:t xml:space="preserve">(agenda item </w:t>
      </w:r>
      <w:r w:rsidR="00A40FEC" w:rsidRPr="00944671">
        <w:rPr>
          <w:lang w:val="fr-CH"/>
        </w:rPr>
        <w:t>2</w:t>
      </w:r>
      <w:r w:rsidR="00A40FEC" w:rsidRPr="00944671">
        <w:t>)</w:t>
      </w:r>
    </w:p>
    <w:p w14:paraId="5C939B2A" w14:textId="5DC92E54" w:rsidR="008F4FAF" w:rsidRPr="00944671" w:rsidRDefault="00691FB3" w:rsidP="008F4FAF">
      <w:pPr>
        <w:pStyle w:val="SingleTxtG"/>
        <w:spacing w:after="0"/>
        <w:ind w:left="3289" w:hanging="2155"/>
      </w:pPr>
      <w:r w:rsidRPr="00944671">
        <w:rPr>
          <w:i/>
        </w:rPr>
        <w:t>Documents</w:t>
      </w:r>
      <w:r w:rsidRPr="00944671">
        <w:t>:</w:t>
      </w:r>
      <w:r w:rsidR="008F4FAF" w:rsidRPr="00944671">
        <w:tab/>
        <w:t>ECE/TRANS/WP.15/AC.1/2019/25 (United Kingdom)</w:t>
      </w:r>
    </w:p>
    <w:p w14:paraId="25B4723A" w14:textId="77777777" w:rsidR="008F4FAF" w:rsidRPr="00944671" w:rsidRDefault="008F4FAF" w:rsidP="008F4FAF">
      <w:pPr>
        <w:pStyle w:val="SingleTxtG"/>
        <w:spacing w:after="0"/>
        <w:ind w:left="3289" w:hanging="2155"/>
      </w:pPr>
      <w:r w:rsidRPr="00944671">
        <w:tab/>
        <w:t>ECE/TRANS/WP.15/AC.1/2019/26 (United Kingdom)</w:t>
      </w:r>
    </w:p>
    <w:p w14:paraId="168ED7FD" w14:textId="77777777" w:rsidR="008F4FAF" w:rsidRPr="00944671" w:rsidRDefault="008F4FAF" w:rsidP="008F4FAF">
      <w:pPr>
        <w:pStyle w:val="SingleTxtG"/>
        <w:spacing w:after="0"/>
        <w:ind w:left="3289" w:hanging="2155"/>
      </w:pPr>
      <w:r w:rsidRPr="00944671">
        <w:tab/>
        <w:t xml:space="preserve">ECE/TRANS/WP.15/AC.1/2019/39 (United Kingdom) </w:t>
      </w:r>
    </w:p>
    <w:p w14:paraId="0100D23E" w14:textId="77777777" w:rsidR="008F4FAF" w:rsidRPr="00944671" w:rsidRDefault="008F4FAF" w:rsidP="008F4FAF">
      <w:pPr>
        <w:pStyle w:val="SingleTxtG"/>
        <w:spacing w:after="0"/>
        <w:ind w:left="3289" w:hanging="2155"/>
      </w:pPr>
      <w:r w:rsidRPr="00944671">
        <w:tab/>
        <w:t>ECE/TRANS/WP.15/AC.1/2019/40 (United Kingdom)</w:t>
      </w:r>
    </w:p>
    <w:p w14:paraId="178E3306" w14:textId="77777777" w:rsidR="008F4FAF" w:rsidRPr="00944671" w:rsidRDefault="008F4FAF" w:rsidP="008F4FAF">
      <w:pPr>
        <w:pStyle w:val="SingleTxtG"/>
        <w:ind w:left="3289" w:hanging="2155"/>
      </w:pPr>
      <w:r w:rsidRPr="00944671">
        <w:tab/>
        <w:t>ECE/TRANS/WP.15/AC.1/2019/49 (Netherlands)</w:t>
      </w:r>
    </w:p>
    <w:p w14:paraId="45481DE2" w14:textId="77777777" w:rsidR="008F4FAF" w:rsidRPr="00944671" w:rsidRDefault="008F4FAF" w:rsidP="008F4FAF">
      <w:pPr>
        <w:pStyle w:val="SingleTxtG"/>
        <w:spacing w:after="0"/>
        <w:ind w:left="3289" w:hanging="2155"/>
      </w:pPr>
      <w:r w:rsidRPr="00944671">
        <w:rPr>
          <w:i/>
        </w:rPr>
        <w:t>Informal documents</w:t>
      </w:r>
      <w:r w:rsidRPr="00944671">
        <w:t>:</w:t>
      </w:r>
      <w:r w:rsidRPr="00944671">
        <w:tab/>
        <w:t xml:space="preserve">INF.4 (OTIF) </w:t>
      </w:r>
    </w:p>
    <w:p w14:paraId="7AAF4EFD" w14:textId="77777777" w:rsidR="008F4FAF" w:rsidRPr="00944671" w:rsidRDefault="008F4FAF" w:rsidP="008F4FAF">
      <w:pPr>
        <w:pStyle w:val="SingleTxtG"/>
        <w:spacing w:after="0"/>
        <w:ind w:left="3289" w:hanging="2155"/>
      </w:pPr>
      <w:r w:rsidRPr="00944671">
        <w:tab/>
        <w:t>INF.15 (Secretariat)</w:t>
      </w:r>
    </w:p>
    <w:p w14:paraId="32762703" w14:textId="41FDF6D1" w:rsidR="008F4FAF" w:rsidRPr="00944671" w:rsidRDefault="008F4FAF" w:rsidP="008F4FAF">
      <w:pPr>
        <w:pStyle w:val="SingleTxtG"/>
        <w:spacing w:after="0"/>
        <w:ind w:left="3289" w:hanging="2155"/>
      </w:pPr>
      <w:r w:rsidRPr="00944671">
        <w:tab/>
        <w:t>INF.16</w:t>
      </w:r>
      <w:r w:rsidR="00657A14" w:rsidRPr="00944671">
        <w:t>/Rev.1</w:t>
      </w:r>
      <w:r w:rsidRPr="00944671">
        <w:t xml:space="preserve"> (Germany) </w:t>
      </w:r>
    </w:p>
    <w:p w14:paraId="79C37587" w14:textId="77777777" w:rsidR="008F4FAF" w:rsidRPr="00944671" w:rsidRDefault="008F4FAF" w:rsidP="008F4FAF">
      <w:pPr>
        <w:pStyle w:val="SingleTxtG"/>
        <w:spacing w:after="0"/>
        <w:ind w:left="3289" w:hanging="2155"/>
      </w:pPr>
      <w:r w:rsidRPr="00944671">
        <w:tab/>
        <w:t xml:space="preserve">INF.17 (United Kingdom) </w:t>
      </w:r>
    </w:p>
    <w:p w14:paraId="5A80BB45" w14:textId="77777777" w:rsidR="008F4FAF" w:rsidRPr="00944671" w:rsidRDefault="008F4FAF" w:rsidP="008F4FAF">
      <w:pPr>
        <w:pStyle w:val="SingleTxtG"/>
        <w:spacing w:after="0"/>
        <w:ind w:left="3289" w:hanging="2155"/>
      </w:pPr>
      <w:r w:rsidRPr="00944671">
        <w:tab/>
        <w:t xml:space="preserve">INF.18 (United Kingdom) </w:t>
      </w:r>
    </w:p>
    <w:p w14:paraId="179D3064" w14:textId="42C31642" w:rsidR="008F4FAF" w:rsidRPr="00944671" w:rsidRDefault="008F4FAF" w:rsidP="008F4FAF">
      <w:pPr>
        <w:pStyle w:val="SingleTxtG"/>
        <w:spacing w:after="0"/>
        <w:ind w:left="3289" w:hanging="2155"/>
      </w:pPr>
      <w:r w:rsidRPr="00944671">
        <w:tab/>
        <w:t xml:space="preserve">INF.19 (United Kingdom) </w:t>
      </w:r>
    </w:p>
    <w:p w14:paraId="04563C81" w14:textId="77777777" w:rsidR="008F4FAF" w:rsidRPr="00944671" w:rsidRDefault="008F4FAF" w:rsidP="008F4FAF">
      <w:pPr>
        <w:pStyle w:val="SingleTxtG"/>
        <w:spacing w:after="0"/>
        <w:ind w:left="3289" w:hanging="2155"/>
      </w:pPr>
      <w:r w:rsidRPr="00944671">
        <w:tab/>
        <w:t xml:space="preserve">INF.21 (Poland) </w:t>
      </w:r>
    </w:p>
    <w:p w14:paraId="7B5BE1F9" w14:textId="77777777" w:rsidR="008F4FAF" w:rsidRPr="00944671" w:rsidRDefault="008F4FAF" w:rsidP="008F4FAF">
      <w:pPr>
        <w:pStyle w:val="SingleTxtG"/>
        <w:spacing w:after="0"/>
        <w:ind w:left="3289" w:hanging="2155"/>
      </w:pPr>
      <w:r w:rsidRPr="00944671">
        <w:tab/>
        <w:t>INF.24 (Germany)</w:t>
      </w:r>
    </w:p>
    <w:p w14:paraId="0EF907BE" w14:textId="77777777" w:rsidR="008F4FAF" w:rsidRPr="00944671" w:rsidRDefault="008F4FAF" w:rsidP="008F4FAF">
      <w:pPr>
        <w:pStyle w:val="SingleTxtG"/>
        <w:spacing w:after="0"/>
        <w:ind w:left="3289" w:hanging="2155"/>
      </w:pPr>
      <w:r w:rsidRPr="00944671">
        <w:tab/>
        <w:t xml:space="preserve">INF.27 (France) </w:t>
      </w:r>
    </w:p>
    <w:p w14:paraId="02AAC84A" w14:textId="77777777" w:rsidR="008F4FAF" w:rsidRPr="00944671" w:rsidRDefault="008F4FAF" w:rsidP="008F4FAF">
      <w:pPr>
        <w:pStyle w:val="SingleTxtG"/>
        <w:spacing w:after="0"/>
        <w:ind w:left="3289" w:hanging="2155"/>
      </w:pPr>
      <w:r w:rsidRPr="00944671">
        <w:tab/>
        <w:t>INF.29 (France)</w:t>
      </w:r>
    </w:p>
    <w:p w14:paraId="6CD25E33" w14:textId="77777777" w:rsidR="008F4FAF" w:rsidRPr="00944671" w:rsidRDefault="008F4FAF" w:rsidP="008F4FAF">
      <w:pPr>
        <w:pStyle w:val="SingleTxtG"/>
        <w:spacing w:after="0"/>
        <w:ind w:left="3289" w:hanging="2155"/>
      </w:pPr>
      <w:r w:rsidRPr="00944671">
        <w:tab/>
        <w:t>INF.31 (Switzerland)</w:t>
      </w:r>
    </w:p>
    <w:p w14:paraId="5D74C7E2" w14:textId="77777777" w:rsidR="008F4FAF" w:rsidRPr="00944671" w:rsidRDefault="008F4FAF" w:rsidP="008F4FAF">
      <w:pPr>
        <w:pStyle w:val="SingleTxtG"/>
        <w:spacing w:after="0"/>
        <w:ind w:left="3289"/>
      </w:pPr>
      <w:r w:rsidRPr="00944671">
        <w:t>INF.33 (Switzerland)</w:t>
      </w:r>
    </w:p>
    <w:p w14:paraId="64251585" w14:textId="77777777" w:rsidR="008F4FAF" w:rsidRPr="00944671" w:rsidRDefault="008F4FAF" w:rsidP="008F4FAF">
      <w:pPr>
        <w:pStyle w:val="SingleTxtG"/>
        <w:spacing w:after="0"/>
        <w:ind w:left="3289" w:hanging="2155"/>
      </w:pPr>
      <w:r w:rsidRPr="00944671">
        <w:tab/>
        <w:t>INF.37 (Poland)</w:t>
      </w:r>
    </w:p>
    <w:p w14:paraId="7DB78925" w14:textId="77777777" w:rsidR="008F4FAF" w:rsidRPr="00944671" w:rsidRDefault="008F4FAF" w:rsidP="008F4FAF">
      <w:pPr>
        <w:pStyle w:val="SingleTxtG"/>
        <w:spacing w:after="0"/>
        <w:ind w:left="3289" w:hanging="2155"/>
      </w:pPr>
      <w:r w:rsidRPr="00944671">
        <w:tab/>
        <w:t>INF.38 (France)</w:t>
      </w:r>
    </w:p>
    <w:p w14:paraId="05155DFC" w14:textId="5DA01112" w:rsidR="008F4FAF" w:rsidRPr="00944671" w:rsidRDefault="008F4FAF" w:rsidP="00B04A2D">
      <w:pPr>
        <w:pStyle w:val="SingleTxtG"/>
        <w:spacing w:after="0"/>
        <w:ind w:left="3289" w:hanging="2155"/>
      </w:pPr>
      <w:r w:rsidRPr="00944671">
        <w:tab/>
        <w:t>INF.39 (France)</w:t>
      </w:r>
    </w:p>
    <w:p w14:paraId="1FC344AC" w14:textId="34DC7924" w:rsidR="008F4FAF" w:rsidRPr="00944671" w:rsidRDefault="00E07A65" w:rsidP="008F4FAF">
      <w:pPr>
        <w:pStyle w:val="SingleTxtG"/>
        <w:spacing w:before="240" w:after="0"/>
      </w:pPr>
      <w:r w:rsidRPr="00944671">
        <w:t>8</w:t>
      </w:r>
      <w:r w:rsidR="008F4FAF" w:rsidRPr="00944671">
        <w:t>.</w:t>
      </w:r>
      <w:r w:rsidR="008F4FAF" w:rsidRPr="00944671">
        <w:tab/>
        <w:t>After a brief introduction in plenary, consideration of the documents under agenda item 2 was entrusted to the Working Group on Tanks that met from 17 to 19 September 2019 with Mr. A. Bale (United Kingdom) as Chair.</w:t>
      </w:r>
    </w:p>
    <w:p w14:paraId="212E2FD6" w14:textId="009AA07D" w:rsidR="008F4FAF" w:rsidRPr="00944671" w:rsidRDefault="00E07A65" w:rsidP="008F4FAF">
      <w:pPr>
        <w:pStyle w:val="SingleTxtG"/>
        <w:spacing w:before="240" w:after="0"/>
      </w:pPr>
      <w:r w:rsidRPr="00944671">
        <w:t>9</w:t>
      </w:r>
      <w:r w:rsidR="008F4FAF" w:rsidRPr="00944671">
        <w:t>.</w:t>
      </w:r>
      <w:r w:rsidR="008F4FAF" w:rsidRPr="00944671">
        <w:tab/>
        <w:t xml:space="preserve">The Joint Meeting considered the tank related amendments to 4.2.5.3 and 6.7.2.19.6.2 in informal documents INF.31 and INF.24 and concluded that it was not necessary to forward these linguistic questions to the </w:t>
      </w:r>
      <w:r w:rsidR="00905AAB">
        <w:t>W</w:t>
      </w:r>
      <w:r w:rsidR="008F4FAF" w:rsidRPr="00944671">
        <w:t xml:space="preserve">orking </w:t>
      </w:r>
      <w:r w:rsidR="00905AAB">
        <w:t>G</w:t>
      </w:r>
      <w:r w:rsidR="008F4FAF" w:rsidRPr="00944671">
        <w:t xml:space="preserve">roup on </w:t>
      </w:r>
      <w:r w:rsidR="00905AAB">
        <w:t>T</w:t>
      </w:r>
      <w:r w:rsidR="008F4FAF" w:rsidRPr="00944671">
        <w:t xml:space="preserve">anks. After an exchange of views, most delegations considered that the current texts in </w:t>
      </w:r>
      <w:r w:rsidR="00905AAB" w:rsidRPr="00944671">
        <w:t>RID</w:t>
      </w:r>
      <w:r w:rsidR="00905AAB">
        <w:t>/</w:t>
      </w:r>
      <w:r w:rsidR="008F4FAF" w:rsidRPr="00944671">
        <w:t xml:space="preserve">ADR were appropriate and in line with the Model Regulations and concluded that they should not be modified. The Joint Meeting confirmed that the 5-year periodic inspection and test shall be performed before refilling. It agreed that, should additional clarifications be necessary, a proposal for amendment to the Model Regulations should be submitted to the Sub-Committee of Experts on the </w:t>
      </w:r>
      <w:r w:rsidR="001C4937" w:rsidRPr="00944671">
        <w:t xml:space="preserve">Transport </w:t>
      </w:r>
      <w:r w:rsidR="008F4FAF" w:rsidRPr="00944671">
        <w:t>of Dangerous Goods (TDG Sub-Committee).</w:t>
      </w:r>
    </w:p>
    <w:p w14:paraId="2D08F17F" w14:textId="6D0747AB" w:rsidR="0095609A" w:rsidRPr="00944671" w:rsidRDefault="0095609A" w:rsidP="0095609A">
      <w:pPr>
        <w:pStyle w:val="H1G"/>
        <w:spacing w:before="240" w:line="240" w:lineRule="auto"/>
      </w:pPr>
      <w:r w:rsidRPr="00944671">
        <w:tab/>
      </w:r>
      <w:r w:rsidRPr="00944671">
        <w:tab/>
        <w:t>Report of the Working Group on Tanks</w:t>
      </w:r>
    </w:p>
    <w:p w14:paraId="4B255114" w14:textId="0D626952" w:rsidR="0095609A" w:rsidRPr="00944671" w:rsidRDefault="0095609A" w:rsidP="0095609A">
      <w:pPr>
        <w:pStyle w:val="SingleTxtG"/>
        <w:tabs>
          <w:tab w:val="left" w:pos="3119"/>
        </w:tabs>
        <w:spacing w:after="0"/>
      </w:pPr>
      <w:r w:rsidRPr="00944671">
        <w:rPr>
          <w:i/>
          <w:iCs/>
        </w:rPr>
        <w:t>Informal document</w:t>
      </w:r>
      <w:r w:rsidR="00374366" w:rsidRPr="00944671">
        <w:rPr>
          <w:i/>
          <w:iCs/>
        </w:rPr>
        <w:t>s</w:t>
      </w:r>
      <w:r w:rsidRPr="00944671">
        <w:rPr>
          <w:i/>
          <w:iCs/>
        </w:rPr>
        <w:t>:</w:t>
      </w:r>
      <w:r w:rsidRPr="00944671">
        <w:t xml:space="preserve"> </w:t>
      </w:r>
      <w:r w:rsidRPr="00944671">
        <w:tab/>
        <w:t>INF.45 (Report of the Working Group on Tanks)</w:t>
      </w:r>
    </w:p>
    <w:p w14:paraId="71A45217" w14:textId="77777777" w:rsidR="0095609A" w:rsidRPr="00944671" w:rsidRDefault="0095609A" w:rsidP="0095609A">
      <w:pPr>
        <w:pStyle w:val="SingleTxtG"/>
        <w:tabs>
          <w:tab w:val="left" w:pos="3119"/>
        </w:tabs>
      </w:pPr>
      <w:r w:rsidRPr="00944671">
        <w:rPr>
          <w:i/>
          <w:iCs/>
        </w:rPr>
        <w:tab/>
      </w:r>
      <w:r w:rsidRPr="00944671">
        <w:t>INF.19/Rev.1 and INF.47 (United Kingdom)</w:t>
      </w:r>
    </w:p>
    <w:p w14:paraId="47EE36CA" w14:textId="34966961" w:rsidR="0095609A" w:rsidRPr="00944671" w:rsidRDefault="00E07A65" w:rsidP="0095609A">
      <w:pPr>
        <w:pStyle w:val="SingleTxtG"/>
      </w:pPr>
      <w:r w:rsidRPr="00944671">
        <w:lastRenderedPageBreak/>
        <w:t>10</w:t>
      </w:r>
      <w:r w:rsidR="0095609A" w:rsidRPr="00944671">
        <w:t>.</w:t>
      </w:r>
      <w:r w:rsidR="0095609A" w:rsidRPr="00944671">
        <w:tab/>
        <w:t xml:space="preserve">The Joint Meeting noted the outcome of the Working Group whose report appears in annex </w:t>
      </w:r>
      <w:r w:rsidR="00397874" w:rsidRPr="00944671">
        <w:t xml:space="preserve">I </w:t>
      </w:r>
      <w:r w:rsidR="0095609A" w:rsidRPr="00944671">
        <w:t xml:space="preserve">as addendum </w:t>
      </w:r>
      <w:r w:rsidR="00397874" w:rsidRPr="00944671">
        <w:t>I</w:t>
      </w:r>
      <w:r w:rsidR="0095609A" w:rsidRPr="00944671">
        <w:t xml:space="preserve"> to this report. It adopted </w:t>
      </w:r>
      <w:r w:rsidR="00397874" w:rsidRPr="00944671">
        <w:t>p</w:t>
      </w:r>
      <w:r w:rsidR="0095609A" w:rsidRPr="00944671">
        <w:t xml:space="preserve">roposals 1 to 5 </w:t>
      </w:r>
      <w:r w:rsidR="00905AAB">
        <w:t>in annex 1</w:t>
      </w:r>
      <w:r w:rsidR="0095609A" w:rsidRPr="00944671">
        <w:t xml:space="preserve"> (see annex</w:t>
      </w:r>
      <w:r w:rsidR="00397874" w:rsidRPr="00944671">
        <w:t xml:space="preserve"> II</w:t>
      </w:r>
      <w:r w:rsidR="0095609A" w:rsidRPr="00944671">
        <w:t>).</w:t>
      </w:r>
    </w:p>
    <w:p w14:paraId="18B8B5BB" w14:textId="1EADB2F5" w:rsidR="0095609A" w:rsidRPr="00944671" w:rsidRDefault="0095609A" w:rsidP="0095609A">
      <w:pPr>
        <w:pStyle w:val="SingleTxtG"/>
        <w:spacing w:line="240" w:lineRule="auto"/>
      </w:pPr>
      <w:r w:rsidRPr="00944671">
        <w:t>1</w:t>
      </w:r>
      <w:r w:rsidR="00E07A65" w:rsidRPr="00944671">
        <w:t>1</w:t>
      </w:r>
      <w:r w:rsidRPr="00944671">
        <w:t>.</w:t>
      </w:r>
      <w:r w:rsidRPr="00944671">
        <w:tab/>
        <w:t xml:space="preserve">On item 4, the Joint Meeting considered the guideline for the application of the proposed addition to footnote 3 </w:t>
      </w:r>
      <w:r w:rsidR="00397874" w:rsidRPr="00944671">
        <w:t xml:space="preserve">to </w:t>
      </w:r>
      <w:r w:rsidRPr="00944671">
        <w:t xml:space="preserve">6.8.2.1.18 </w:t>
      </w:r>
      <w:r w:rsidR="00397874" w:rsidRPr="00944671">
        <w:t xml:space="preserve">of ADR </w:t>
      </w:r>
      <w:r w:rsidRPr="00944671">
        <w:t xml:space="preserve">as </w:t>
      </w:r>
      <w:r w:rsidR="001C4937" w:rsidRPr="00944671">
        <w:t xml:space="preserve">revised </w:t>
      </w:r>
      <w:r w:rsidRPr="00944671">
        <w:t xml:space="preserve">in informal document INF.47. </w:t>
      </w:r>
      <w:r w:rsidR="001C4937" w:rsidRPr="00944671">
        <w:t>Whilst it was noted that the text could be simplified, there were no other comments and t</w:t>
      </w:r>
      <w:r w:rsidRPr="00944671">
        <w:t xml:space="preserve">he representative of the United Kingdom volunteered to submit a final </w:t>
      </w:r>
      <w:r w:rsidR="001C4937" w:rsidRPr="00944671">
        <w:t xml:space="preserve">simplified </w:t>
      </w:r>
      <w:r w:rsidRPr="00944671">
        <w:t xml:space="preserve">version to the Working Party on the Transport of Dangerous Goods </w:t>
      </w:r>
      <w:r w:rsidR="00397874" w:rsidRPr="00944671">
        <w:t xml:space="preserve">(WP.15) </w:t>
      </w:r>
      <w:r w:rsidRPr="00944671">
        <w:t xml:space="preserve">for consideration at its </w:t>
      </w:r>
      <w:r w:rsidR="00397874" w:rsidRPr="00944671">
        <w:t xml:space="preserve">107th session in </w:t>
      </w:r>
      <w:r w:rsidRPr="00944671">
        <w:t>November 2019.</w:t>
      </w:r>
    </w:p>
    <w:p w14:paraId="01209251" w14:textId="2363D5E5" w:rsidR="0095609A" w:rsidRPr="00944671" w:rsidRDefault="00BC2ECA" w:rsidP="0095609A">
      <w:pPr>
        <w:pStyle w:val="SingleTxtG"/>
        <w:spacing w:line="240" w:lineRule="auto"/>
      </w:pPr>
      <w:r w:rsidRPr="00944671">
        <w:t>1</w:t>
      </w:r>
      <w:r w:rsidR="00E07A65" w:rsidRPr="00944671">
        <w:t>2</w:t>
      </w:r>
      <w:r w:rsidR="0095609A" w:rsidRPr="00944671">
        <w:t>.</w:t>
      </w:r>
      <w:r w:rsidR="0095609A" w:rsidRPr="00944671">
        <w:tab/>
        <w:t xml:space="preserve">On item </w:t>
      </w:r>
      <w:r w:rsidR="00905AAB">
        <w:t>5</w:t>
      </w:r>
      <w:r w:rsidR="0095609A" w:rsidRPr="00944671">
        <w:t xml:space="preserve">, the Joint Meeting concurred with the working group on the need to complete the wording and forward an official document for the March 2020 session of the Joint Meeting. All delegations were urged to study the informal document INF.19/Rev.1, and to send their written comments and proposals in English before the end of October 2019 to the chair of the informal working group for consideration by the group at its next meeting scheduled to be held in London, </w:t>
      </w:r>
      <w:r w:rsidR="00397874" w:rsidRPr="00944671">
        <w:t>from</w:t>
      </w:r>
      <w:r w:rsidR="0095609A" w:rsidRPr="00944671">
        <w:t xml:space="preserve"> 11</w:t>
      </w:r>
      <w:r w:rsidR="00397874" w:rsidRPr="00944671">
        <w:t xml:space="preserve"> to </w:t>
      </w:r>
      <w:r w:rsidR="0095609A" w:rsidRPr="00944671">
        <w:t>13 December 2019.</w:t>
      </w:r>
    </w:p>
    <w:p w14:paraId="43D3BD10" w14:textId="631F0D1F" w:rsidR="0095609A" w:rsidRPr="00944671" w:rsidRDefault="00BC2ECA" w:rsidP="007D09A6">
      <w:pPr>
        <w:pStyle w:val="SingleTxtG"/>
        <w:spacing w:line="240" w:lineRule="auto"/>
      </w:pPr>
      <w:r w:rsidRPr="00944671">
        <w:t>1</w:t>
      </w:r>
      <w:r w:rsidR="00E07A65" w:rsidRPr="00944671">
        <w:t>3</w:t>
      </w:r>
      <w:r w:rsidR="0095609A" w:rsidRPr="00944671">
        <w:t>.</w:t>
      </w:r>
      <w:r w:rsidR="0095609A" w:rsidRPr="00944671">
        <w:tab/>
        <w:t xml:space="preserve">On item </w:t>
      </w:r>
      <w:r w:rsidR="00905AAB">
        <w:t>6</w:t>
      </w:r>
      <w:r w:rsidR="0095609A" w:rsidRPr="00944671">
        <w:t>, the representative</w:t>
      </w:r>
      <w:r w:rsidR="00397874" w:rsidRPr="00944671">
        <w:t>s</w:t>
      </w:r>
      <w:r w:rsidR="0095609A" w:rsidRPr="00944671">
        <w:t xml:space="preserve"> of </w:t>
      </w:r>
      <w:r w:rsidR="001C4937" w:rsidRPr="00944671">
        <w:t xml:space="preserve">Belgium and </w:t>
      </w:r>
      <w:r w:rsidR="0095609A" w:rsidRPr="00944671">
        <w:t xml:space="preserve">the Netherlands indicated that </w:t>
      </w:r>
      <w:r w:rsidR="001C4937" w:rsidRPr="00944671">
        <w:t xml:space="preserve">they </w:t>
      </w:r>
      <w:r w:rsidR="0095609A" w:rsidRPr="00944671">
        <w:t xml:space="preserve">did not support the conclusion of the Working Group. </w:t>
      </w:r>
      <w:r w:rsidR="00645784" w:rsidRPr="00944671">
        <w:t>However, t</w:t>
      </w:r>
      <w:r w:rsidR="0095609A" w:rsidRPr="00944671">
        <w:t xml:space="preserve">he </w:t>
      </w:r>
      <w:r w:rsidR="00645784" w:rsidRPr="00944671">
        <w:t>Joint Meeting</w:t>
      </w:r>
      <w:r w:rsidR="0095609A" w:rsidRPr="00944671">
        <w:t xml:space="preserve"> concluded to go forward as recommended by the Working Group.</w:t>
      </w:r>
    </w:p>
    <w:p w14:paraId="3133AE9A" w14:textId="79F33541" w:rsidR="008F4FAF" w:rsidRPr="00944671" w:rsidRDefault="007637A1" w:rsidP="008F4FAF">
      <w:pPr>
        <w:pStyle w:val="HChG"/>
        <w:ind w:right="0"/>
      </w:pPr>
      <w:r w:rsidRPr="00944671">
        <w:tab/>
      </w:r>
      <w:r w:rsidR="008F4FAF" w:rsidRPr="00944671">
        <w:t>V.</w:t>
      </w:r>
      <w:r w:rsidR="008F4FAF" w:rsidRPr="00944671">
        <w:tab/>
        <w:t>Standards (agenda item 3)</w:t>
      </w:r>
    </w:p>
    <w:p w14:paraId="00B9CFE0" w14:textId="10A89489" w:rsidR="00FC490E" w:rsidRPr="00944671" w:rsidRDefault="00FC490E" w:rsidP="00FC490E">
      <w:pPr>
        <w:pStyle w:val="SingleTxtG"/>
        <w:spacing w:after="0"/>
        <w:ind w:left="3289" w:hanging="2155"/>
        <w:jc w:val="left"/>
        <w:rPr>
          <w:lang w:eastAsia="fr-FR"/>
        </w:rPr>
      </w:pPr>
      <w:r w:rsidRPr="00944671">
        <w:rPr>
          <w:i/>
        </w:rPr>
        <w:t>Documents</w:t>
      </w:r>
      <w:r w:rsidRPr="00944671">
        <w:t xml:space="preserve">: </w:t>
      </w:r>
      <w:r w:rsidRPr="00944671">
        <w:tab/>
        <w:t>ECE/TRANS/WP.15/AC.1/2019/35 (Finland)</w:t>
      </w:r>
    </w:p>
    <w:p w14:paraId="7368785F" w14:textId="77777777" w:rsidR="00FC490E" w:rsidRPr="00944671" w:rsidRDefault="00FC490E" w:rsidP="00FC490E">
      <w:pPr>
        <w:pStyle w:val="SingleTxtG"/>
        <w:spacing w:after="0"/>
        <w:ind w:left="3289" w:hanging="2155"/>
        <w:jc w:val="left"/>
      </w:pPr>
      <w:r w:rsidRPr="00944671">
        <w:tab/>
        <w:t>ECE/TRANS/WP.15/AC.1/2019/36 (Finland)</w:t>
      </w:r>
    </w:p>
    <w:p w14:paraId="09DED6F7" w14:textId="77777777" w:rsidR="00FC490E" w:rsidRPr="00944671" w:rsidRDefault="00FC490E" w:rsidP="00FC490E">
      <w:pPr>
        <w:pStyle w:val="SingleTxtG"/>
        <w:spacing w:after="0"/>
        <w:ind w:left="3289" w:hanging="2155"/>
        <w:jc w:val="left"/>
      </w:pPr>
      <w:r w:rsidRPr="00944671">
        <w:tab/>
        <w:t>ECE/TRANS/WP.15/AC.1/2019/46 (CEN)</w:t>
      </w:r>
    </w:p>
    <w:p w14:paraId="44E989E3" w14:textId="77777777" w:rsidR="00FC490E" w:rsidRPr="00944671" w:rsidRDefault="00FC490E" w:rsidP="00FC490E">
      <w:pPr>
        <w:pStyle w:val="SingleTxtG"/>
        <w:ind w:left="3289" w:hanging="2155"/>
        <w:jc w:val="left"/>
        <w:rPr>
          <w:i/>
        </w:rPr>
      </w:pPr>
      <w:r w:rsidRPr="00944671">
        <w:rPr>
          <w:i/>
        </w:rPr>
        <w:t>Informal documents</w:t>
      </w:r>
      <w:r w:rsidRPr="00944671">
        <w:t>:</w:t>
      </w:r>
      <w:r w:rsidRPr="00944671">
        <w:tab/>
        <w:t>INF.32 and INF.41 (CEN)</w:t>
      </w:r>
    </w:p>
    <w:p w14:paraId="4E5BA03B" w14:textId="75C6FFC1" w:rsidR="00FC490E" w:rsidRPr="00944671" w:rsidRDefault="00BC2ECA" w:rsidP="00FC490E">
      <w:pPr>
        <w:pStyle w:val="SingleTxtG"/>
      </w:pPr>
      <w:r w:rsidRPr="00944671">
        <w:t>1</w:t>
      </w:r>
      <w:r w:rsidR="00E07A65" w:rsidRPr="00944671">
        <w:t>4</w:t>
      </w:r>
      <w:r w:rsidR="00FC490E" w:rsidRPr="00944671">
        <w:t>.</w:t>
      </w:r>
      <w:r w:rsidR="00FC490E" w:rsidRPr="00944671">
        <w:tab/>
        <w:t>The Joint Meeting adopted proposal 3 in ECE/TRANS/WP.15/AC.1/2019/35 (see annex</w:t>
      </w:r>
      <w:r w:rsidR="00397874" w:rsidRPr="00944671">
        <w:t xml:space="preserve"> II</w:t>
      </w:r>
      <w:r w:rsidR="00FC490E" w:rsidRPr="00944671">
        <w:t>).</w:t>
      </w:r>
    </w:p>
    <w:p w14:paraId="3743659A" w14:textId="4B21EC09" w:rsidR="00FC490E" w:rsidRPr="00944671" w:rsidRDefault="00BC2ECA" w:rsidP="0036307A">
      <w:pPr>
        <w:pStyle w:val="SingleTxtG"/>
      </w:pPr>
      <w:r w:rsidRPr="00944671">
        <w:t>1</w:t>
      </w:r>
      <w:r w:rsidR="00E07A65" w:rsidRPr="00944671">
        <w:t>5</w:t>
      </w:r>
      <w:r w:rsidR="00FC490E" w:rsidRPr="00944671">
        <w:t>.</w:t>
      </w:r>
      <w:r w:rsidR="00FC490E" w:rsidRPr="00944671">
        <w:tab/>
        <w:t>The Joint Meeting adopted by vote proposal 2 in ECE/TRANS/WP.15/AC.1/2019/36 (see annex</w:t>
      </w:r>
      <w:r w:rsidR="00397874" w:rsidRPr="00944671">
        <w:t xml:space="preserve"> II</w:t>
      </w:r>
      <w:r w:rsidR="00FC490E" w:rsidRPr="00944671">
        <w:t>).</w:t>
      </w:r>
      <w:r w:rsidR="0036307A" w:rsidRPr="00944671">
        <w:t xml:space="preserve"> </w:t>
      </w:r>
      <w:r w:rsidR="00FC490E" w:rsidRPr="00944671">
        <w:t xml:space="preserve">The Joint Meeting also adopted the proposed amendment in </w:t>
      </w:r>
      <w:r w:rsidR="00905AAB">
        <w:t xml:space="preserve">informal document </w:t>
      </w:r>
      <w:r w:rsidR="00FC490E" w:rsidRPr="00944671">
        <w:t>INF.41 (see annex</w:t>
      </w:r>
      <w:r w:rsidR="00397874" w:rsidRPr="00944671">
        <w:t xml:space="preserve"> II</w:t>
      </w:r>
      <w:r w:rsidR="00FC490E" w:rsidRPr="00944671">
        <w:t>).</w:t>
      </w:r>
    </w:p>
    <w:p w14:paraId="2F9D83D0" w14:textId="148A517C" w:rsidR="00FC490E" w:rsidRPr="00944671" w:rsidRDefault="00BC2ECA" w:rsidP="00FC490E">
      <w:pPr>
        <w:pStyle w:val="SingleTxtG"/>
        <w:spacing w:before="240" w:after="0"/>
      </w:pPr>
      <w:r w:rsidRPr="00944671">
        <w:t>1</w:t>
      </w:r>
      <w:r w:rsidR="0036307A" w:rsidRPr="00944671">
        <w:t>6</w:t>
      </w:r>
      <w:r w:rsidR="00FC490E" w:rsidRPr="00944671">
        <w:t>.</w:t>
      </w:r>
      <w:r w:rsidR="00FC490E" w:rsidRPr="00944671">
        <w:tab/>
        <w:t>Consideration of documents ECE/TRANS/WP.15/AC.1/2019/46 and informal document INF.32 were entrusted to the Working Group on Standards, which met during the lunch breaks. The group was also requested to consider the amendments to 4.1.6.15 proposed in ECE/TRANS/WP.15/AC.1/2019/22/Add.1.</w:t>
      </w:r>
    </w:p>
    <w:p w14:paraId="6472EB7B" w14:textId="7C6BFD28" w:rsidR="009F4631" w:rsidRPr="00944671" w:rsidRDefault="009F4631" w:rsidP="009F4631">
      <w:pPr>
        <w:pStyle w:val="H1G"/>
        <w:rPr>
          <w:lang w:eastAsia="fr-FR"/>
        </w:rPr>
      </w:pPr>
      <w:r w:rsidRPr="00944671">
        <w:tab/>
      </w:r>
      <w:r w:rsidR="00AE164D" w:rsidRPr="00944671">
        <w:tab/>
      </w:r>
      <w:r w:rsidRPr="00944671">
        <w:t xml:space="preserve">Report of the </w:t>
      </w:r>
      <w:r w:rsidR="00397874" w:rsidRPr="00944671">
        <w:t>W</w:t>
      </w:r>
      <w:r w:rsidRPr="00944671">
        <w:t xml:space="preserve">orking </w:t>
      </w:r>
      <w:r w:rsidR="00397874" w:rsidRPr="00944671">
        <w:t>G</w:t>
      </w:r>
      <w:r w:rsidRPr="00944671">
        <w:t xml:space="preserve">roup on </w:t>
      </w:r>
      <w:r w:rsidR="00A01117" w:rsidRPr="00944671">
        <w:t>S</w:t>
      </w:r>
      <w:r w:rsidRPr="00944671">
        <w:t>tandards</w:t>
      </w:r>
    </w:p>
    <w:p w14:paraId="27C0ADD2" w14:textId="77777777" w:rsidR="009F4631" w:rsidRPr="00944671" w:rsidRDefault="009F4631" w:rsidP="009F4631">
      <w:pPr>
        <w:pStyle w:val="SingleTxtG"/>
        <w:tabs>
          <w:tab w:val="left" w:pos="3119"/>
        </w:tabs>
        <w:spacing w:after="240"/>
        <w:jc w:val="left"/>
      </w:pPr>
      <w:r w:rsidRPr="00944671">
        <w:rPr>
          <w:i/>
          <w:iCs/>
        </w:rPr>
        <w:t>Informal document:</w:t>
      </w:r>
      <w:r w:rsidRPr="00944671">
        <w:tab/>
        <w:t>INF.50 (Report of the Working Group on Standards)</w:t>
      </w:r>
    </w:p>
    <w:p w14:paraId="11F3AEA2" w14:textId="6F68EDD5" w:rsidR="00FC490E" w:rsidRPr="00944671" w:rsidRDefault="00BC2ECA" w:rsidP="007D09A6">
      <w:pPr>
        <w:pStyle w:val="SingleTxtG"/>
      </w:pPr>
      <w:r w:rsidRPr="00944671">
        <w:t>1</w:t>
      </w:r>
      <w:r w:rsidR="0036307A" w:rsidRPr="00944671">
        <w:t>7</w:t>
      </w:r>
      <w:r w:rsidR="009F4631" w:rsidRPr="00944671">
        <w:t>.</w:t>
      </w:r>
      <w:r w:rsidR="009F4631" w:rsidRPr="00944671">
        <w:tab/>
        <w:t xml:space="preserve">The Joint Meeting took note of the recommendations and conclusions of the Working Group in informal document INF.50 and adopted the proposed amendments to </w:t>
      </w:r>
      <w:r w:rsidR="00645784" w:rsidRPr="00944671">
        <w:t>4.1.6.15</w:t>
      </w:r>
      <w:r w:rsidR="009F4631" w:rsidRPr="00944671">
        <w:t>, 6.2.4.1, 6.2.4.2 and P200 of RID/ADR with minor editorial changes (see annex</w:t>
      </w:r>
      <w:r w:rsidR="00397874" w:rsidRPr="00944671">
        <w:t xml:space="preserve"> II</w:t>
      </w:r>
      <w:r w:rsidR="009F4631" w:rsidRPr="00944671">
        <w:t>).</w:t>
      </w:r>
    </w:p>
    <w:p w14:paraId="5CCDC5A6" w14:textId="024EF1EF" w:rsidR="001842E4" w:rsidRPr="00944671" w:rsidRDefault="007637A1" w:rsidP="001842E4">
      <w:pPr>
        <w:pStyle w:val="HChG"/>
        <w:ind w:right="0"/>
      </w:pPr>
      <w:r w:rsidRPr="00944671">
        <w:lastRenderedPageBreak/>
        <w:tab/>
      </w:r>
      <w:r w:rsidR="001842E4" w:rsidRPr="00944671">
        <w:t>V</w:t>
      </w:r>
      <w:r w:rsidR="00317101" w:rsidRPr="00944671">
        <w:rPr>
          <w:lang w:val="fr-CH"/>
        </w:rPr>
        <w:t>I</w:t>
      </w:r>
      <w:r w:rsidR="001842E4" w:rsidRPr="00944671">
        <w:t>.</w:t>
      </w:r>
      <w:r w:rsidR="001842E4" w:rsidRPr="00944671">
        <w:tab/>
        <w:t>Harmonization with the United Nations Recommendations on the Transport of Dangerous Goods (agenda item 4)</w:t>
      </w:r>
    </w:p>
    <w:p w14:paraId="5D244D2A" w14:textId="77777777" w:rsidR="001842E4" w:rsidRPr="00944671" w:rsidRDefault="001842E4" w:rsidP="001842E4">
      <w:pPr>
        <w:pStyle w:val="H1G"/>
      </w:pPr>
      <w:r w:rsidRPr="00944671">
        <w:tab/>
        <w:t>A.</w:t>
      </w:r>
      <w:r w:rsidRPr="00944671">
        <w:tab/>
        <w:t>Report of the Ad Hoc Working Group on the Harmonization of RID/ADR/ADN with the United Nations Recommendations on the Transport of Dangerous Goods</w:t>
      </w:r>
    </w:p>
    <w:p w14:paraId="54B1389F" w14:textId="79DFE9AC" w:rsidR="001842E4" w:rsidRPr="00944671" w:rsidRDefault="001842E4" w:rsidP="001842E4">
      <w:pPr>
        <w:pStyle w:val="SingleTxtG"/>
        <w:tabs>
          <w:tab w:val="left" w:pos="3261"/>
        </w:tabs>
        <w:spacing w:before="120"/>
      </w:pPr>
      <w:r w:rsidRPr="00944671">
        <w:rPr>
          <w:i/>
        </w:rPr>
        <w:t>Document</w:t>
      </w:r>
      <w:r w:rsidR="00AE164D" w:rsidRPr="00944671">
        <w:rPr>
          <w:i/>
        </w:rPr>
        <w:t>s</w:t>
      </w:r>
      <w:r w:rsidRPr="00944671">
        <w:t>:</w:t>
      </w:r>
      <w:r w:rsidRPr="00944671">
        <w:tab/>
        <w:t>ECE/TRANS/WP.15/AC.1/2019/22 and Add.1 (Secretariat)</w:t>
      </w:r>
    </w:p>
    <w:p w14:paraId="2DD608F9" w14:textId="2E77AE5D" w:rsidR="001842E4" w:rsidRPr="00D64E9E" w:rsidRDefault="001842E4" w:rsidP="001842E4">
      <w:pPr>
        <w:pStyle w:val="SingleTxtG"/>
        <w:spacing w:after="0"/>
        <w:ind w:left="3289" w:hanging="2155"/>
      </w:pPr>
      <w:r w:rsidRPr="00D64E9E">
        <w:rPr>
          <w:i/>
          <w:iCs/>
        </w:rPr>
        <w:t>Informal documents:</w:t>
      </w:r>
      <w:r w:rsidRPr="00D64E9E">
        <w:tab/>
        <w:t>INF.20 (</w:t>
      </w:r>
      <w:r w:rsidR="00B04A2D">
        <w:t xml:space="preserve">Secretariat of </w:t>
      </w:r>
      <w:r w:rsidRPr="00D64E9E">
        <w:t>OTIF)</w:t>
      </w:r>
    </w:p>
    <w:p w14:paraId="072310CD" w14:textId="77777777" w:rsidR="001842E4" w:rsidRPr="00D64E9E" w:rsidRDefault="001842E4" w:rsidP="001842E4">
      <w:pPr>
        <w:pStyle w:val="SingleTxtG"/>
        <w:spacing w:after="0"/>
        <w:ind w:left="3289" w:hanging="2155"/>
      </w:pPr>
      <w:r w:rsidRPr="00D64E9E">
        <w:tab/>
        <w:t>INF.24 (Germany)</w:t>
      </w:r>
    </w:p>
    <w:p w14:paraId="674841DE" w14:textId="77777777" w:rsidR="001842E4" w:rsidRPr="00D64E9E" w:rsidRDefault="001842E4" w:rsidP="001842E4">
      <w:pPr>
        <w:pStyle w:val="SingleTxtG"/>
        <w:spacing w:after="0"/>
        <w:ind w:left="3289" w:hanging="2155"/>
      </w:pPr>
      <w:r w:rsidRPr="00D64E9E">
        <w:tab/>
        <w:t>INF.30 (Switzerland)</w:t>
      </w:r>
    </w:p>
    <w:p w14:paraId="5A13C0BB" w14:textId="0AFEEE82" w:rsidR="001842E4" w:rsidRPr="00D64E9E" w:rsidRDefault="001842E4" w:rsidP="001842E4">
      <w:pPr>
        <w:pStyle w:val="SingleTxtG"/>
        <w:spacing w:after="0"/>
        <w:ind w:left="3289" w:hanging="2155"/>
      </w:pPr>
      <w:r w:rsidRPr="00D64E9E">
        <w:tab/>
        <w:t>INF.31 (Switzerland)</w:t>
      </w:r>
    </w:p>
    <w:p w14:paraId="7110A5F9" w14:textId="621D72F7" w:rsidR="00645784" w:rsidRPr="00D64E9E" w:rsidRDefault="00645784" w:rsidP="00645784">
      <w:pPr>
        <w:pStyle w:val="SingleTxtG"/>
        <w:spacing w:after="0"/>
        <w:ind w:left="3289" w:hanging="2155"/>
      </w:pPr>
      <w:r w:rsidRPr="00D64E9E">
        <w:tab/>
        <w:t>INF.43 (EIGA)</w:t>
      </w:r>
    </w:p>
    <w:p w14:paraId="2D66CD3E" w14:textId="460D305E" w:rsidR="00645784" w:rsidRPr="00D64E9E" w:rsidRDefault="00645784" w:rsidP="00645784">
      <w:pPr>
        <w:pStyle w:val="SingleTxtG"/>
        <w:spacing w:after="0"/>
        <w:ind w:left="3289" w:hanging="2155"/>
      </w:pPr>
      <w:r w:rsidRPr="00D64E9E">
        <w:tab/>
        <w:t>INF.49 (Switzerland)</w:t>
      </w:r>
    </w:p>
    <w:p w14:paraId="42D5B308" w14:textId="0896C933" w:rsidR="001842E4" w:rsidRPr="00944671" w:rsidRDefault="001842E4" w:rsidP="001842E4">
      <w:pPr>
        <w:pStyle w:val="SingleTxtG"/>
        <w:spacing w:before="120"/>
      </w:pPr>
      <w:r w:rsidRPr="00944671">
        <w:t>1</w:t>
      </w:r>
      <w:r w:rsidR="0036307A" w:rsidRPr="00944671">
        <w:t>8</w:t>
      </w:r>
      <w:r w:rsidRPr="00944671">
        <w:t>.</w:t>
      </w:r>
      <w:r w:rsidRPr="00944671">
        <w:tab/>
        <w:t xml:space="preserve">The Joint Meeting took note of the Ad Hoc Working Group’s report ECE/TRANS/WP.15/AC.1/2019/22 </w:t>
      </w:r>
      <w:r w:rsidR="00905AAB">
        <w:t>and Add.</w:t>
      </w:r>
      <w:proofErr w:type="gramStart"/>
      <w:r w:rsidR="00905AAB">
        <w:t xml:space="preserve">1, </w:t>
      </w:r>
      <w:r w:rsidRPr="00944671">
        <w:t>and</w:t>
      </w:r>
      <w:proofErr w:type="gramEnd"/>
      <w:r w:rsidRPr="00944671">
        <w:t xml:space="preserve"> considered one by one the amendments proposed for harmonization with the provisions of the Model Regulations annexed to the twenty-first revised edition of the UN Recommendations on the Transport of Dangerous Goods. It adopted the proposed amendments, subject to some modifications (see annex</w:t>
      </w:r>
      <w:r w:rsidR="000A79BB" w:rsidRPr="00944671">
        <w:t xml:space="preserve"> </w:t>
      </w:r>
      <w:r w:rsidR="004B46B7" w:rsidRPr="00944671">
        <w:t>II)</w:t>
      </w:r>
      <w:r w:rsidRPr="00944671">
        <w:t xml:space="preserve"> and the comments which follow:</w:t>
      </w:r>
    </w:p>
    <w:p w14:paraId="1B41FF5E" w14:textId="68B35AF5" w:rsidR="001842E4" w:rsidRPr="00944671" w:rsidRDefault="001842E4" w:rsidP="001842E4">
      <w:pPr>
        <w:pStyle w:val="SingleTxtG"/>
        <w:spacing w:before="120"/>
        <w:ind w:left="2268" w:hanging="567"/>
      </w:pPr>
      <w:r w:rsidRPr="00944671">
        <w:t>(a)</w:t>
      </w:r>
      <w:r w:rsidRPr="00944671">
        <w:tab/>
        <w:t xml:space="preserve">For decisions regarding the amendments to 4.2.5.3 and 6.7.2.19.6.2 proposed in informal documents INF.31 and INF.24, see paragraph </w:t>
      </w:r>
      <w:r w:rsidR="00E07A65" w:rsidRPr="00944671">
        <w:t>9</w:t>
      </w:r>
      <w:r w:rsidRPr="00944671">
        <w:t xml:space="preserve"> above.</w:t>
      </w:r>
    </w:p>
    <w:p w14:paraId="4DEE7B3C" w14:textId="5CFCD8EF" w:rsidR="001842E4" w:rsidRPr="00944671" w:rsidRDefault="001842E4" w:rsidP="001842E4">
      <w:pPr>
        <w:pStyle w:val="SingleTxtG"/>
        <w:spacing w:before="120"/>
        <w:ind w:left="2268" w:hanging="567"/>
      </w:pPr>
      <w:r w:rsidRPr="00944671">
        <w:t>(b)</w:t>
      </w:r>
      <w:r w:rsidRPr="00944671">
        <w:tab/>
      </w:r>
      <w:r w:rsidRPr="00944671">
        <w:tab/>
        <w:t>On the proposed options to address transport of UN No. 3549 (see document ECE/TRANS/WP.15/AC.1/2019/22, paragraph 32) all delegations who expressed an opinion favoured option 1 as they considered that cooling was not necessary for the carriage of these wastes. The Joint Meeting adopted option 1, with the replacement in column 9(b) of MP6 with MP2 and the deletion in column 6 of proposed special provision 6XX (see annex</w:t>
      </w:r>
      <w:r w:rsidR="004B46B7" w:rsidRPr="00944671">
        <w:t xml:space="preserve"> II</w:t>
      </w:r>
      <w:r w:rsidRPr="00944671">
        <w:t>).</w:t>
      </w:r>
    </w:p>
    <w:p w14:paraId="50FA8E94" w14:textId="2180B7A8" w:rsidR="001842E4" w:rsidRPr="00944671" w:rsidRDefault="001842E4" w:rsidP="001842E4">
      <w:pPr>
        <w:pStyle w:val="SingleTxtG"/>
        <w:spacing w:before="120"/>
        <w:ind w:left="2268" w:hanging="567"/>
      </w:pPr>
      <w:r w:rsidRPr="00944671">
        <w:t>(c)</w:t>
      </w:r>
      <w:r w:rsidRPr="00944671">
        <w:tab/>
        <w:t>On the exemption of “animal material” of Category A in table 1.10.3.1.2 (see ECE/TRANS/WP.15/AC.1/2019/22, paragraphs 14 to 16), a member of the secretariat informed the Joint Meeting that due to lack of time, the TDG Sub-Committee had reported consideration of all matters arising from the report of the Ad hoc Working Group to its December 2019 session. Following an exchange of views, the Joint Meeting agreed to keep this exemption in RID/ADR/ADN until further discussion in the TDG Sub-Committee (see</w:t>
      </w:r>
      <w:r w:rsidR="00E07A65" w:rsidRPr="00944671">
        <w:t xml:space="preserve"> </w:t>
      </w:r>
      <w:r w:rsidRPr="00944671">
        <w:t>annex</w:t>
      </w:r>
      <w:r w:rsidR="004B46B7" w:rsidRPr="00944671">
        <w:t xml:space="preserve"> II</w:t>
      </w:r>
      <w:r w:rsidRPr="00944671">
        <w:t xml:space="preserve">). Some delegations considered that animal material and medical waste of Category A should be treated in the same way as regards security provisions. </w:t>
      </w:r>
    </w:p>
    <w:p w14:paraId="373C9F2E" w14:textId="4068FBA7" w:rsidR="001842E4" w:rsidRPr="00944671" w:rsidRDefault="001842E4" w:rsidP="001842E4">
      <w:pPr>
        <w:pStyle w:val="SingleTxtG"/>
        <w:spacing w:before="120"/>
        <w:ind w:left="2268" w:hanging="567"/>
      </w:pPr>
      <w:r w:rsidRPr="00944671">
        <w:t>(d)</w:t>
      </w:r>
      <w:r w:rsidRPr="00944671">
        <w:tab/>
        <w:t>Noting that the Working Group on Explosives of the TDG Sub-Committee had examined and supported the editorial amendments for 2.2.1.1</w:t>
      </w:r>
      <w:r w:rsidR="00B04A2D">
        <w:t>.</w:t>
      </w:r>
      <w:r w:rsidRPr="00944671">
        <w:t>7.2, the Joint Meeting decided to delete the square brackets and to keep the proposed text (see</w:t>
      </w:r>
      <w:r w:rsidR="00E07A65" w:rsidRPr="00944671">
        <w:t xml:space="preserve"> </w:t>
      </w:r>
      <w:r w:rsidRPr="00944671">
        <w:t>annex</w:t>
      </w:r>
      <w:r w:rsidR="00E07A65" w:rsidRPr="00944671">
        <w:t xml:space="preserve"> II</w:t>
      </w:r>
      <w:r w:rsidRPr="00944671">
        <w:t>).</w:t>
      </w:r>
    </w:p>
    <w:p w14:paraId="2BB37244" w14:textId="6B8E4944" w:rsidR="001842E4" w:rsidRPr="00944671" w:rsidRDefault="001842E4" w:rsidP="001842E4">
      <w:pPr>
        <w:pStyle w:val="SingleTxtG"/>
        <w:spacing w:before="120"/>
        <w:ind w:left="2268" w:hanging="567"/>
      </w:pPr>
      <w:r w:rsidRPr="00944671">
        <w:t>(e)</w:t>
      </w:r>
      <w:r w:rsidRPr="00944671">
        <w:tab/>
        <w:t xml:space="preserve">The Joint Meeting noted that the use of the word “assignment” instead of “classification” in the context of 2.2.8.1.5.2 was correct for the English version. It was noted that the TDG Sub-Committee had considered this matter at its July 2019 session and had adopted amendments to 2.8.3.2 to the Model Regulations (see ST/SG/AC.10/C.3/110, paragraph 104 and annex). However, the Joint Meeting noted that the wording in the French version in 2.2.8.1.5.2 was not aligned with the English version and the English version used different </w:t>
      </w:r>
      <w:r w:rsidRPr="00944671">
        <w:lastRenderedPageBreak/>
        <w:t>terms to convey the idea of “assignment” to a “packing group”. The Joint Meeting adopted the amendment to 2.2.8.1.5.2 in ECE/TRANS/WP.15/AC.1/2019/22/Add.1 (see annex</w:t>
      </w:r>
      <w:r w:rsidR="004B46B7" w:rsidRPr="00944671">
        <w:t xml:space="preserve"> II</w:t>
      </w:r>
      <w:r w:rsidRPr="00944671">
        <w:t>) and concluded that the differences in the terminology used in Chapter 2.8 be brought to the attention of the TDG Sub-Committee. It was noted that a joint proposal from the Netherlands and the European Union has been submitted to the next session of the TDG Sub-Committee (ST/SG/AC.10/C.3/2019/53).</w:t>
      </w:r>
    </w:p>
    <w:p w14:paraId="1E336A48" w14:textId="4C9DAD23" w:rsidR="001842E4" w:rsidRPr="00944671" w:rsidRDefault="001842E4" w:rsidP="001842E4">
      <w:pPr>
        <w:pStyle w:val="SingleTxtG"/>
        <w:spacing w:before="120"/>
        <w:ind w:left="2268" w:hanging="567"/>
      </w:pPr>
      <w:r w:rsidRPr="00944671">
        <w:t>(f)</w:t>
      </w:r>
      <w:r w:rsidRPr="00944671">
        <w:tab/>
        <w:t>Following an exchange of views, the Joint Meeting concluded that the modifications proposed in square brackets for 3.1.2.8.1.4 in ECE/TRANS/WP.15/AC.1/2019/22/Add.1 did not improve the text and decided to keep the text aligned with special provision 274 of the Model Regulations. The text in square brackets in 3.1.2.8.1.4 was deleted (see annex</w:t>
      </w:r>
      <w:r w:rsidR="004B46B7" w:rsidRPr="00944671">
        <w:t xml:space="preserve"> II</w:t>
      </w:r>
      <w:r w:rsidRPr="00944671">
        <w:t xml:space="preserve">). </w:t>
      </w:r>
    </w:p>
    <w:p w14:paraId="3580FBE3" w14:textId="2640DE75" w:rsidR="001842E4" w:rsidRPr="00944671" w:rsidRDefault="001842E4" w:rsidP="001842E4">
      <w:pPr>
        <w:pStyle w:val="SingleTxtG"/>
        <w:spacing w:before="120"/>
        <w:ind w:left="2268" w:hanging="567"/>
      </w:pPr>
      <w:r w:rsidRPr="00944671">
        <w:t>(g)</w:t>
      </w:r>
      <w:r w:rsidRPr="00944671">
        <w:tab/>
        <w:t>The Joint Meeting noted that, the TDG Sub-Committee had addressed the use of the term “cargo transport unit” within the scope of UN No. 3536 at its fifty-fifth session but had not reached a conclusion. Pending further discussion on this subject at the TDG Sub-Committee, the Joint Meeting decided to remove the brackets in special provision 360 (see annex</w:t>
      </w:r>
      <w:r w:rsidR="004B46B7" w:rsidRPr="00944671">
        <w:t xml:space="preserve"> II</w:t>
      </w:r>
      <w:r w:rsidRPr="00944671">
        <w:t>).</w:t>
      </w:r>
    </w:p>
    <w:p w14:paraId="70D4E356" w14:textId="35D562E3" w:rsidR="00895514" w:rsidRPr="00944671" w:rsidRDefault="00895514" w:rsidP="00895514">
      <w:pPr>
        <w:pStyle w:val="SingleTxtG"/>
        <w:spacing w:before="120"/>
        <w:ind w:left="2268" w:hanging="567"/>
      </w:pPr>
      <w:r w:rsidRPr="00944671">
        <w:t>(h)</w:t>
      </w:r>
      <w:r w:rsidRPr="00944671">
        <w:tab/>
        <w:t>On the proposed amendment to special provision 376 (e) in informal document INF.31 addressing the use of different terms in the French version for the terms “safety features”, the Joint Meeting agreed to use the terms “</w:t>
      </w:r>
      <w:proofErr w:type="spellStart"/>
      <w:r w:rsidRPr="00944671">
        <w:t>éléments</w:t>
      </w:r>
      <w:proofErr w:type="spellEnd"/>
      <w:r w:rsidRPr="00944671">
        <w:t xml:space="preserve"> de </w:t>
      </w:r>
      <w:proofErr w:type="spellStart"/>
      <w:r w:rsidRPr="00944671">
        <w:t>sécurité</w:t>
      </w:r>
      <w:proofErr w:type="spellEnd"/>
      <w:r w:rsidRPr="00944671">
        <w:t>” throughout special provision 376 (see annex</w:t>
      </w:r>
      <w:r w:rsidR="004B46B7" w:rsidRPr="00944671">
        <w:t xml:space="preserve"> II</w:t>
      </w:r>
      <w:r w:rsidRPr="00944671">
        <w:t>).</w:t>
      </w:r>
    </w:p>
    <w:p w14:paraId="322245C4" w14:textId="2B26E98D" w:rsidR="00895514" w:rsidRPr="00944671" w:rsidRDefault="00895514" w:rsidP="00895514">
      <w:pPr>
        <w:pStyle w:val="SingleTxtG"/>
        <w:spacing w:before="120"/>
        <w:ind w:left="2268" w:hanging="567"/>
      </w:pPr>
      <w:bookmarkStart w:id="1" w:name="_Hlk19700353"/>
      <w:r w:rsidRPr="00944671">
        <w:t>(</w:t>
      </w:r>
      <w:proofErr w:type="spellStart"/>
      <w:r w:rsidRPr="00944671">
        <w:t>i</w:t>
      </w:r>
      <w:proofErr w:type="spellEnd"/>
      <w:r w:rsidRPr="00944671">
        <w:t>)</w:t>
      </w:r>
      <w:r w:rsidRPr="00944671">
        <w:tab/>
        <w:t>The amendment to 4.1.8.6 in informal document INF.30 (proposal 1) was adopted (see annex</w:t>
      </w:r>
      <w:r w:rsidR="004B46B7" w:rsidRPr="00944671">
        <w:t xml:space="preserve"> II</w:t>
      </w:r>
      <w:r w:rsidRPr="00944671">
        <w:t>). After an exchange of views, the representative of Switzerland volunteered to submit a revised text for proposal 2 to the TDG Sub-Committee to clarify the matter also from a multimodal perspective.</w:t>
      </w:r>
    </w:p>
    <w:p w14:paraId="67DB3CDA" w14:textId="7FB8FCD2" w:rsidR="00895514" w:rsidRPr="00944671" w:rsidRDefault="00895514" w:rsidP="00895514">
      <w:pPr>
        <w:pStyle w:val="SingleTxtG"/>
        <w:spacing w:before="120"/>
        <w:ind w:left="2268" w:hanging="567"/>
      </w:pPr>
      <w:r w:rsidRPr="00944671">
        <w:t>(j)</w:t>
      </w:r>
      <w:r w:rsidRPr="00944671">
        <w:tab/>
        <w:t>The Joint Meeting agreed to keep the text of P801 aligned with that of the Model Regulations and therefore decided to remove the brackets for this packing instruction in ECE/TRANS/WP.15/AC.1/2019/22/Add.1 (see annex</w:t>
      </w:r>
      <w:r w:rsidR="004B46B7" w:rsidRPr="00944671">
        <w:t xml:space="preserve"> II</w:t>
      </w:r>
      <w:r w:rsidRPr="00944671">
        <w:t>). Since the corrections proposed by the Ad Hoc Working Group have also been transmitted to the TDG Sub-Committee for consideration at its fifty-sixth session (see ST/SG/AC.10/C.3/2019/69), the secretariat will inform the TDG Sub-Committee</w:t>
      </w:r>
      <w:r w:rsidR="00905AAB">
        <w:t xml:space="preserve"> accordingly</w:t>
      </w:r>
      <w:r w:rsidRPr="00905AAB">
        <w:t>.</w:t>
      </w:r>
    </w:p>
    <w:p w14:paraId="60BA706D" w14:textId="6A346313" w:rsidR="00895514" w:rsidRPr="00944671" w:rsidRDefault="00895514" w:rsidP="00895514">
      <w:pPr>
        <w:pStyle w:val="SingleTxtG"/>
        <w:spacing w:before="120"/>
        <w:ind w:left="2268" w:hanging="567"/>
      </w:pPr>
      <w:r w:rsidRPr="00944671">
        <w:t>(k)</w:t>
      </w:r>
      <w:r w:rsidRPr="00944671">
        <w:tab/>
        <w:t xml:space="preserve">The secretariat informed the Joint Meeting that a document addressing the translation of the terms “safety” and “security” in the French version of the Model Regulations in the context of carriage of radioactive material would be considered by the TDG Sub-Committee at its fifty-sixth session (see ST/SG/AC.10/C.3/2019/70). The Joint Meeting decided to defer consideration of the modifications proposed in informal document INF.31 for 4.1.9.2.4 </w:t>
      </w:r>
      <w:r w:rsidR="004B46B7" w:rsidRPr="00944671">
        <w:t xml:space="preserve">(RID/ADR) </w:t>
      </w:r>
      <w:r w:rsidRPr="00944671">
        <w:t xml:space="preserve">and 7.1.4.14.7.2 </w:t>
      </w:r>
      <w:r w:rsidR="004B46B7" w:rsidRPr="00944671">
        <w:t xml:space="preserve">(ADN) </w:t>
      </w:r>
      <w:r w:rsidRPr="00944671">
        <w:t>awaiting the outcome of the discussions at the TDG Sub-Committee.</w:t>
      </w:r>
    </w:p>
    <w:p w14:paraId="6B7801C0" w14:textId="5A891720" w:rsidR="00895514" w:rsidRPr="00944671" w:rsidRDefault="00895514" w:rsidP="00895514">
      <w:pPr>
        <w:pStyle w:val="SingleTxtG"/>
        <w:spacing w:before="120"/>
        <w:ind w:left="2268" w:hanging="567"/>
      </w:pPr>
      <w:r w:rsidRPr="00944671">
        <w:t>(l)</w:t>
      </w:r>
      <w:r w:rsidRPr="00944671">
        <w:tab/>
        <w:t xml:space="preserve">The Joint Meeting considered that the French translation of the phrase “and any special precautions or special administrative or operational controls” in </w:t>
      </w:r>
      <w:r w:rsidR="004B46B7" w:rsidRPr="00944671">
        <w:t xml:space="preserve">paragraph </w:t>
      </w:r>
      <w:r w:rsidRPr="00944671">
        <w:t>4.1.9.2.4 (e) (iii) in ECE/TRANS/WP.15/AC.1/2019/22/Add.1 was misleading. Since this text was coming from the French version of the IAEA Regulations for the Safe Transport of Radioactive Material, the Joint Meeting agreed that this issue should be brought to the attention of the TDG Sub-Committee. It was noted that this phrase also appeared in the English version of 6.4.23.2 (c) and was translated differently in</w:t>
      </w:r>
      <w:r w:rsidR="004B46B7" w:rsidRPr="00944671">
        <w:t>to</w:t>
      </w:r>
      <w:r w:rsidRPr="00944671">
        <w:t xml:space="preserve"> French.</w:t>
      </w:r>
    </w:p>
    <w:p w14:paraId="24A47A20" w14:textId="76C9B547" w:rsidR="0095609A" w:rsidRPr="00944671" w:rsidRDefault="0095609A" w:rsidP="0095609A">
      <w:pPr>
        <w:pStyle w:val="SingleTxtG"/>
        <w:spacing w:before="120"/>
        <w:ind w:left="2268" w:hanging="567"/>
      </w:pPr>
      <w:r w:rsidRPr="00944671">
        <w:lastRenderedPageBreak/>
        <w:t>(m)</w:t>
      </w:r>
      <w:r w:rsidRPr="00944671">
        <w:tab/>
        <w:t>On the notes to 6.2.2.7.2 (c) and 6.2.2.9.2 (c) in ECE/TRANS/WP.15/AC.1/2019/22/Add.1, several delegations noted that the meaning of “country of approval” and “competent authority” should be clarified within the context of the application of Directive 2010/35/EU on transportable pressure equipment. Since this was considered a matter of interpretation of E</w:t>
      </w:r>
      <w:r w:rsidR="004B46B7" w:rsidRPr="00944671">
        <w:t xml:space="preserve">uropean </w:t>
      </w:r>
      <w:r w:rsidRPr="00944671">
        <w:t>U</w:t>
      </w:r>
      <w:r w:rsidR="004B46B7" w:rsidRPr="00944671">
        <w:t>nion</w:t>
      </w:r>
      <w:r w:rsidRPr="00944671">
        <w:t xml:space="preserve"> legislation, they invited the </w:t>
      </w:r>
      <w:r w:rsidR="004D0952" w:rsidRPr="00944671">
        <w:t xml:space="preserve">representative of the </w:t>
      </w:r>
      <w:r w:rsidRPr="00944671">
        <w:t>European Union to examine the question and to provide the necessary clarifications, as appropriate.</w:t>
      </w:r>
    </w:p>
    <w:p w14:paraId="73AC00D8" w14:textId="723EA912" w:rsidR="0095609A" w:rsidRPr="00944671" w:rsidRDefault="0095609A" w:rsidP="0095609A">
      <w:pPr>
        <w:spacing w:after="120"/>
        <w:ind w:left="2268" w:right="1134" w:hanging="567"/>
        <w:jc w:val="both"/>
      </w:pPr>
      <w:r w:rsidRPr="00944671">
        <w:t>(n)</w:t>
      </w:r>
      <w:r w:rsidRPr="00944671">
        <w:tab/>
        <w:t xml:space="preserve">On the amendment to </w:t>
      </w:r>
      <w:r w:rsidR="00905AAB">
        <w:t>C</w:t>
      </w:r>
      <w:r w:rsidRPr="00944671">
        <w:t>hapter 6.2 in informal document INF.31 proposing the use of the term “</w:t>
      </w:r>
      <w:proofErr w:type="spellStart"/>
      <w:r w:rsidRPr="00944671">
        <w:t>doublures</w:t>
      </w:r>
      <w:proofErr w:type="spellEnd"/>
      <w:r w:rsidRPr="00944671">
        <w:t xml:space="preserve">” in the French version, the Joint Meeting noted the definitions in informal document INF.43 and agreed that the use of the term “liner” was accepted at an international level in the context of composite gas cylinders. </w:t>
      </w:r>
      <w:r w:rsidR="004D0952" w:rsidRPr="00944671">
        <w:t xml:space="preserve">The Joint Meeting </w:t>
      </w:r>
      <w:r w:rsidRPr="00944671">
        <w:t>decided to keep the term “liner” in the French version.</w:t>
      </w:r>
    </w:p>
    <w:p w14:paraId="2FE86E37" w14:textId="333C5BC8" w:rsidR="008F5819" w:rsidRPr="00944671" w:rsidRDefault="008F5819" w:rsidP="008F5819">
      <w:pPr>
        <w:pStyle w:val="SingleTxtG"/>
        <w:spacing w:before="120"/>
        <w:ind w:left="2268" w:hanging="567"/>
        <w:rPr>
          <w:lang w:eastAsia="fr-FR"/>
        </w:rPr>
      </w:pPr>
      <w:r w:rsidRPr="00944671">
        <w:t>(o)</w:t>
      </w:r>
      <w:r w:rsidRPr="00944671">
        <w:tab/>
        <w:t>Following a clarification by the secretariat, the Joint Meeting agreed that the amendments to 5.3.1.1.5.1 and 7.2.3.1.1 in the Model Regulations were not relevant for RID/ADR/ADN. The corresponding amendments in ECE/TRANS/WP.15/AC.1/2019/22/Add.1 for 5.3.1.5.2 and 5.3.2.1.4 were deleted (see annex</w:t>
      </w:r>
      <w:r w:rsidR="004D0952" w:rsidRPr="00944671">
        <w:t xml:space="preserve"> II</w:t>
      </w:r>
      <w:r w:rsidRPr="00944671">
        <w:t>).</w:t>
      </w:r>
    </w:p>
    <w:p w14:paraId="749A816C" w14:textId="13D7318D" w:rsidR="0095609A" w:rsidRPr="00944671" w:rsidRDefault="008F5819" w:rsidP="007A4E47">
      <w:pPr>
        <w:pStyle w:val="SingleTxtG"/>
        <w:spacing w:before="120"/>
        <w:ind w:left="2268" w:hanging="567"/>
      </w:pPr>
      <w:r w:rsidRPr="00944671">
        <w:t>(p)</w:t>
      </w:r>
      <w:r w:rsidRPr="00944671">
        <w:tab/>
        <w:t xml:space="preserve">On chapter 1.6 in ECE/TRANS/WP.15/AC.1/2019/22/Add.1, the Joint Meeting adopted the proposal by the secretariat for amending the references to </w:t>
      </w:r>
      <w:r w:rsidR="004D0952" w:rsidRPr="00944671">
        <w:t xml:space="preserve">the </w:t>
      </w:r>
      <w:r w:rsidRPr="00944671">
        <w:t>IAEA regulation</w:t>
      </w:r>
      <w:r w:rsidR="004D0952" w:rsidRPr="00944671">
        <w:t>s</w:t>
      </w:r>
      <w:r w:rsidRPr="00944671">
        <w:t xml:space="preserve"> in informal document INF.49 (see annex</w:t>
      </w:r>
      <w:r w:rsidR="004D0952" w:rsidRPr="00944671">
        <w:t xml:space="preserve"> II</w:t>
      </w:r>
      <w:r w:rsidRPr="00944671">
        <w:t>).</w:t>
      </w:r>
    </w:p>
    <w:bookmarkEnd w:id="1"/>
    <w:p w14:paraId="75E82220" w14:textId="77777777" w:rsidR="00895514" w:rsidRPr="00944671" w:rsidRDefault="00895514" w:rsidP="00895514">
      <w:pPr>
        <w:pStyle w:val="H1G"/>
        <w:rPr>
          <w:lang w:val="fr-CH"/>
        </w:rPr>
      </w:pPr>
      <w:r w:rsidRPr="00944671">
        <w:rPr>
          <w:lang w:val="fr-CH"/>
        </w:rPr>
        <w:tab/>
        <w:t>B.</w:t>
      </w:r>
      <w:r w:rsidRPr="00944671">
        <w:rPr>
          <w:lang w:val="fr-CH"/>
        </w:rPr>
        <w:tab/>
      </w:r>
      <w:r w:rsidRPr="00944671">
        <w:t>New special provisions 393 and 394, chemical stability of nitrocellulose</w:t>
      </w:r>
    </w:p>
    <w:p w14:paraId="65721DBC" w14:textId="77777777" w:rsidR="00895514" w:rsidRPr="00944671" w:rsidRDefault="00895514" w:rsidP="00895514">
      <w:pPr>
        <w:pStyle w:val="SingleTxtG"/>
        <w:tabs>
          <w:tab w:val="left" w:pos="3402"/>
        </w:tabs>
      </w:pPr>
      <w:r w:rsidRPr="00944671">
        <w:rPr>
          <w:i/>
          <w:iCs/>
        </w:rPr>
        <w:t>Document:</w:t>
      </w:r>
      <w:r w:rsidRPr="00944671">
        <w:rPr>
          <w:i/>
          <w:iCs/>
        </w:rPr>
        <w:tab/>
      </w:r>
      <w:r w:rsidRPr="00944671">
        <w:rPr>
          <w:i/>
          <w:iCs/>
        </w:rPr>
        <w:tab/>
      </w:r>
      <w:r w:rsidRPr="00944671">
        <w:t>ECE/TRANS/WP.15/AC.1/2019/28 (Germany)</w:t>
      </w:r>
    </w:p>
    <w:p w14:paraId="65EB95BA" w14:textId="772FF1AA" w:rsidR="00895514" w:rsidRPr="00944671" w:rsidRDefault="0036307A" w:rsidP="00895514">
      <w:pPr>
        <w:pStyle w:val="SingleTxtG"/>
      </w:pPr>
      <w:bookmarkStart w:id="2" w:name="_Hlk19700389"/>
      <w:r w:rsidRPr="00944671">
        <w:t>19</w:t>
      </w:r>
      <w:r w:rsidR="00895514" w:rsidRPr="00944671">
        <w:t>.</w:t>
      </w:r>
      <w:r w:rsidR="00895514" w:rsidRPr="00944671">
        <w:tab/>
        <w:t>The Joint Meeting adopted the proposals in document ECE/TRANS/WP.15/AC.1/2019/28 and decided to remove the square brackets around special provisions 393 and 394 in document ECE/TRANS/WP.15/AC.1/2019/22/Add.1 (see annex</w:t>
      </w:r>
      <w:r w:rsidR="004D0952" w:rsidRPr="00944671">
        <w:t xml:space="preserve"> II</w:t>
      </w:r>
      <w:r w:rsidR="00895514" w:rsidRPr="00944671">
        <w:t>).</w:t>
      </w:r>
    </w:p>
    <w:p w14:paraId="19DBF802" w14:textId="6E637105" w:rsidR="00895514" w:rsidRPr="00944671" w:rsidRDefault="00E07A65" w:rsidP="00895514">
      <w:pPr>
        <w:pStyle w:val="SingleTxtG"/>
        <w:tabs>
          <w:tab w:val="left" w:pos="1701"/>
        </w:tabs>
      </w:pPr>
      <w:r w:rsidRPr="00944671">
        <w:t>2</w:t>
      </w:r>
      <w:r w:rsidR="0036307A" w:rsidRPr="00944671">
        <w:t>0</w:t>
      </w:r>
      <w:r w:rsidR="00895514" w:rsidRPr="00944671">
        <w:t>.</w:t>
      </w:r>
      <w:r w:rsidR="00895514" w:rsidRPr="00944671">
        <w:tab/>
        <w:t xml:space="preserve">It was pointed out that the amendments to 2.3.2.1 aimed to clarify that the ignition temperature shall be determined before conducting the Bergmann-Junk test, as it </w:t>
      </w:r>
      <w:proofErr w:type="gramStart"/>
      <w:r w:rsidR="00895514" w:rsidRPr="00944671">
        <w:t>has to</w:t>
      </w:r>
      <w:proofErr w:type="gramEnd"/>
      <w:r w:rsidR="00895514" w:rsidRPr="00944671">
        <w:t xml:space="preserve"> remain above a given limit to allow for the test to be conducted safely. Acknowledging that this clarification will increase </w:t>
      </w:r>
      <w:r w:rsidR="004D0952" w:rsidRPr="00944671">
        <w:t xml:space="preserve">the </w:t>
      </w:r>
      <w:r w:rsidR="00895514" w:rsidRPr="00944671">
        <w:t xml:space="preserve">safety of those conducting the test, the Joint Meeting considered that the adopted amendments should be brought to the attention of the TDG Sub-Committee for consideration. </w:t>
      </w:r>
    </w:p>
    <w:bookmarkEnd w:id="2"/>
    <w:p w14:paraId="79885390" w14:textId="1F01B73D" w:rsidR="0095609A" w:rsidRPr="00944671" w:rsidRDefault="0095609A" w:rsidP="0095609A">
      <w:pPr>
        <w:pStyle w:val="H1G"/>
        <w:rPr>
          <w:lang w:val="fr-CH"/>
        </w:rPr>
      </w:pPr>
      <w:r w:rsidRPr="00944671">
        <w:rPr>
          <w:lang w:val="fr-CH"/>
        </w:rPr>
        <w:tab/>
        <w:t>C.</w:t>
      </w:r>
      <w:r w:rsidRPr="00944671">
        <w:rPr>
          <w:lang w:val="fr-CH"/>
        </w:rPr>
        <w:tab/>
        <w:t xml:space="preserve">Use of the </w:t>
      </w:r>
      <w:proofErr w:type="spellStart"/>
      <w:r w:rsidRPr="00944671">
        <w:rPr>
          <w:lang w:val="fr-CH"/>
        </w:rPr>
        <w:t>term</w:t>
      </w:r>
      <w:proofErr w:type="spellEnd"/>
      <w:r w:rsidRPr="00944671">
        <w:rPr>
          <w:lang w:val="fr-CH"/>
        </w:rPr>
        <w:t xml:space="preserve"> “</w:t>
      </w:r>
      <w:proofErr w:type="spellStart"/>
      <w:r w:rsidRPr="00944671">
        <w:rPr>
          <w:lang w:val="fr-CH"/>
        </w:rPr>
        <w:t>conveyance</w:t>
      </w:r>
      <w:proofErr w:type="spellEnd"/>
      <w:r w:rsidRPr="00944671">
        <w:rPr>
          <w:lang w:val="fr-CH"/>
        </w:rPr>
        <w:t>”</w:t>
      </w:r>
    </w:p>
    <w:p w14:paraId="7DFAB2F8" w14:textId="1092BC01" w:rsidR="0095609A" w:rsidRPr="00944671" w:rsidRDefault="0095609A" w:rsidP="0095609A">
      <w:pPr>
        <w:pStyle w:val="SingleTxtG"/>
        <w:tabs>
          <w:tab w:val="left" w:pos="3402"/>
        </w:tabs>
        <w:spacing w:before="120"/>
        <w:ind w:left="2268" w:hanging="1134"/>
      </w:pPr>
      <w:r w:rsidRPr="00944671">
        <w:rPr>
          <w:i/>
          <w:iCs/>
        </w:rPr>
        <w:t>Document</w:t>
      </w:r>
      <w:r w:rsidRPr="00944671">
        <w:t>:</w:t>
      </w:r>
      <w:r w:rsidRPr="00944671">
        <w:tab/>
      </w:r>
      <w:r w:rsidRPr="00944671">
        <w:tab/>
        <w:t>ECE/TRANS/WP.15/AC.1/2019/31 (</w:t>
      </w:r>
      <w:r w:rsidR="00B04A2D">
        <w:t xml:space="preserve">Secretariat of </w:t>
      </w:r>
      <w:r w:rsidRPr="00944671">
        <w:t>OTIF)</w:t>
      </w:r>
    </w:p>
    <w:p w14:paraId="15B0D772" w14:textId="267629D3" w:rsidR="0095609A" w:rsidRPr="00944671" w:rsidRDefault="00BC2ECA" w:rsidP="0095609A">
      <w:pPr>
        <w:pStyle w:val="SingleTxtG"/>
      </w:pPr>
      <w:r w:rsidRPr="00944671">
        <w:t>21</w:t>
      </w:r>
      <w:r w:rsidR="0095609A" w:rsidRPr="00944671">
        <w:t>.</w:t>
      </w:r>
      <w:r w:rsidR="0095609A" w:rsidRPr="00944671">
        <w:tab/>
        <w:t xml:space="preserve">The Joint Meeting adopted the proposal by </w:t>
      </w:r>
      <w:r w:rsidR="00B04A2D">
        <w:t xml:space="preserve">the secretariat of </w:t>
      </w:r>
      <w:r w:rsidR="0095609A" w:rsidRPr="00944671">
        <w:t xml:space="preserve">OTIF to revoke the decision on the use of </w:t>
      </w:r>
      <w:r w:rsidR="00905AAB" w:rsidRPr="00944671">
        <w:t>“</w:t>
      </w:r>
      <w:r w:rsidR="0095609A" w:rsidRPr="00944671">
        <w:t>conveyance</w:t>
      </w:r>
      <w:r w:rsidR="00905AAB" w:rsidRPr="00944671">
        <w:t>”</w:t>
      </w:r>
      <w:r w:rsidR="0095609A" w:rsidRPr="00944671">
        <w:t xml:space="preserve"> in 5.1.5.3.2 </w:t>
      </w:r>
      <w:r w:rsidR="004D0952" w:rsidRPr="00944671">
        <w:t>of</w:t>
      </w:r>
      <w:r w:rsidR="0095609A" w:rsidRPr="00944671">
        <w:t xml:space="preserve"> RID/ADR (see annex</w:t>
      </w:r>
      <w:r w:rsidR="004D0952" w:rsidRPr="00944671">
        <w:t xml:space="preserve"> II</w:t>
      </w:r>
      <w:r w:rsidR="0095609A" w:rsidRPr="00944671">
        <w:t>). It was noted that for ADN, the question would be re-examined by the ADN Safety Committee at its thirty-sixth session in January 2020.</w:t>
      </w:r>
    </w:p>
    <w:p w14:paraId="69504E81" w14:textId="4F9F4648" w:rsidR="0095609A" w:rsidRPr="00944671" w:rsidRDefault="007637A1" w:rsidP="0095609A">
      <w:pPr>
        <w:pStyle w:val="HChG"/>
        <w:ind w:right="0"/>
        <w:rPr>
          <w:lang w:val="fr-CH"/>
        </w:rPr>
      </w:pPr>
      <w:r w:rsidRPr="00944671">
        <w:lastRenderedPageBreak/>
        <w:tab/>
      </w:r>
      <w:r w:rsidR="0095609A" w:rsidRPr="00944671">
        <w:rPr>
          <w:lang w:val="fr-CH"/>
        </w:rPr>
        <w:t>VI</w:t>
      </w:r>
      <w:r w:rsidR="00317101" w:rsidRPr="00944671">
        <w:rPr>
          <w:lang w:val="fr-CH"/>
        </w:rPr>
        <w:t>I</w:t>
      </w:r>
      <w:r w:rsidR="0095609A" w:rsidRPr="00944671">
        <w:t>.</w:t>
      </w:r>
      <w:r w:rsidR="0095609A" w:rsidRPr="00944671">
        <w:tab/>
        <w:t>Proposals for amendments to RID/ADR/ADN</w:t>
      </w:r>
      <w:r w:rsidR="0095609A" w:rsidRPr="00944671">
        <w:rPr>
          <w:lang w:val="fr-CH"/>
        </w:rPr>
        <w:t xml:space="preserve"> (agenda item 5)</w:t>
      </w:r>
    </w:p>
    <w:p w14:paraId="563C0DDE" w14:textId="77777777" w:rsidR="00FC490E" w:rsidRPr="00944671" w:rsidRDefault="0095609A" w:rsidP="00FC490E">
      <w:pPr>
        <w:pStyle w:val="H1G"/>
        <w:rPr>
          <w:lang w:eastAsia="fr-FR"/>
        </w:rPr>
      </w:pPr>
      <w:r w:rsidRPr="00944671">
        <w:tab/>
      </w:r>
      <w:r w:rsidR="00FC490E" w:rsidRPr="00944671">
        <w:t>A.</w:t>
      </w:r>
      <w:r w:rsidR="00FC490E" w:rsidRPr="00944671">
        <w:tab/>
        <w:t>Pending issues</w:t>
      </w:r>
    </w:p>
    <w:p w14:paraId="58ECD8AF" w14:textId="77777777" w:rsidR="00FC490E" w:rsidRPr="00944671" w:rsidRDefault="00FC490E" w:rsidP="00FC490E">
      <w:pPr>
        <w:pStyle w:val="H23G"/>
      </w:pPr>
      <w:r w:rsidRPr="00944671">
        <w:tab/>
        <w:t>1.</w:t>
      </w:r>
      <w:r w:rsidRPr="00944671">
        <w:tab/>
        <w:t>Proposal of amendment to 5.4.1.1.1</w:t>
      </w:r>
    </w:p>
    <w:p w14:paraId="1141A604" w14:textId="77777777" w:rsidR="00FC490E" w:rsidRPr="00944671" w:rsidRDefault="00FC490E" w:rsidP="00FC490E">
      <w:pPr>
        <w:pStyle w:val="SingleTxtG"/>
        <w:ind w:left="3289" w:hanging="2155"/>
      </w:pPr>
      <w:r w:rsidRPr="00944671">
        <w:rPr>
          <w:i/>
        </w:rPr>
        <w:t>Document</w:t>
      </w:r>
      <w:r w:rsidRPr="00944671">
        <w:t>:</w:t>
      </w:r>
      <w:r w:rsidRPr="00944671">
        <w:tab/>
        <w:t>ECE/TRANS/WP.15/AC.1/2019/23 (Ukraine)</w:t>
      </w:r>
    </w:p>
    <w:p w14:paraId="1E8AA545" w14:textId="7EEC7E62" w:rsidR="00FC490E" w:rsidRPr="00944671" w:rsidRDefault="00BC2ECA" w:rsidP="00FC490E">
      <w:pPr>
        <w:pStyle w:val="SingleTxtG"/>
        <w:spacing w:before="240" w:after="0"/>
      </w:pPr>
      <w:r w:rsidRPr="00944671">
        <w:t>22</w:t>
      </w:r>
      <w:r w:rsidR="00FC490E" w:rsidRPr="00944671">
        <w:t>.</w:t>
      </w:r>
      <w:r w:rsidR="00FC490E" w:rsidRPr="00944671">
        <w:tab/>
        <w:t xml:space="preserve">In the absence of the representative of Ukraine, the Joint Meeting did not consider </w:t>
      </w:r>
      <w:r w:rsidR="004D0952" w:rsidRPr="00944671">
        <w:t xml:space="preserve">the </w:t>
      </w:r>
      <w:r w:rsidR="00FC490E" w:rsidRPr="00944671">
        <w:t>document.</w:t>
      </w:r>
      <w:r w:rsidR="00B04A2D" w:rsidRPr="00B04A2D">
        <w:t xml:space="preserve"> </w:t>
      </w:r>
      <w:r w:rsidR="00B04A2D" w:rsidRPr="007268A0">
        <w:t xml:space="preserve">The Secretariat </w:t>
      </w:r>
      <w:r w:rsidR="00B04A2D">
        <w:t>was invited to clarify with</w:t>
      </w:r>
      <w:r w:rsidR="00B04A2D" w:rsidRPr="007268A0">
        <w:t xml:space="preserve"> Ukraine how to proceed with the </w:t>
      </w:r>
      <w:r w:rsidR="00B04A2D">
        <w:t xml:space="preserve">presentation of the </w:t>
      </w:r>
      <w:r w:rsidR="00B04A2D" w:rsidRPr="007268A0">
        <w:t>document.</w:t>
      </w:r>
    </w:p>
    <w:p w14:paraId="47F31C49" w14:textId="77777777" w:rsidR="00FC490E" w:rsidRPr="00944671" w:rsidRDefault="00FC490E" w:rsidP="00FC490E">
      <w:pPr>
        <w:pStyle w:val="H23G"/>
      </w:pPr>
      <w:r w:rsidRPr="00944671">
        <w:tab/>
        <w:t>2.</w:t>
      </w:r>
      <w:r w:rsidRPr="00944671">
        <w:tab/>
        <w:t>Marking of wagons and containers loaded with limited quantities</w:t>
      </w:r>
    </w:p>
    <w:p w14:paraId="5490FCA7" w14:textId="77777777" w:rsidR="00FC490E" w:rsidRPr="00944671" w:rsidRDefault="00FC490E" w:rsidP="00FC490E">
      <w:pPr>
        <w:pStyle w:val="SingleTxtG"/>
        <w:ind w:left="3289" w:hanging="2155"/>
      </w:pPr>
      <w:r w:rsidRPr="00944671">
        <w:rPr>
          <w:i/>
        </w:rPr>
        <w:t>Document</w:t>
      </w:r>
      <w:r w:rsidRPr="00944671">
        <w:t>:</w:t>
      </w:r>
      <w:r w:rsidRPr="00944671">
        <w:tab/>
        <w:t>ECE/TRANS/WP.15/AC.1/2019/38 (Sweden and Switzerland)</w:t>
      </w:r>
    </w:p>
    <w:p w14:paraId="59396E3B" w14:textId="231E30BD" w:rsidR="00FC490E" w:rsidRPr="00944671" w:rsidRDefault="00BC2ECA" w:rsidP="00FC490E">
      <w:pPr>
        <w:pStyle w:val="SingleTxtG"/>
        <w:spacing w:before="240" w:after="0"/>
      </w:pPr>
      <w:r w:rsidRPr="00944671">
        <w:t>23</w:t>
      </w:r>
      <w:r w:rsidR="00FC490E" w:rsidRPr="00944671">
        <w:t>.</w:t>
      </w:r>
      <w:r w:rsidR="00FC490E" w:rsidRPr="00944671">
        <w:tab/>
        <w:t xml:space="preserve">Several delegations raised concerns that the proposed amendment to put a </w:t>
      </w:r>
      <w:r w:rsidR="004D0952" w:rsidRPr="00944671">
        <w:t>"</w:t>
      </w:r>
      <w:r w:rsidR="00FC490E" w:rsidRPr="00944671">
        <w:t>LQ</w:t>
      </w:r>
      <w:r w:rsidR="004D0952" w:rsidRPr="00944671">
        <w:t>"</w:t>
      </w:r>
      <w:r w:rsidR="00FC490E" w:rsidRPr="00944671">
        <w:t xml:space="preserve">-mark on wagons or containers containing more than eight tonnes of dangerous goods in limited quantities together with other regulated dangerous goods would disharmonize the provisions </w:t>
      </w:r>
      <w:r w:rsidR="004D0952" w:rsidRPr="00944671">
        <w:t xml:space="preserve">of RID/ADR/ADN </w:t>
      </w:r>
      <w:r w:rsidR="00FC490E" w:rsidRPr="00944671">
        <w:t>with the IMDG code</w:t>
      </w:r>
      <w:r w:rsidR="00292CAA">
        <w:t xml:space="preserve"> as the</w:t>
      </w:r>
      <w:r w:rsidR="00B04A2D">
        <w:t xml:space="preserve"> latter</w:t>
      </w:r>
      <w:r w:rsidR="00292CAA">
        <w:t xml:space="preserve"> do</w:t>
      </w:r>
      <w:r w:rsidR="00B04A2D">
        <w:t>es</w:t>
      </w:r>
      <w:r w:rsidR="00292CAA">
        <w:t xml:space="preserve"> not a</w:t>
      </w:r>
      <w:r w:rsidR="00B04A2D">
        <w:t>llow</w:t>
      </w:r>
      <w:r w:rsidR="00292CAA">
        <w:t xml:space="preserve"> the "LQ" mark in this case</w:t>
      </w:r>
      <w:r w:rsidR="00FC490E" w:rsidRPr="00944671">
        <w:t>. T</w:t>
      </w:r>
      <w:r w:rsidR="004D0952" w:rsidRPr="00944671">
        <w:t>herefore, t</w:t>
      </w:r>
      <w:r w:rsidR="00FC490E" w:rsidRPr="00944671">
        <w:t xml:space="preserve">he </w:t>
      </w:r>
      <w:r w:rsidR="00292CAA">
        <w:t>majority of delegations</w:t>
      </w:r>
      <w:r w:rsidR="00FC490E" w:rsidRPr="00944671">
        <w:t xml:space="preserve"> did not support the proposal. The representative of Switzerland </w:t>
      </w:r>
      <w:r w:rsidR="00292CAA">
        <w:t xml:space="preserve">invited the delegations to study this proposal to be presented at the next session </w:t>
      </w:r>
      <w:r w:rsidR="00292CAA" w:rsidRPr="00944671">
        <w:t>of WP.15</w:t>
      </w:r>
      <w:r w:rsidR="00292CAA">
        <w:t xml:space="preserve"> in</w:t>
      </w:r>
      <w:r w:rsidR="00FC490E" w:rsidRPr="00944671">
        <w:t xml:space="preserve"> </w:t>
      </w:r>
      <w:r w:rsidR="00292CAA">
        <w:t xml:space="preserve">relation with </w:t>
      </w:r>
      <w:r w:rsidR="00FC490E" w:rsidRPr="00944671">
        <w:t>the tunnel restrictions.</w:t>
      </w:r>
    </w:p>
    <w:p w14:paraId="2CE622F1" w14:textId="21A2B5E7" w:rsidR="00FC490E" w:rsidRPr="00944671" w:rsidRDefault="00FC490E" w:rsidP="00FC490E">
      <w:pPr>
        <w:pStyle w:val="H23G"/>
        <w:rPr>
          <w:lang w:eastAsia="fr-FR"/>
        </w:rPr>
      </w:pPr>
      <w:r w:rsidRPr="00944671">
        <w:tab/>
        <w:t>3.</w:t>
      </w:r>
      <w:r w:rsidRPr="00944671">
        <w:tab/>
        <w:t>Online refresher training for drivers of dangerous goods</w:t>
      </w:r>
    </w:p>
    <w:p w14:paraId="13D74687" w14:textId="77777777" w:rsidR="00FC490E" w:rsidRPr="00944671" w:rsidRDefault="00FC490E" w:rsidP="00FC490E">
      <w:pPr>
        <w:pStyle w:val="SingleTxtG"/>
        <w:ind w:left="3289" w:hanging="2155"/>
      </w:pPr>
      <w:r w:rsidRPr="00944671">
        <w:rPr>
          <w:i/>
        </w:rPr>
        <w:t>Informal document</w:t>
      </w:r>
      <w:r w:rsidRPr="00944671">
        <w:t>:</w:t>
      </w:r>
      <w:r w:rsidRPr="00944671">
        <w:tab/>
        <w:t>INF.36 (IRU)</w:t>
      </w:r>
    </w:p>
    <w:p w14:paraId="5D38D680" w14:textId="0E5C9F6B" w:rsidR="00FC490E" w:rsidRPr="00944671" w:rsidRDefault="00BC2ECA" w:rsidP="00FC490E">
      <w:pPr>
        <w:pStyle w:val="SingleTxtG"/>
        <w:spacing w:before="240" w:after="0"/>
      </w:pPr>
      <w:r w:rsidRPr="00944671">
        <w:t>24</w:t>
      </w:r>
      <w:r w:rsidR="00FC490E" w:rsidRPr="00944671">
        <w:t>.</w:t>
      </w:r>
      <w:r w:rsidR="00FC490E" w:rsidRPr="00944671">
        <w:tab/>
        <w:t xml:space="preserve">A number of delegations commented the proposed guideline for online refresher training for drivers of dangerous goods. Following the discussion, the representative of IRU volunteered to prepare a revised document </w:t>
      </w:r>
      <w:r w:rsidR="004D0952" w:rsidRPr="00944671">
        <w:t xml:space="preserve">for the spring 2020 session </w:t>
      </w:r>
      <w:r w:rsidR="00FC490E" w:rsidRPr="00944671">
        <w:t>taking into account the comments received</w:t>
      </w:r>
      <w:r w:rsidR="004D0952" w:rsidRPr="00944671">
        <w:t>.</w:t>
      </w:r>
    </w:p>
    <w:p w14:paraId="48E09A82" w14:textId="6889C510" w:rsidR="0095609A" w:rsidRPr="00944671" w:rsidRDefault="00FC490E" w:rsidP="0095609A">
      <w:pPr>
        <w:pStyle w:val="H1G"/>
      </w:pPr>
      <w:r w:rsidRPr="00944671">
        <w:tab/>
      </w:r>
      <w:r w:rsidR="0095609A" w:rsidRPr="00944671">
        <w:t>B.</w:t>
      </w:r>
      <w:r w:rsidR="0095609A" w:rsidRPr="00944671">
        <w:tab/>
        <w:t>New proposals</w:t>
      </w:r>
    </w:p>
    <w:p w14:paraId="6B94396D" w14:textId="77777777" w:rsidR="0095609A" w:rsidRPr="00944671" w:rsidRDefault="0095609A" w:rsidP="0095609A">
      <w:pPr>
        <w:pStyle w:val="H23G"/>
      </w:pPr>
      <w:r w:rsidRPr="00944671">
        <w:tab/>
        <w:t>1.</w:t>
      </w:r>
      <w:r w:rsidRPr="00944671">
        <w:tab/>
        <w:t xml:space="preserve">UN No. 3082 Environmentally hazardous substance, liquid, </w:t>
      </w:r>
      <w:proofErr w:type="spellStart"/>
      <w:r w:rsidRPr="00944671">
        <w:t>n.o.s</w:t>
      </w:r>
      <w:proofErr w:type="spellEnd"/>
      <w:r w:rsidRPr="00944671">
        <w:t>.</w:t>
      </w:r>
    </w:p>
    <w:p w14:paraId="306C0063" w14:textId="77777777" w:rsidR="0095609A" w:rsidRPr="00944671" w:rsidRDefault="0095609A" w:rsidP="0095609A">
      <w:pPr>
        <w:pStyle w:val="SingleTxtG"/>
        <w:tabs>
          <w:tab w:val="left" w:pos="3402"/>
        </w:tabs>
        <w:spacing w:before="120"/>
        <w:ind w:left="2268" w:hanging="1134"/>
      </w:pPr>
      <w:r w:rsidRPr="00944671">
        <w:rPr>
          <w:i/>
        </w:rPr>
        <w:t>Document</w:t>
      </w:r>
      <w:r w:rsidRPr="00944671">
        <w:t>:</w:t>
      </w:r>
      <w:r w:rsidRPr="00944671">
        <w:tab/>
      </w:r>
      <w:r w:rsidRPr="00944671">
        <w:tab/>
        <w:t>ECE/TRANS/WP.15/AC.1/2019/42 (Italy)</w:t>
      </w:r>
    </w:p>
    <w:p w14:paraId="3A579E1F" w14:textId="35F22F01" w:rsidR="0095609A" w:rsidRPr="00944671" w:rsidRDefault="00BC2ECA" w:rsidP="0095609A">
      <w:pPr>
        <w:pStyle w:val="SingleTxtG"/>
      </w:pPr>
      <w:r w:rsidRPr="00944671">
        <w:t>25</w:t>
      </w:r>
      <w:r w:rsidR="0095609A" w:rsidRPr="00944671">
        <w:t>.</w:t>
      </w:r>
      <w:r w:rsidR="0095609A" w:rsidRPr="00944671">
        <w:tab/>
        <w:t>The Joint Meeting concurred with the interpretation of the TDG Sub-Committee that the exemptions provided for in special provision 375 were optional</w:t>
      </w:r>
      <w:r w:rsidR="004D0952" w:rsidRPr="00944671">
        <w:t>, i.e.</w:t>
      </w:r>
      <w:r w:rsidR="007A4E47" w:rsidRPr="00944671">
        <w:t xml:space="preserve"> </w:t>
      </w:r>
      <w:r w:rsidR="0049118F">
        <w:t>consignors</w:t>
      </w:r>
      <w:r w:rsidR="007A4E47" w:rsidRPr="00944671">
        <w:t xml:space="preserve"> may c</w:t>
      </w:r>
      <w:r w:rsidR="00CC417A" w:rsidRPr="00944671">
        <w:t>h</w:t>
      </w:r>
      <w:r w:rsidR="007A4E47" w:rsidRPr="00944671">
        <w:t xml:space="preserve">oose to apply all of the </w:t>
      </w:r>
      <w:r w:rsidR="001A1421" w:rsidRPr="00944671">
        <w:t>provisions</w:t>
      </w:r>
      <w:r w:rsidR="007A4E47" w:rsidRPr="00944671">
        <w:t xml:space="preserve"> </w:t>
      </w:r>
      <w:r w:rsidR="00B04A2D">
        <w:t>where</w:t>
      </w:r>
      <w:r w:rsidR="007A4E47" w:rsidRPr="00944671">
        <w:t xml:space="preserve"> </w:t>
      </w:r>
      <w:r w:rsidR="00B04A2D">
        <w:t xml:space="preserve">special </w:t>
      </w:r>
      <w:r w:rsidR="007A4E47" w:rsidRPr="00944671">
        <w:t xml:space="preserve">packing </w:t>
      </w:r>
      <w:r w:rsidR="00B04A2D">
        <w:t>provision</w:t>
      </w:r>
      <w:r w:rsidR="00CC417A" w:rsidRPr="00944671">
        <w:t xml:space="preserve"> PP1 </w:t>
      </w:r>
      <w:r w:rsidR="00B04A2D">
        <w:t>of packaging instruction P001</w:t>
      </w:r>
      <w:r w:rsidR="00CC417A" w:rsidRPr="00944671">
        <w:t xml:space="preserve"> stipulates that </w:t>
      </w:r>
      <w:r w:rsidR="00B04A2D">
        <w:t xml:space="preserve">for </w:t>
      </w:r>
      <w:r w:rsidR="00CC417A" w:rsidRPr="00944671">
        <w:t xml:space="preserve">packages </w:t>
      </w:r>
      <w:r w:rsidR="00B04A2D">
        <w:t xml:space="preserve">containing </w:t>
      </w:r>
      <w:r w:rsidR="00CC417A" w:rsidRPr="00944671">
        <w:t>less than 5</w:t>
      </w:r>
      <w:r w:rsidR="005B6AB8">
        <w:t xml:space="preserve"> </w:t>
      </w:r>
      <w:r w:rsidR="00CC417A" w:rsidRPr="005B6AB8">
        <w:rPr>
          <w:i/>
          <w:iCs/>
        </w:rPr>
        <w:t>l</w:t>
      </w:r>
      <w:r w:rsidR="00CC417A" w:rsidRPr="00944671">
        <w:t xml:space="preserve"> </w:t>
      </w:r>
      <w:r w:rsidR="00B04A2D">
        <w:t>packagings may be used which ar</w:t>
      </w:r>
      <w:r w:rsidR="00CC417A" w:rsidRPr="00944671">
        <w:t xml:space="preserve">e not subject to the tests in </w:t>
      </w:r>
      <w:r w:rsidR="0049118F">
        <w:t xml:space="preserve">Chapter </w:t>
      </w:r>
      <w:r w:rsidR="00CC417A" w:rsidRPr="00944671">
        <w:t xml:space="preserve">6.1 </w:t>
      </w:r>
      <w:r w:rsidR="0095609A" w:rsidRPr="00944671">
        <w:t>(refer to ST/SG/AC.10/C.3/102, para</w:t>
      </w:r>
      <w:r w:rsidR="000A79BB" w:rsidRPr="00944671">
        <w:t>graph</w:t>
      </w:r>
      <w:r w:rsidR="0095609A" w:rsidRPr="00944671">
        <w:t xml:space="preserve"> 36). Therefore, the Joint Meeting considered that the wording of the special provision was clear and there was no need to amend it. </w:t>
      </w:r>
    </w:p>
    <w:p w14:paraId="4E59E207" w14:textId="77777777" w:rsidR="0095609A" w:rsidRPr="00944671" w:rsidRDefault="0095609A" w:rsidP="0095609A">
      <w:pPr>
        <w:pStyle w:val="H23G"/>
      </w:pPr>
      <w:r w:rsidRPr="00944671">
        <w:tab/>
        <w:t>2.</w:t>
      </w:r>
      <w:r w:rsidRPr="00944671">
        <w:tab/>
        <w:t>Carriage in a transport chain including maritime carriage</w:t>
      </w:r>
    </w:p>
    <w:p w14:paraId="69410D6B" w14:textId="77777777" w:rsidR="0095609A" w:rsidRPr="00944671" w:rsidRDefault="0095609A" w:rsidP="0095609A">
      <w:pPr>
        <w:pStyle w:val="SingleTxtG"/>
        <w:tabs>
          <w:tab w:val="left" w:pos="3402"/>
        </w:tabs>
        <w:spacing w:before="120"/>
        <w:ind w:left="2268" w:hanging="1134"/>
      </w:pPr>
      <w:r w:rsidRPr="00944671">
        <w:rPr>
          <w:i/>
        </w:rPr>
        <w:t>Document</w:t>
      </w:r>
      <w:r w:rsidRPr="00944671">
        <w:t>:</w:t>
      </w:r>
      <w:r w:rsidRPr="00944671">
        <w:tab/>
      </w:r>
      <w:r w:rsidRPr="00944671">
        <w:tab/>
        <w:t>ECE/TRANS/WP.15/AC.1/2019/43 (Italy)</w:t>
      </w:r>
    </w:p>
    <w:p w14:paraId="7FACAAC4" w14:textId="0262A53F" w:rsidR="0095609A" w:rsidRPr="00944671" w:rsidRDefault="00BC2ECA" w:rsidP="0095609A">
      <w:pPr>
        <w:pStyle w:val="SingleTxtG"/>
      </w:pPr>
      <w:r w:rsidRPr="00944671">
        <w:t>26</w:t>
      </w:r>
      <w:r w:rsidR="0095609A" w:rsidRPr="00944671">
        <w:t>.</w:t>
      </w:r>
      <w:r w:rsidR="0095609A" w:rsidRPr="00944671">
        <w:tab/>
        <w:t>The representative of Italy withdrew the proposal.</w:t>
      </w:r>
    </w:p>
    <w:p w14:paraId="1E202CCC" w14:textId="77777777" w:rsidR="0095609A" w:rsidRPr="00944671" w:rsidRDefault="0095609A" w:rsidP="0095609A">
      <w:pPr>
        <w:pStyle w:val="H23G"/>
      </w:pPr>
      <w:r w:rsidRPr="00944671">
        <w:lastRenderedPageBreak/>
        <w:tab/>
        <w:t>3.</w:t>
      </w:r>
      <w:r w:rsidRPr="00944671">
        <w:tab/>
        <w:t>Classification of substances of Class 9 other than environmentally hazardous substances</w:t>
      </w:r>
    </w:p>
    <w:p w14:paraId="536350DF" w14:textId="77777777" w:rsidR="0095609A" w:rsidRPr="00944671" w:rsidRDefault="0095609A" w:rsidP="0095609A">
      <w:pPr>
        <w:pStyle w:val="SingleTxtG"/>
        <w:tabs>
          <w:tab w:val="left" w:pos="3402"/>
        </w:tabs>
        <w:spacing w:before="120"/>
        <w:ind w:left="2268" w:hanging="1134"/>
      </w:pPr>
      <w:r w:rsidRPr="00944671">
        <w:rPr>
          <w:i/>
        </w:rPr>
        <w:t>Document</w:t>
      </w:r>
      <w:r w:rsidRPr="00944671">
        <w:t>:</w:t>
      </w:r>
      <w:r w:rsidRPr="00944671">
        <w:tab/>
      </w:r>
      <w:r w:rsidRPr="00944671">
        <w:tab/>
        <w:t>ECE/TRANS/WP.15/AC.1/2019/47 (Switzerland)</w:t>
      </w:r>
    </w:p>
    <w:p w14:paraId="24224EC9" w14:textId="63864770" w:rsidR="0095609A" w:rsidRPr="00944671" w:rsidRDefault="00BC2ECA" w:rsidP="0095609A">
      <w:pPr>
        <w:pStyle w:val="SingleTxtG"/>
      </w:pPr>
      <w:r w:rsidRPr="00944671">
        <w:t>27</w:t>
      </w:r>
      <w:r w:rsidR="0095609A" w:rsidRPr="00944671">
        <w:t>.</w:t>
      </w:r>
      <w:r w:rsidR="0095609A" w:rsidRPr="00944671">
        <w:tab/>
        <w:t>The proposal was adopted (see annex</w:t>
      </w:r>
      <w:r w:rsidR="004D0952" w:rsidRPr="00944671">
        <w:t xml:space="preserve"> II</w:t>
      </w:r>
      <w:r w:rsidR="0095609A" w:rsidRPr="00944671">
        <w:t>).</w:t>
      </w:r>
    </w:p>
    <w:p w14:paraId="6DC0FAFF" w14:textId="0D0011A2" w:rsidR="0095609A" w:rsidRPr="00944671" w:rsidRDefault="0095609A" w:rsidP="0095609A">
      <w:pPr>
        <w:pStyle w:val="H23G"/>
      </w:pPr>
      <w:r w:rsidRPr="00944671">
        <w:tab/>
        <w:t>4.</w:t>
      </w:r>
      <w:r w:rsidRPr="00944671">
        <w:tab/>
        <w:t>Proposal of amendment to Chapter 1.2 of RID/ADR</w:t>
      </w:r>
    </w:p>
    <w:p w14:paraId="1F6A0385" w14:textId="77777777" w:rsidR="0095609A" w:rsidRPr="00944671" w:rsidRDefault="0095609A" w:rsidP="0095609A">
      <w:pPr>
        <w:pStyle w:val="SingleTxtG"/>
        <w:ind w:left="3289" w:hanging="2155"/>
      </w:pPr>
      <w:r w:rsidRPr="00944671">
        <w:rPr>
          <w:i/>
        </w:rPr>
        <w:t>Document</w:t>
      </w:r>
      <w:r w:rsidRPr="00944671">
        <w:t>:</w:t>
      </w:r>
      <w:r w:rsidRPr="00944671">
        <w:tab/>
        <w:t>ECE/TRANS/WP.15/AC.1/2019/27 (Portugal)</w:t>
      </w:r>
    </w:p>
    <w:p w14:paraId="4115DAF6" w14:textId="1080C40E" w:rsidR="0095609A" w:rsidRPr="00944671" w:rsidRDefault="0095609A" w:rsidP="0095609A">
      <w:pPr>
        <w:spacing w:after="120"/>
        <w:ind w:left="1134" w:right="1134"/>
        <w:jc w:val="both"/>
      </w:pPr>
      <w:r w:rsidRPr="00944671">
        <w:t>2</w:t>
      </w:r>
      <w:r w:rsidR="00BC2ECA" w:rsidRPr="00944671">
        <w:t>8</w:t>
      </w:r>
      <w:r w:rsidRPr="00944671">
        <w:t>.</w:t>
      </w:r>
      <w:r w:rsidRPr="00944671">
        <w:tab/>
        <w:t>The Joint Meeting welcomed the document and noted a number of comments. The representative of OTIF suggested adding some further acronyms such as CNG</w:t>
      </w:r>
      <w:r w:rsidR="0036307A" w:rsidRPr="00944671">
        <w:t xml:space="preserve"> (Compressed Natural Gas)</w:t>
      </w:r>
      <w:r w:rsidRPr="00944671">
        <w:t>, LNG</w:t>
      </w:r>
      <w:r w:rsidR="0036307A" w:rsidRPr="00944671">
        <w:t xml:space="preserve"> (Liquefied Natural Gas)</w:t>
      </w:r>
      <w:r w:rsidRPr="00944671">
        <w:t xml:space="preserve">, CTU </w:t>
      </w:r>
      <w:r w:rsidR="0036307A" w:rsidRPr="00944671">
        <w:t xml:space="preserve">(Cargo Transport Unit) </w:t>
      </w:r>
      <w:r w:rsidRPr="00944671">
        <w:t>etc. The representative of Portugal volunteered to prepare a revised proposal for consideration at the next session taking into account the comments received.</w:t>
      </w:r>
    </w:p>
    <w:p w14:paraId="7E7DDA71" w14:textId="77777777" w:rsidR="0095609A" w:rsidRPr="00944671" w:rsidRDefault="0095609A" w:rsidP="0095609A">
      <w:pPr>
        <w:pStyle w:val="H23G"/>
      </w:pPr>
      <w:r w:rsidRPr="00944671">
        <w:tab/>
        <w:t>5.</w:t>
      </w:r>
      <w:r w:rsidRPr="00944671">
        <w:tab/>
        <w:t>Amendment of section 1.2.1: Definition</w:t>
      </w:r>
    </w:p>
    <w:p w14:paraId="3D322167" w14:textId="77777777" w:rsidR="0095609A" w:rsidRPr="00944671" w:rsidRDefault="0095609A" w:rsidP="0095609A">
      <w:pPr>
        <w:pStyle w:val="SingleTxtG"/>
        <w:ind w:left="3289" w:hanging="2155"/>
      </w:pPr>
      <w:r w:rsidRPr="00944671">
        <w:rPr>
          <w:i/>
        </w:rPr>
        <w:t>Document</w:t>
      </w:r>
      <w:r w:rsidRPr="00944671">
        <w:t>:</w:t>
      </w:r>
      <w:r w:rsidRPr="00944671">
        <w:tab/>
        <w:t>ECE/TRANS/WP.15/AC.1/2019/30 (ITCO)</w:t>
      </w:r>
    </w:p>
    <w:p w14:paraId="47384C1A" w14:textId="3788E2DA" w:rsidR="0095609A" w:rsidRPr="00944671" w:rsidRDefault="0095609A" w:rsidP="0095609A">
      <w:pPr>
        <w:spacing w:after="120"/>
        <w:ind w:left="1134" w:right="1134"/>
        <w:jc w:val="both"/>
      </w:pPr>
      <w:bookmarkStart w:id="3" w:name="_Hlk19811304"/>
      <w:r w:rsidRPr="00944671">
        <w:t>2</w:t>
      </w:r>
      <w:r w:rsidR="00BC2ECA" w:rsidRPr="00944671">
        <w:t>9</w:t>
      </w:r>
      <w:r w:rsidRPr="00944671">
        <w:t>.</w:t>
      </w:r>
      <w:r w:rsidRPr="00944671">
        <w:tab/>
        <w:t xml:space="preserve">The Joint Meeting adopted the proposal as amended </w:t>
      </w:r>
      <w:bookmarkEnd w:id="3"/>
      <w:r w:rsidRPr="00944671">
        <w:t>(see annex</w:t>
      </w:r>
      <w:r w:rsidR="004D0952" w:rsidRPr="00944671">
        <w:t xml:space="preserve"> II</w:t>
      </w:r>
      <w:r w:rsidRPr="00944671">
        <w:t>).</w:t>
      </w:r>
    </w:p>
    <w:p w14:paraId="55CC598F" w14:textId="77777777" w:rsidR="0095609A" w:rsidRPr="00944671" w:rsidRDefault="0095609A" w:rsidP="0095609A">
      <w:pPr>
        <w:pStyle w:val="H23G"/>
      </w:pPr>
      <w:r w:rsidRPr="00944671">
        <w:tab/>
        <w:t>6.</w:t>
      </w:r>
      <w:r w:rsidRPr="00944671">
        <w:tab/>
        <w:t>Updating of references to UIC technical documentation regarding combined transport</w:t>
      </w:r>
    </w:p>
    <w:p w14:paraId="1B94B42B" w14:textId="77777777" w:rsidR="0095609A" w:rsidRPr="00944671" w:rsidRDefault="0095609A" w:rsidP="0095609A">
      <w:pPr>
        <w:pStyle w:val="SingleTxtG"/>
        <w:ind w:left="3289" w:hanging="2155"/>
      </w:pPr>
      <w:r w:rsidRPr="00944671">
        <w:rPr>
          <w:i/>
          <w:iCs/>
        </w:rPr>
        <w:t>Document:</w:t>
      </w:r>
      <w:r w:rsidRPr="00944671">
        <w:tab/>
        <w:t>ECE/TRANS/WP.15/AC.1/2019/48 (UIC)</w:t>
      </w:r>
    </w:p>
    <w:p w14:paraId="32D09AB5" w14:textId="77777777" w:rsidR="0095609A" w:rsidRPr="00944671" w:rsidRDefault="0095609A" w:rsidP="0095609A">
      <w:pPr>
        <w:pStyle w:val="SingleTxtG"/>
        <w:ind w:left="3289" w:hanging="2155"/>
      </w:pPr>
      <w:r w:rsidRPr="00944671">
        <w:rPr>
          <w:i/>
          <w:iCs/>
        </w:rPr>
        <w:t>Informal document:</w:t>
      </w:r>
      <w:r w:rsidRPr="00944671">
        <w:tab/>
        <w:t>INF.3 (UIC)</w:t>
      </w:r>
    </w:p>
    <w:p w14:paraId="07CBD75E" w14:textId="36EE0103" w:rsidR="0095609A" w:rsidRPr="00944671" w:rsidRDefault="00BC2ECA" w:rsidP="0095609A">
      <w:pPr>
        <w:spacing w:after="120"/>
        <w:ind w:left="1134" w:right="1134"/>
        <w:jc w:val="both"/>
      </w:pPr>
      <w:r w:rsidRPr="00944671">
        <w:t>30</w:t>
      </w:r>
      <w:r w:rsidR="0095609A" w:rsidRPr="00944671">
        <w:t>.</w:t>
      </w:r>
      <w:r w:rsidR="0095609A" w:rsidRPr="00944671">
        <w:tab/>
        <w:t xml:space="preserve">The Joint Meeting adopted the proposal to update the references in 6.11.4.1 and 7.1.3 </w:t>
      </w:r>
      <w:r w:rsidR="00282D4B" w:rsidRPr="00944671">
        <w:t xml:space="preserve">of RID/ADR </w:t>
      </w:r>
      <w:r w:rsidR="0095609A" w:rsidRPr="00944671">
        <w:t>to UIC documents (see annex</w:t>
      </w:r>
      <w:r w:rsidR="00282D4B" w:rsidRPr="00944671">
        <w:t xml:space="preserve"> II</w:t>
      </w:r>
      <w:r w:rsidR="0095609A" w:rsidRPr="00944671">
        <w:t>).</w:t>
      </w:r>
    </w:p>
    <w:p w14:paraId="3211DACF" w14:textId="77777777" w:rsidR="0095609A" w:rsidRPr="00944671" w:rsidRDefault="0095609A" w:rsidP="0095609A">
      <w:pPr>
        <w:pStyle w:val="H23G"/>
      </w:pPr>
      <w:r w:rsidRPr="00944671">
        <w:tab/>
        <w:t>7.</w:t>
      </w:r>
      <w:r w:rsidRPr="00944671">
        <w:tab/>
        <w:t>Inclusion of UN No. 3358 in the list of collective entries</w:t>
      </w:r>
    </w:p>
    <w:p w14:paraId="720410BC" w14:textId="77777777" w:rsidR="0095609A" w:rsidRPr="00944671" w:rsidRDefault="0095609A" w:rsidP="0095609A">
      <w:pPr>
        <w:pStyle w:val="SingleTxtG"/>
        <w:ind w:left="3289" w:hanging="2155"/>
      </w:pPr>
      <w:r w:rsidRPr="00944671">
        <w:rPr>
          <w:i/>
        </w:rPr>
        <w:t>Informal document</w:t>
      </w:r>
      <w:r w:rsidRPr="00944671">
        <w:t>:</w:t>
      </w:r>
      <w:r w:rsidRPr="00944671">
        <w:tab/>
        <w:t>INF.12 (OTIF)</w:t>
      </w:r>
    </w:p>
    <w:p w14:paraId="2102FED3" w14:textId="4B786E99" w:rsidR="0095609A" w:rsidRPr="00944671" w:rsidRDefault="00BC2ECA" w:rsidP="0095609A">
      <w:pPr>
        <w:spacing w:after="120"/>
        <w:ind w:left="1134" w:right="1134"/>
        <w:jc w:val="both"/>
      </w:pPr>
      <w:r w:rsidRPr="00944671">
        <w:t>31</w:t>
      </w:r>
      <w:r w:rsidR="0095609A" w:rsidRPr="00944671">
        <w:t>.</w:t>
      </w:r>
      <w:r w:rsidR="0095609A" w:rsidRPr="00944671">
        <w:tab/>
        <w:t>The Joint Meeting adopted the proposed amendment (see annex</w:t>
      </w:r>
      <w:r w:rsidR="00282D4B" w:rsidRPr="00944671">
        <w:t xml:space="preserve"> II</w:t>
      </w:r>
      <w:r w:rsidR="0095609A" w:rsidRPr="00944671">
        <w:t>).</w:t>
      </w:r>
    </w:p>
    <w:p w14:paraId="0AF6A851" w14:textId="77777777" w:rsidR="0095609A" w:rsidRPr="00944671" w:rsidRDefault="0095609A" w:rsidP="0095609A">
      <w:pPr>
        <w:pStyle w:val="H23G"/>
      </w:pPr>
      <w:r w:rsidRPr="00944671">
        <w:tab/>
        <w:t>8.</w:t>
      </w:r>
      <w:r w:rsidRPr="00944671">
        <w:tab/>
        <w:t>Amendment of special provision 591 in Chapter 3.3 of RID/ADR/ADN</w:t>
      </w:r>
    </w:p>
    <w:p w14:paraId="33A3DFBA" w14:textId="77777777" w:rsidR="0095609A" w:rsidRPr="00944671" w:rsidRDefault="0095609A" w:rsidP="0095609A">
      <w:pPr>
        <w:pStyle w:val="SingleTxtG"/>
        <w:ind w:left="3289" w:hanging="2155"/>
      </w:pPr>
      <w:r w:rsidRPr="00944671">
        <w:rPr>
          <w:i/>
        </w:rPr>
        <w:t>Informal document</w:t>
      </w:r>
      <w:r w:rsidRPr="00944671">
        <w:t>:</w:t>
      </w:r>
      <w:r w:rsidRPr="00944671">
        <w:tab/>
        <w:t>INF.13 (Germany)</w:t>
      </w:r>
    </w:p>
    <w:p w14:paraId="30CAB42B" w14:textId="444E48EA" w:rsidR="0095609A" w:rsidRPr="00944671" w:rsidRDefault="00922FAD" w:rsidP="0095609A">
      <w:pPr>
        <w:spacing w:after="120"/>
        <w:ind w:left="1134" w:right="1134"/>
        <w:jc w:val="both"/>
      </w:pPr>
      <w:r w:rsidRPr="00944671">
        <w:t>32</w:t>
      </w:r>
      <w:r w:rsidR="0095609A" w:rsidRPr="00944671">
        <w:t>.</w:t>
      </w:r>
      <w:r w:rsidR="0095609A" w:rsidRPr="00944671">
        <w:tab/>
        <w:t xml:space="preserve">The Joint Meeting noted some comments on the proposal to clarify the classification of lead sulphate with not more than 3 % free acid. The representative of Germany volunteered to prepare an official document </w:t>
      </w:r>
      <w:r w:rsidR="00282D4B" w:rsidRPr="00944671">
        <w:t xml:space="preserve">for the next session </w:t>
      </w:r>
      <w:r w:rsidR="0095609A" w:rsidRPr="00944671">
        <w:t>taking into account the comments received.</w:t>
      </w:r>
    </w:p>
    <w:p w14:paraId="6B6EA80A" w14:textId="77777777" w:rsidR="0095609A" w:rsidRPr="00944671" w:rsidRDefault="0095609A" w:rsidP="0095609A">
      <w:pPr>
        <w:pStyle w:val="H23G"/>
      </w:pPr>
      <w:r w:rsidRPr="00944671">
        <w:tab/>
        <w:t>9.</w:t>
      </w:r>
      <w:r w:rsidRPr="00944671">
        <w:tab/>
        <w:t>Deletion of transitional provision 1.6.1.22 of RID/ADR/ADN</w:t>
      </w:r>
    </w:p>
    <w:p w14:paraId="0F318058" w14:textId="77777777" w:rsidR="0095609A" w:rsidRPr="00944671" w:rsidRDefault="0095609A" w:rsidP="0095609A">
      <w:pPr>
        <w:pStyle w:val="SingleTxtG"/>
        <w:ind w:left="3289" w:hanging="2155"/>
      </w:pPr>
      <w:r w:rsidRPr="00944671">
        <w:rPr>
          <w:i/>
        </w:rPr>
        <w:t>Informal document</w:t>
      </w:r>
      <w:r w:rsidRPr="00944671">
        <w:t>:</w:t>
      </w:r>
      <w:r w:rsidRPr="00944671">
        <w:tab/>
        <w:t>INF.14 (Germany)</w:t>
      </w:r>
    </w:p>
    <w:p w14:paraId="79157B6B" w14:textId="13F2A76C" w:rsidR="0095609A" w:rsidRPr="00944671" w:rsidRDefault="00922FAD" w:rsidP="0095609A">
      <w:pPr>
        <w:spacing w:after="120"/>
        <w:ind w:left="1134" w:right="1134"/>
        <w:jc w:val="both"/>
      </w:pPr>
      <w:r w:rsidRPr="00944671">
        <w:t>33</w:t>
      </w:r>
      <w:r w:rsidR="0095609A" w:rsidRPr="00944671">
        <w:t>.</w:t>
      </w:r>
      <w:r w:rsidR="0095609A" w:rsidRPr="00944671">
        <w:tab/>
        <w:t>The Joint Meeting adopted the proposed amendment (see annex</w:t>
      </w:r>
      <w:r w:rsidR="00282D4B" w:rsidRPr="00944671">
        <w:t xml:space="preserve"> II)</w:t>
      </w:r>
      <w:r w:rsidR="0095609A" w:rsidRPr="00944671">
        <w:t>.</w:t>
      </w:r>
    </w:p>
    <w:p w14:paraId="7BEBB989" w14:textId="517C83CE" w:rsidR="00FC490E" w:rsidRPr="00944671" w:rsidRDefault="00FC490E" w:rsidP="00FC490E">
      <w:pPr>
        <w:pStyle w:val="H23G"/>
        <w:rPr>
          <w:lang w:eastAsia="fr-FR"/>
        </w:rPr>
      </w:pPr>
      <w:r w:rsidRPr="00944671">
        <w:tab/>
        <w:t>10.</w:t>
      </w:r>
      <w:r w:rsidRPr="00944671">
        <w:tab/>
        <w:t>Separate assessment of valves and other demountable accessories having a direct safety function on UN pressure receptacles</w:t>
      </w:r>
    </w:p>
    <w:p w14:paraId="1D39C956" w14:textId="77777777" w:rsidR="00FC490E" w:rsidRPr="00944671" w:rsidRDefault="00FC490E" w:rsidP="00FC490E">
      <w:pPr>
        <w:pStyle w:val="SingleTxtG"/>
        <w:ind w:left="3289" w:hanging="2155"/>
      </w:pPr>
      <w:r w:rsidRPr="00944671">
        <w:rPr>
          <w:i/>
        </w:rPr>
        <w:t>Document</w:t>
      </w:r>
      <w:r w:rsidRPr="00944671">
        <w:t>:</w:t>
      </w:r>
      <w:r w:rsidRPr="00944671">
        <w:tab/>
        <w:t>ECE/TRANS/WP.15/AC.1/2019/29 (France)</w:t>
      </w:r>
    </w:p>
    <w:p w14:paraId="4CEDB8CA" w14:textId="4E01AB4A" w:rsidR="00FC490E" w:rsidRPr="00944671" w:rsidRDefault="00FC490E" w:rsidP="00FC490E">
      <w:pPr>
        <w:spacing w:after="120"/>
        <w:ind w:left="1134" w:right="1134"/>
        <w:jc w:val="both"/>
      </w:pPr>
      <w:r w:rsidRPr="00944671">
        <w:t>3</w:t>
      </w:r>
      <w:r w:rsidR="00922FAD" w:rsidRPr="00944671">
        <w:t>4</w:t>
      </w:r>
      <w:r w:rsidRPr="00944671">
        <w:t>.</w:t>
      </w:r>
      <w:r w:rsidRPr="00944671">
        <w:tab/>
        <w:t>The Joint Meeting adopted the proposed amendments to 6.2.2.11 (see annex</w:t>
      </w:r>
      <w:r w:rsidR="00282D4B" w:rsidRPr="00944671">
        <w:t xml:space="preserve"> II</w:t>
      </w:r>
      <w:r w:rsidRPr="00944671">
        <w:t>).</w:t>
      </w:r>
    </w:p>
    <w:p w14:paraId="50C761AD" w14:textId="7EE082B0" w:rsidR="00FC490E" w:rsidRPr="00944671" w:rsidRDefault="00FC490E" w:rsidP="00FC490E">
      <w:pPr>
        <w:pStyle w:val="H23G"/>
        <w:rPr>
          <w:lang w:eastAsia="fr-FR"/>
        </w:rPr>
      </w:pPr>
      <w:r w:rsidRPr="00944671">
        <w:lastRenderedPageBreak/>
        <w:tab/>
        <w:t>11.</w:t>
      </w:r>
      <w:r w:rsidRPr="00944671">
        <w:tab/>
        <w:t>Different names and description for UN numbers between the Model Regulations and RID/ADR</w:t>
      </w:r>
    </w:p>
    <w:p w14:paraId="0BFB0ACF" w14:textId="77777777" w:rsidR="00FC490E" w:rsidRPr="00944671" w:rsidRDefault="00FC490E" w:rsidP="00FC490E">
      <w:pPr>
        <w:pStyle w:val="SingleTxtG"/>
        <w:ind w:left="3289" w:hanging="2155"/>
      </w:pPr>
      <w:r w:rsidRPr="00944671">
        <w:rPr>
          <w:i/>
        </w:rPr>
        <w:t>Document</w:t>
      </w:r>
      <w:r w:rsidRPr="00944671">
        <w:t>:</w:t>
      </w:r>
      <w:r w:rsidRPr="00944671">
        <w:tab/>
        <w:t>ECE/TRANS/WP.15/AC.1/2019/32 (Spain)</w:t>
      </w:r>
    </w:p>
    <w:p w14:paraId="38DA5C53" w14:textId="17FF8F09" w:rsidR="00FC490E" w:rsidRPr="00944671" w:rsidRDefault="00FC490E" w:rsidP="00FC490E">
      <w:pPr>
        <w:spacing w:after="120"/>
        <w:ind w:left="1134" w:right="1134"/>
        <w:jc w:val="both"/>
      </w:pPr>
      <w:r w:rsidRPr="00944671">
        <w:t>3</w:t>
      </w:r>
      <w:r w:rsidR="00922FAD" w:rsidRPr="00944671">
        <w:t>5</w:t>
      </w:r>
      <w:r w:rsidRPr="00944671">
        <w:t>.</w:t>
      </w:r>
      <w:r w:rsidRPr="00944671">
        <w:tab/>
        <w:t xml:space="preserve">The Joint Meeting noted several comments on the proposed </w:t>
      </w:r>
      <w:r w:rsidR="00CC417A" w:rsidRPr="00944671">
        <w:t xml:space="preserve">topics. It </w:t>
      </w:r>
      <w:r w:rsidRPr="00944671">
        <w:t xml:space="preserve">invited the representative of Spain to prepare a revised proposal </w:t>
      </w:r>
      <w:r w:rsidR="00CC417A" w:rsidRPr="00944671">
        <w:t xml:space="preserve">on the subject of butylene, </w:t>
      </w:r>
      <w:r w:rsidRPr="00944671">
        <w:t>for consideration at a forthcoming session of the TDG Sub-Committee.</w:t>
      </w:r>
      <w:r w:rsidR="00CC417A" w:rsidRPr="00944671">
        <w:t xml:space="preserve"> For the rest of topics, the representative of Spain volunteered to further develop the proposals for the next session of the Joint Meeting.</w:t>
      </w:r>
    </w:p>
    <w:p w14:paraId="2C14ADAD" w14:textId="77777777" w:rsidR="00FC490E" w:rsidRPr="00944671" w:rsidRDefault="00FC490E" w:rsidP="00FC490E">
      <w:pPr>
        <w:pStyle w:val="H23G"/>
      </w:pPr>
      <w:r w:rsidRPr="00944671">
        <w:tab/>
        <w:t>12.</w:t>
      </w:r>
      <w:r w:rsidRPr="00944671">
        <w:tab/>
        <w:t>Harmonization of special provision 593 with 5.5.3</w:t>
      </w:r>
    </w:p>
    <w:p w14:paraId="3057914D" w14:textId="77777777" w:rsidR="00FC490E" w:rsidRPr="00944671" w:rsidRDefault="00FC490E" w:rsidP="00FC490E">
      <w:pPr>
        <w:pStyle w:val="SingleTxtG"/>
        <w:ind w:left="3289" w:hanging="2155"/>
      </w:pPr>
      <w:r w:rsidRPr="00944671">
        <w:rPr>
          <w:i/>
        </w:rPr>
        <w:t>Document</w:t>
      </w:r>
      <w:r w:rsidRPr="00944671">
        <w:t>:</w:t>
      </w:r>
      <w:r w:rsidRPr="00944671">
        <w:tab/>
        <w:t>ECE/TRANS/WP.15/AC.1/2019/33 (Spain)</w:t>
      </w:r>
    </w:p>
    <w:p w14:paraId="2A6E0D71" w14:textId="3AA20FEC" w:rsidR="00FC490E" w:rsidRPr="00944671" w:rsidRDefault="00FC490E" w:rsidP="00FC490E">
      <w:pPr>
        <w:pStyle w:val="SingleTxtG"/>
      </w:pPr>
      <w:r w:rsidRPr="00944671">
        <w:t>3</w:t>
      </w:r>
      <w:r w:rsidR="00922FAD" w:rsidRPr="00944671">
        <w:t>6</w:t>
      </w:r>
      <w:r w:rsidRPr="00944671">
        <w:t>.</w:t>
      </w:r>
      <w:r w:rsidRPr="00944671">
        <w:tab/>
        <w:t>The Joint Meeting welcomed the proposal and agreed on the need to clarify the application of either the provision of 5.5.3 or special provision 593. The representative of Spain volunteered to prepare a revised proposal for consideration at the next session.</w:t>
      </w:r>
    </w:p>
    <w:p w14:paraId="5B06730D" w14:textId="77777777" w:rsidR="00FC490E" w:rsidRPr="00944671" w:rsidRDefault="00FC490E" w:rsidP="00FC490E">
      <w:pPr>
        <w:pStyle w:val="H23G"/>
      </w:pPr>
      <w:r w:rsidRPr="00944671">
        <w:tab/>
        <w:t>13.</w:t>
      </w:r>
      <w:r w:rsidRPr="00944671">
        <w:tab/>
        <w:t>Consequential amendments related to the introduction of “TEMPERATURE CONTROLLED” in 3.1.2.6</w:t>
      </w:r>
    </w:p>
    <w:p w14:paraId="2178B31C" w14:textId="77777777" w:rsidR="00FC490E" w:rsidRPr="00944671" w:rsidRDefault="00FC490E" w:rsidP="00FC490E">
      <w:pPr>
        <w:pStyle w:val="SingleTxtG"/>
        <w:ind w:left="3289" w:hanging="2155"/>
      </w:pPr>
      <w:r w:rsidRPr="00944671">
        <w:rPr>
          <w:i/>
        </w:rPr>
        <w:t>Informal document</w:t>
      </w:r>
      <w:r w:rsidRPr="00944671">
        <w:t>:</w:t>
      </w:r>
      <w:r w:rsidRPr="00944671">
        <w:tab/>
        <w:t>INF.8 (Spain)</w:t>
      </w:r>
    </w:p>
    <w:p w14:paraId="2E7BF68A" w14:textId="008C78D3" w:rsidR="00FC490E" w:rsidRPr="00944671" w:rsidRDefault="00FC490E" w:rsidP="00FC490E">
      <w:pPr>
        <w:pStyle w:val="SingleTxtG"/>
      </w:pPr>
      <w:r w:rsidRPr="00944671">
        <w:t>3</w:t>
      </w:r>
      <w:r w:rsidR="00922FAD" w:rsidRPr="00944671">
        <w:t>7</w:t>
      </w:r>
      <w:r w:rsidRPr="00944671">
        <w:t>.</w:t>
      </w:r>
      <w:r w:rsidRPr="00944671">
        <w:tab/>
        <w:t>A number of delegations supported in principle the proposed amendments but preferred to amend in a first step the Model Regulations. The representative of Spain was invited to prepare a proposal for consideration at a next session of the TDG Sub-Committee.</w:t>
      </w:r>
    </w:p>
    <w:p w14:paraId="64ADDCE7" w14:textId="77777777" w:rsidR="00FC490E" w:rsidRPr="00944671" w:rsidRDefault="00FC490E" w:rsidP="00FC490E">
      <w:pPr>
        <w:pStyle w:val="H23G"/>
      </w:pPr>
      <w:r w:rsidRPr="00944671">
        <w:tab/>
        <w:t>14.</w:t>
      </w:r>
      <w:r w:rsidRPr="00944671">
        <w:tab/>
        <w:t>Reference to “MOLTEN” as part of the proper shipping name in the transport document</w:t>
      </w:r>
    </w:p>
    <w:p w14:paraId="7D0082C6" w14:textId="77777777" w:rsidR="00FC490E" w:rsidRPr="00944671" w:rsidRDefault="00FC490E" w:rsidP="00FC490E">
      <w:pPr>
        <w:pStyle w:val="SingleTxtG"/>
        <w:ind w:left="3289" w:hanging="2155"/>
      </w:pPr>
      <w:r w:rsidRPr="00944671">
        <w:rPr>
          <w:i/>
        </w:rPr>
        <w:t>Informal document</w:t>
      </w:r>
      <w:r w:rsidRPr="00944671">
        <w:t>:</w:t>
      </w:r>
      <w:r w:rsidRPr="00944671">
        <w:tab/>
        <w:t>INF.9 (Spain)</w:t>
      </w:r>
    </w:p>
    <w:p w14:paraId="17A5E59C" w14:textId="3646E380" w:rsidR="00FC490E" w:rsidRPr="00944671" w:rsidRDefault="00922FAD" w:rsidP="00FC490E">
      <w:pPr>
        <w:pStyle w:val="SingleTxtG"/>
      </w:pPr>
      <w:r w:rsidRPr="00944671">
        <w:t>38</w:t>
      </w:r>
      <w:r w:rsidR="00FC490E" w:rsidRPr="00944671">
        <w:t>.</w:t>
      </w:r>
      <w:r w:rsidR="00FC490E" w:rsidRPr="00944671">
        <w:tab/>
        <w:t xml:space="preserve">The representative of Spain explained that this proposal was closely related to informal document INF.8 and suggested submitting </w:t>
      </w:r>
      <w:r w:rsidR="001A1421" w:rsidRPr="00944671">
        <w:t>a revised</w:t>
      </w:r>
      <w:r w:rsidR="00FC490E" w:rsidRPr="00944671">
        <w:t xml:space="preserve"> document at a further session.</w:t>
      </w:r>
    </w:p>
    <w:p w14:paraId="526658EE" w14:textId="77777777" w:rsidR="00FC490E" w:rsidRPr="00944671" w:rsidRDefault="00FC490E" w:rsidP="00FC490E">
      <w:pPr>
        <w:pStyle w:val="H23G"/>
      </w:pPr>
      <w:r w:rsidRPr="00944671">
        <w:tab/>
        <w:t>15.</w:t>
      </w:r>
      <w:r w:rsidRPr="00944671">
        <w:tab/>
        <w:t>Carriage of “FERTILIZER AMMONIATING SOLUTION” (UN No. 1043)</w:t>
      </w:r>
    </w:p>
    <w:p w14:paraId="3B6E7256" w14:textId="77777777" w:rsidR="00FC490E" w:rsidRPr="00944671" w:rsidRDefault="00FC490E" w:rsidP="00FC490E">
      <w:pPr>
        <w:pStyle w:val="SingleTxtG"/>
        <w:ind w:left="3289" w:hanging="2155"/>
      </w:pPr>
      <w:r w:rsidRPr="00944671">
        <w:rPr>
          <w:i/>
        </w:rPr>
        <w:t>Informal document</w:t>
      </w:r>
      <w:r w:rsidRPr="00944671">
        <w:t>:</w:t>
      </w:r>
      <w:r w:rsidRPr="00944671">
        <w:tab/>
        <w:t>INF.10 (Spain)</w:t>
      </w:r>
    </w:p>
    <w:p w14:paraId="172518D9" w14:textId="6C02C937" w:rsidR="00FC490E" w:rsidRPr="00944671" w:rsidRDefault="00922FAD" w:rsidP="00FC490E">
      <w:pPr>
        <w:pStyle w:val="SingleTxtG"/>
      </w:pPr>
      <w:r w:rsidRPr="00944671">
        <w:t>39</w:t>
      </w:r>
      <w:r w:rsidR="00FC490E" w:rsidRPr="00944671">
        <w:t>.</w:t>
      </w:r>
      <w:r w:rsidR="00FC490E" w:rsidRPr="00944671">
        <w:tab/>
        <w:t xml:space="preserve">The amendments proposed in informal document INF.10 received </w:t>
      </w:r>
      <w:r w:rsidR="00317101" w:rsidRPr="00944671">
        <w:t>several</w:t>
      </w:r>
      <w:r w:rsidR="00FC490E" w:rsidRPr="00944671">
        <w:t xml:space="preserve"> comments. The Joint Meeting agreed on the need to clarify the provisions in 2.2.2.2.2. The representative of Spain volunteered to prepare a new document for consideration at the next session taking into account the comments received.</w:t>
      </w:r>
    </w:p>
    <w:p w14:paraId="039BA2B9" w14:textId="4D81FCE7" w:rsidR="008B2685" w:rsidRPr="00944671" w:rsidRDefault="008B2685" w:rsidP="008B2685">
      <w:pPr>
        <w:pStyle w:val="H23G"/>
        <w:rPr>
          <w:lang w:eastAsia="fr-FR"/>
        </w:rPr>
      </w:pPr>
      <w:r w:rsidRPr="00944671">
        <w:tab/>
        <w:t>16.</w:t>
      </w:r>
      <w:r w:rsidRPr="00944671">
        <w:tab/>
        <w:t xml:space="preserve">Proposal for a new designed flexible IBC for carriage of refined cobalt </w:t>
      </w:r>
      <w:proofErr w:type="spellStart"/>
      <w:r w:rsidRPr="00944671">
        <w:t>dihydroxide</w:t>
      </w:r>
      <w:proofErr w:type="spellEnd"/>
      <w:r w:rsidRPr="00944671">
        <w:t xml:space="preserve"> meeting the packing group I criteria for inhalation toxicity</w:t>
      </w:r>
    </w:p>
    <w:p w14:paraId="04BE3A2C" w14:textId="77777777" w:rsidR="008B2685" w:rsidRPr="00944671" w:rsidRDefault="008B2685" w:rsidP="008B2685">
      <w:pPr>
        <w:pStyle w:val="SingleTxtG"/>
        <w:ind w:left="3289" w:hanging="2155"/>
      </w:pPr>
      <w:r w:rsidRPr="00944671">
        <w:rPr>
          <w:i/>
        </w:rPr>
        <w:t>Informal document</w:t>
      </w:r>
      <w:r w:rsidRPr="00944671">
        <w:t>:</w:t>
      </w:r>
      <w:r w:rsidRPr="00944671">
        <w:tab/>
        <w:t>INF.23 (Belgium)</w:t>
      </w:r>
    </w:p>
    <w:p w14:paraId="10CA6ED9" w14:textId="6016BAEE" w:rsidR="008B2685" w:rsidRPr="00944671" w:rsidRDefault="008B2685" w:rsidP="008B2685">
      <w:pPr>
        <w:pStyle w:val="SingleTxtG"/>
      </w:pPr>
      <w:r w:rsidRPr="00944671">
        <w:t>4</w:t>
      </w:r>
      <w:r w:rsidR="00922FAD" w:rsidRPr="00944671">
        <w:t>0</w:t>
      </w:r>
      <w:r w:rsidRPr="00944671">
        <w:t>.</w:t>
      </w:r>
      <w:r w:rsidRPr="00944671">
        <w:tab/>
        <w:t>The representative of Belgium informed the Joint Meeting about the possible use of an improved flexible IBC meeting the requirements described in informal document INF.23. He added that specific provisions for loading, unloading and carriage were necessary. He announced that a more detailed discussion on possible amendments would take place at the next session of TDG Sub-Committee. He also announced his intention to circulate a multilateral agreement as an interim solution. The Joint Meeting endorsed that procedure and agreed to resume consideration of this subject at its next session.</w:t>
      </w:r>
    </w:p>
    <w:p w14:paraId="410B2B89" w14:textId="77777777" w:rsidR="008B2685" w:rsidRPr="00944671" w:rsidRDefault="008B2685" w:rsidP="008B2685">
      <w:pPr>
        <w:pStyle w:val="H23G"/>
      </w:pPr>
      <w:r w:rsidRPr="00944671">
        <w:lastRenderedPageBreak/>
        <w:tab/>
        <w:t>17.</w:t>
      </w:r>
      <w:r w:rsidRPr="00944671">
        <w:tab/>
        <w:t>Classification of lead dioxide (UN No. 1872)</w:t>
      </w:r>
    </w:p>
    <w:p w14:paraId="64920327" w14:textId="77777777" w:rsidR="008B2685" w:rsidRPr="00944671" w:rsidRDefault="008B2685" w:rsidP="008B2685">
      <w:pPr>
        <w:pStyle w:val="SingleTxtG"/>
        <w:ind w:left="3289" w:hanging="2155"/>
      </w:pPr>
      <w:r w:rsidRPr="00944671">
        <w:rPr>
          <w:i/>
        </w:rPr>
        <w:t>Informal document</w:t>
      </w:r>
      <w:r w:rsidRPr="00944671">
        <w:t>:</w:t>
      </w:r>
      <w:r w:rsidRPr="00944671">
        <w:tab/>
        <w:t>INF.25 (Germany)</w:t>
      </w:r>
    </w:p>
    <w:p w14:paraId="508FEDF2" w14:textId="31B63466" w:rsidR="008B2685" w:rsidRPr="00944671" w:rsidRDefault="008B2685" w:rsidP="008B2685">
      <w:pPr>
        <w:pStyle w:val="SingleTxtG"/>
      </w:pPr>
      <w:r w:rsidRPr="00944671">
        <w:t>4</w:t>
      </w:r>
      <w:r w:rsidR="00922FAD" w:rsidRPr="00944671">
        <w:t>1</w:t>
      </w:r>
      <w:r w:rsidRPr="00944671">
        <w:t>.</w:t>
      </w:r>
      <w:r w:rsidRPr="00944671">
        <w:tab/>
        <w:t>The Joint Meeting welcomed the amendments proposed in informal document INF.25 and invited the representative of Germany to submit an official document at the next session, including possible consequential amendments for carriage in bulk.</w:t>
      </w:r>
    </w:p>
    <w:p w14:paraId="3CA843A4" w14:textId="77777777" w:rsidR="008B2685" w:rsidRPr="00944671" w:rsidRDefault="008B2685" w:rsidP="008B2685">
      <w:pPr>
        <w:pStyle w:val="H23G"/>
      </w:pPr>
      <w:r w:rsidRPr="00944671">
        <w:tab/>
        <w:t>18.</w:t>
      </w:r>
      <w:r w:rsidRPr="00944671">
        <w:tab/>
        <w:t>Proposal for amendment to the exemptions related to the nature of the transport operation in 1.1.3.1</w:t>
      </w:r>
    </w:p>
    <w:p w14:paraId="1E37C58B" w14:textId="77777777" w:rsidR="008B2685" w:rsidRPr="00944671" w:rsidRDefault="008B2685" w:rsidP="008B2685">
      <w:pPr>
        <w:pStyle w:val="SingleTxtG"/>
        <w:ind w:left="3289" w:hanging="2155"/>
      </w:pPr>
      <w:r w:rsidRPr="00944671">
        <w:rPr>
          <w:i/>
        </w:rPr>
        <w:t>Informal document</w:t>
      </w:r>
      <w:r w:rsidRPr="00944671">
        <w:t>:</w:t>
      </w:r>
      <w:r w:rsidRPr="00944671">
        <w:tab/>
        <w:t>INF.28 (Luxembourg)</w:t>
      </w:r>
    </w:p>
    <w:p w14:paraId="5CA22C9A" w14:textId="48A05E3D" w:rsidR="008B2685" w:rsidRPr="00944671" w:rsidRDefault="008B2685" w:rsidP="008B2685">
      <w:pPr>
        <w:pStyle w:val="SingleTxtG"/>
      </w:pPr>
      <w:r w:rsidRPr="00944671">
        <w:t>4</w:t>
      </w:r>
      <w:r w:rsidR="00922FAD" w:rsidRPr="00944671">
        <w:t>2</w:t>
      </w:r>
      <w:r w:rsidRPr="00944671">
        <w:t>.</w:t>
      </w:r>
      <w:r w:rsidRPr="00944671">
        <w:tab/>
        <w:t xml:space="preserve">The amendments proposed in informal document INF.28 received </w:t>
      </w:r>
      <w:r w:rsidR="00317101" w:rsidRPr="00944671">
        <w:t>several</w:t>
      </w:r>
      <w:r w:rsidRPr="00944671">
        <w:t xml:space="preserve"> comments and a study reservation by the Netherlands. The representative of Luxembourg volunteered to prepare a revised document for consideration at the next session taking into account the comments received.</w:t>
      </w:r>
      <w:r w:rsidR="00681888" w:rsidRPr="00944671">
        <w:t xml:space="preserve"> He invited delegates to transmit </w:t>
      </w:r>
      <w:r w:rsidR="0049118F">
        <w:t xml:space="preserve">him </w:t>
      </w:r>
      <w:r w:rsidR="00681888" w:rsidRPr="00944671">
        <w:t xml:space="preserve">their comments before </w:t>
      </w:r>
      <w:r w:rsidR="0049118F">
        <w:t>20</w:t>
      </w:r>
      <w:r w:rsidR="00681888" w:rsidRPr="00944671">
        <w:t xml:space="preserve"> November 2019.</w:t>
      </w:r>
    </w:p>
    <w:p w14:paraId="5495F83F" w14:textId="77777777" w:rsidR="008B2685" w:rsidRPr="00944671" w:rsidRDefault="008B2685" w:rsidP="008B2685">
      <w:pPr>
        <w:pStyle w:val="H23G"/>
      </w:pPr>
      <w:r w:rsidRPr="00944671">
        <w:tab/>
        <w:t>19.</w:t>
      </w:r>
      <w:r w:rsidRPr="00944671">
        <w:tab/>
        <w:t>Interpretation problem in ADR sub-section 7.5.2.3</w:t>
      </w:r>
    </w:p>
    <w:p w14:paraId="18615CBC" w14:textId="77777777" w:rsidR="008B2685" w:rsidRPr="00944671" w:rsidRDefault="008B2685" w:rsidP="008B2685">
      <w:pPr>
        <w:pStyle w:val="SingleTxtG"/>
        <w:ind w:left="3289" w:hanging="2155"/>
      </w:pPr>
      <w:r w:rsidRPr="00944671">
        <w:rPr>
          <w:i/>
        </w:rPr>
        <w:t>Informal document</w:t>
      </w:r>
      <w:r w:rsidRPr="00944671">
        <w:t>:</w:t>
      </w:r>
      <w:r w:rsidRPr="00944671">
        <w:tab/>
        <w:t>INF.40 (COSTHA)</w:t>
      </w:r>
    </w:p>
    <w:p w14:paraId="6A2F5596" w14:textId="647C4DBF" w:rsidR="008B2685" w:rsidRPr="00944671" w:rsidRDefault="008B2685" w:rsidP="008B2685">
      <w:pPr>
        <w:pStyle w:val="SingleTxtG"/>
      </w:pPr>
      <w:r w:rsidRPr="00944671">
        <w:t>4</w:t>
      </w:r>
      <w:r w:rsidR="00922FAD" w:rsidRPr="00944671">
        <w:t>3</w:t>
      </w:r>
      <w:r w:rsidRPr="00944671">
        <w:t>.</w:t>
      </w:r>
      <w:r w:rsidRPr="00944671">
        <w:tab/>
        <w:t xml:space="preserve">The Joint Meeting noted some comments on the interpretation of </w:t>
      </w:r>
      <w:r w:rsidR="00282D4B" w:rsidRPr="00944671">
        <w:t xml:space="preserve">paragraph </w:t>
      </w:r>
      <w:r w:rsidRPr="00944671">
        <w:t xml:space="preserve">7.5.2.3 </w:t>
      </w:r>
      <w:r w:rsidR="00282D4B" w:rsidRPr="00944671">
        <w:t xml:space="preserve">of ADR </w:t>
      </w:r>
      <w:r w:rsidRPr="00944671">
        <w:t>in informal document INF.40 and invited the representative of COSTHA to submit the proposal for consideration at a forthcoming session of WP.15.</w:t>
      </w:r>
    </w:p>
    <w:p w14:paraId="34F34BA9" w14:textId="77777777" w:rsidR="008B2685" w:rsidRPr="00944671" w:rsidRDefault="008B2685" w:rsidP="008B2685">
      <w:pPr>
        <w:pStyle w:val="H23G"/>
      </w:pPr>
      <w:r w:rsidRPr="00944671">
        <w:tab/>
        <w:t>20.</w:t>
      </w:r>
      <w:r w:rsidRPr="00944671">
        <w:tab/>
        <w:t>Provisions in 5.5.3 for dry ice (UN No. 1845) as a consignment</w:t>
      </w:r>
    </w:p>
    <w:p w14:paraId="74AA6902" w14:textId="77777777" w:rsidR="008B2685" w:rsidRPr="00944671" w:rsidRDefault="008B2685" w:rsidP="008B2685">
      <w:pPr>
        <w:pStyle w:val="SingleTxtG"/>
        <w:ind w:left="3289" w:hanging="2155"/>
      </w:pPr>
      <w:r w:rsidRPr="00944671">
        <w:rPr>
          <w:i/>
        </w:rPr>
        <w:t>Document</w:t>
      </w:r>
      <w:r w:rsidRPr="00944671">
        <w:t>:</w:t>
      </w:r>
      <w:r w:rsidRPr="00944671">
        <w:tab/>
        <w:t>ECE/TRANS/WP.15/AC.1/2019/45 (Switzerland)</w:t>
      </w:r>
    </w:p>
    <w:p w14:paraId="488B7108" w14:textId="77777777" w:rsidR="008B2685" w:rsidRPr="00944671" w:rsidRDefault="008B2685" w:rsidP="008B2685">
      <w:pPr>
        <w:pStyle w:val="SingleTxtG"/>
        <w:ind w:left="3289" w:hanging="2155"/>
      </w:pPr>
      <w:r w:rsidRPr="00944671">
        <w:rPr>
          <w:i/>
        </w:rPr>
        <w:t>Informal document</w:t>
      </w:r>
      <w:r w:rsidRPr="00944671">
        <w:t>:</w:t>
      </w:r>
      <w:r w:rsidRPr="00944671">
        <w:tab/>
        <w:t>INF.48 (Switzerland)</w:t>
      </w:r>
    </w:p>
    <w:p w14:paraId="4F46E4B6" w14:textId="72522700" w:rsidR="0095609A" w:rsidRPr="00944671" w:rsidRDefault="008B2685" w:rsidP="00681888">
      <w:pPr>
        <w:pStyle w:val="SingleTxtG"/>
      </w:pPr>
      <w:r w:rsidRPr="00944671">
        <w:t>4</w:t>
      </w:r>
      <w:r w:rsidR="00922FAD" w:rsidRPr="00944671">
        <w:t>4</w:t>
      </w:r>
      <w:r w:rsidRPr="00944671">
        <w:t>.</w:t>
      </w:r>
      <w:r w:rsidRPr="00944671">
        <w:tab/>
        <w:t xml:space="preserve">Proposal 2 in ECE/TRANS/WP.15/AC.1/2019/45 was adopted as amended </w:t>
      </w:r>
      <w:r w:rsidR="00282D4B" w:rsidRPr="00944671">
        <w:t>(see annex II)</w:t>
      </w:r>
      <w:r w:rsidRPr="00944671">
        <w:t>. Following the discussion</w:t>
      </w:r>
      <w:r w:rsidR="0049118F">
        <w:t xml:space="preserve"> on proposal 1</w:t>
      </w:r>
      <w:r w:rsidRPr="00944671">
        <w:t>, the Joint Meeting adopted the revised proposal of amendments to 5.5.3 in informal document INF.48 as amended (see annex</w:t>
      </w:r>
      <w:r w:rsidR="00282D4B" w:rsidRPr="00944671">
        <w:t xml:space="preserve"> II</w:t>
      </w:r>
      <w:r w:rsidRPr="00944671">
        <w:t>).</w:t>
      </w:r>
    </w:p>
    <w:p w14:paraId="25945FDF" w14:textId="2C582015" w:rsidR="0095609A" w:rsidRPr="00944671" w:rsidRDefault="0095609A" w:rsidP="0095609A">
      <w:pPr>
        <w:pStyle w:val="HChG"/>
      </w:pPr>
      <w:r w:rsidRPr="00944671">
        <w:rPr>
          <w:lang w:val="fr-CH"/>
        </w:rPr>
        <w:t>VII</w:t>
      </w:r>
      <w:r w:rsidR="00317101" w:rsidRPr="00944671">
        <w:rPr>
          <w:lang w:val="fr-CH"/>
        </w:rPr>
        <w:t>I</w:t>
      </w:r>
      <w:r w:rsidRPr="00944671">
        <w:t>.</w:t>
      </w:r>
      <w:r w:rsidRPr="00944671">
        <w:tab/>
      </w:r>
      <w:r w:rsidRPr="00944671">
        <w:tab/>
        <w:t>Interpretation of RID/ADR/ADN (agenda item 6)</w:t>
      </w:r>
    </w:p>
    <w:p w14:paraId="482EA948" w14:textId="77777777" w:rsidR="0095609A" w:rsidRPr="00944671" w:rsidRDefault="0095609A" w:rsidP="0095609A">
      <w:pPr>
        <w:pStyle w:val="H23G"/>
      </w:pPr>
      <w:r w:rsidRPr="00944671">
        <w:tab/>
      </w:r>
      <w:r w:rsidRPr="00944671">
        <w:tab/>
        <w:t>Standard liquids</w:t>
      </w:r>
    </w:p>
    <w:p w14:paraId="4120FCA2" w14:textId="77777777" w:rsidR="0095609A" w:rsidRPr="00944671" w:rsidRDefault="0095609A" w:rsidP="0095609A">
      <w:pPr>
        <w:pStyle w:val="SingleTxtG"/>
        <w:tabs>
          <w:tab w:val="left" w:pos="3402"/>
        </w:tabs>
        <w:spacing w:before="120"/>
        <w:ind w:left="2268" w:hanging="1134"/>
      </w:pPr>
      <w:r w:rsidRPr="00944671">
        <w:rPr>
          <w:i/>
        </w:rPr>
        <w:t>Document</w:t>
      </w:r>
      <w:r w:rsidRPr="00944671">
        <w:t xml:space="preserve">: </w:t>
      </w:r>
      <w:r w:rsidRPr="00944671">
        <w:tab/>
      </w:r>
      <w:r w:rsidRPr="00944671">
        <w:tab/>
        <w:t>ECE/TRANS/WP.15/AC.1/2019/41 (Italy)</w:t>
      </w:r>
    </w:p>
    <w:p w14:paraId="2988A5A6" w14:textId="0777EC19" w:rsidR="0095609A" w:rsidRPr="00944671" w:rsidRDefault="00922FAD" w:rsidP="0095609A">
      <w:pPr>
        <w:pStyle w:val="SingleTxtG"/>
      </w:pPr>
      <w:r w:rsidRPr="00944671">
        <w:t>45</w:t>
      </w:r>
      <w:r w:rsidR="0095609A" w:rsidRPr="00944671">
        <w:t>.</w:t>
      </w:r>
      <w:r w:rsidR="0095609A" w:rsidRPr="00944671">
        <w:tab/>
        <w:t>Several delegations raised concerns on the interpretation by Italy on the use of standard liquids for the stacking test. The representative of Italy volunteered to review the issue taking into account the comments received and to submit, if necessary, a proposal for amendments in the future.</w:t>
      </w:r>
    </w:p>
    <w:p w14:paraId="3368238F" w14:textId="48F6C241" w:rsidR="0095609A" w:rsidRPr="00944671" w:rsidRDefault="007637A1" w:rsidP="0095609A">
      <w:pPr>
        <w:pStyle w:val="HChG"/>
      </w:pPr>
      <w:r w:rsidRPr="00944671">
        <w:tab/>
      </w:r>
      <w:r w:rsidR="001C27D3" w:rsidRPr="00944671">
        <w:rPr>
          <w:lang w:val="fr-CH"/>
        </w:rPr>
        <w:t>I</w:t>
      </w:r>
      <w:r w:rsidR="00317101" w:rsidRPr="00944671">
        <w:rPr>
          <w:lang w:val="fr-CH"/>
        </w:rPr>
        <w:t>X</w:t>
      </w:r>
      <w:r w:rsidR="0095609A" w:rsidRPr="00944671">
        <w:t>.</w:t>
      </w:r>
      <w:r w:rsidR="0095609A" w:rsidRPr="00944671">
        <w:tab/>
      </w:r>
      <w:r w:rsidR="0095609A" w:rsidRPr="00944671">
        <w:tab/>
        <w:t>Reports of informal working groups (agenda item 7)</w:t>
      </w:r>
    </w:p>
    <w:p w14:paraId="3D2904EF" w14:textId="77777777" w:rsidR="0095609A" w:rsidRPr="00944671" w:rsidRDefault="0095609A" w:rsidP="0095609A">
      <w:pPr>
        <w:pStyle w:val="H1G"/>
      </w:pPr>
      <w:r w:rsidRPr="00944671">
        <w:tab/>
        <w:t>A.</w:t>
      </w:r>
      <w:r w:rsidRPr="00944671">
        <w:tab/>
        <w:t xml:space="preserve">Carriage of pressure receptacles approved by the Department of Transportation of the United States of America </w:t>
      </w:r>
    </w:p>
    <w:p w14:paraId="69AF1273" w14:textId="77777777" w:rsidR="0095609A" w:rsidRPr="00944671" w:rsidRDefault="0095609A" w:rsidP="0095609A">
      <w:pPr>
        <w:pStyle w:val="SingleTxtG"/>
        <w:ind w:left="3289" w:hanging="2155"/>
      </w:pPr>
      <w:r w:rsidRPr="00944671">
        <w:rPr>
          <w:i/>
          <w:iCs/>
        </w:rPr>
        <w:t>Document:</w:t>
      </w:r>
      <w:r w:rsidRPr="00944671">
        <w:t xml:space="preserve"> </w:t>
      </w:r>
      <w:r w:rsidRPr="00944671">
        <w:tab/>
        <w:t>ECE/TRANS/WP.15/AC.1/2019/37 (EIGA)</w:t>
      </w:r>
    </w:p>
    <w:p w14:paraId="7C63A682" w14:textId="77777777" w:rsidR="0095609A" w:rsidRPr="00944671" w:rsidRDefault="0095609A" w:rsidP="0095609A">
      <w:pPr>
        <w:pStyle w:val="SingleTxtG"/>
        <w:ind w:left="3289" w:hanging="2155"/>
      </w:pPr>
      <w:r w:rsidRPr="00944671">
        <w:rPr>
          <w:i/>
          <w:iCs/>
        </w:rPr>
        <w:t>Informal documents:</w:t>
      </w:r>
      <w:r w:rsidRPr="00944671">
        <w:t xml:space="preserve"> </w:t>
      </w:r>
      <w:r w:rsidRPr="00944671">
        <w:tab/>
        <w:t>INF.35, 42 and 44 (EIGA)</w:t>
      </w:r>
    </w:p>
    <w:p w14:paraId="15F7B62D" w14:textId="35B443CE" w:rsidR="0095609A" w:rsidRPr="00944671" w:rsidRDefault="00922FAD" w:rsidP="0095609A">
      <w:pPr>
        <w:pStyle w:val="SingleTxtG"/>
      </w:pPr>
      <w:r w:rsidRPr="00944671">
        <w:lastRenderedPageBreak/>
        <w:t>46</w:t>
      </w:r>
      <w:r w:rsidR="0095609A" w:rsidRPr="00944671">
        <w:t>.</w:t>
      </w:r>
      <w:r w:rsidR="0095609A" w:rsidRPr="00944671">
        <w:tab/>
        <w:t xml:space="preserve">The Joint Meeting welcomed the information from EIGA on the status of the proposed rulemaking procedure in the United States of America on the international carriage of pressure receptacles. The representative of the United States expected that the formal approval procedure could be concluded by mid-2020. The Joint Meeting supported in principle the proposal in ECE/TRANS/WP.15/AC.1/2019/37 as amended in informal document INF.44 </w:t>
      </w:r>
      <w:r w:rsidR="00282D4B" w:rsidRPr="00944671">
        <w:t>and</w:t>
      </w:r>
      <w:r w:rsidR="0095609A" w:rsidRPr="00944671">
        <w:t xml:space="preserve"> agreed to consider the adoption of the proposal at a further session in the light of advancement of the rule making process in the United States</w:t>
      </w:r>
      <w:r w:rsidR="00282D4B" w:rsidRPr="00944671">
        <w:t xml:space="preserve"> of America</w:t>
      </w:r>
      <w:r w:rsidR="0095609A" w:rsidRPr="00944671">
        <w:t>.</w:t>
      </w:r>
    </w:p>
    <w:p w14:paraId="1AC7E3F7" w14:textId="572E1DE1" w:rsidR="00270A3F" w:rsidRPr="00944671" w:rsidRDefault="00270A3F" w:rsidP="00270A3F">
      <w:pPr>
        <w:pStyle w:val="H1G"/>
        <w:rPr>
          <w:lang w:eastAsia="fr-FR"/>
        </w:rPr>
      </w:pPr>
      <w:r w:rsidRPr="00944671">
        <w:tab/>
        <w:t>B.</w:t>
      </w:r>
      <w:r w:rsidRPr="00944671">
        <w:tab/>
        <w:t>Informal working group on the transport of hazardous waste: meeting in Brussels (2 to 3 April 2019)</w:t>
      </w:r>
    </w:p>
    <w:p w14:paraId="01814D02" w14:textId="77777777" w:rsidR="00270A3F" w:rsidRPr="00944671" w:rsidRDefault="00270A3F" w:rsidP="00270A3F">
      <w:pPr>
        <w:pStyle w:val="SingleTxtG"/>
        <w:ind w:left="3289" w:hanging="2155"/>
      </w:pPr>
      <w:r w:rsidRPr="00944671">
        <w:rPr>
          <w:i/>
          <w:iCs/>
        </w:rPr>
        <w:t>Document:</w:t>
      </w:r>
      <w:r w:rsidRPr="00944671">
        <w:t xml:space="preserve"> </w:t>
      </w:r>
      <w:r w:rsidRPr="00944671">
        <w:tab/>
        <w:t>ECE/TRANS/WP.15/AC.1/2019/34 (FEAD)</w:t>
      </w:r>
    </w:p>
    <w:p w14:paraId="5873E3C6" w14:textId="14A6CDBA" w:rsidR="00270A3F" w:rsidRPr="00944671" w:rsidRDefault="00922FAD" w:rsidP="00270A3F">
      <w:pPr>
        <w:pStyle w:val="SingleTxtG"/>
      </w:pPr>
      <w:bookmarkStart w:id="4" w:name="_Hlk21112712"/>
      <w:r w:rsidRPr="00944671">
        <w:t>47</w:t>
      </w:r>
      <w:r w:rsidR="00270A3F" w:rsidRPr="00944671">
        <w:t>.</w:t>
      </w:r>
      <w:r w:rsidR="00270A3F" w:rsidRPr="00944671">
        <w:tab/>
        <w:t xml:space="preserve">The Joint Meeting noted the information and </w:t>
      </w:r>
      <w:r w:rsidR="00681888" w:rsidRPr="00944671">
        <w:t xml:space="preserve">adopted </w:t>
      </w:r>
      <w:r w:rsidR="00270A3F" w:rsidRPr="00944671">
        <w:t xml:space="preserve">the list of issues to be considered by the group in future as reflected in the annex to ECE/TRANS/WP.15/AC.1/2019/34. </w:t>
      </w:r>
      <w:r w:rsidR="00681888" w:rsidRPr="00944671">
        <w:t>The representative of FEAD pointed out that detailed information about the discussion of the informal working group was available on the FEAD website</w:t>
      </w:r>
      <w:r w:rsidR="00893480" w:rsidRPr="00944671">
        <w:rPr>
          <w:rStyle w:val="FootnoteReference"/>
        </w:rPr>
        <w:footnoteReference w:id="4"/>
      </w:r>
      <w:r w:rsidR="00681888" w:rsidRPr="00944671">
        <w:t xml:space="preserve">. </w:t>
      </w:r>
      <w:r w:rsidR="00270A3F" w:rsidRPr="00944671">
        <w:t xml:space="preserve">The Joint Meeting recommended </w:t>
      </w:r>
      <w:r w:rsidR="00D5649B" w:rsidRPr="00944671">
        <w:t xml:space="preserve">that </w:t>
      </w:r>
      <w:r w:rsidR="00270A3F" w:rsidRPr="00944671">
        <w:t xml:space="preserve">the carriage of </w:t>
      </w:r>
      <w:r w:rsidR="00681888" w:rsidRPr="00944671">
        <w:t xml:space="preserve">used </w:t>
      </w:r>
      <w:r w:rsidR="00270A3F" w:rsidRPr="00944671">
        <w:t>pressure receptacles such as aerosols and gas cartridges</w:t>
      </w:r>
      <w:r w:rsidR="00681888" w:rsidRPr="00944671">
        <w:t xml:space="preserve"> in bulk</w:t>
      </w:r>
      <w:r w:rsidR="00D5649B" w:rsidRPr="00944671">
        <w:t xml:space="preserve"> be added to the list</w:t>
      </w:r>
      <w:r w:rsidR="00270A3F" w:rsidRPr="00944671">
        <w:t xml:space="preserve">. It was agreed that the informal working group should </w:t>
      </w:r>
      <w:r w:rsidR="00D5649B" w:rsidRPr="00944671">
        <w:t>follow</w:t>
      </w:r>
      <w:r w:rsidR="00270A3F" w:rsidRPr="00944671">
        <w:t xml:space="preserve"> a pragmatic approach and consider first issues of high importance</w:t>
      </w:r>
      <w:r w:rsidR="0014447C" w:rsidRPr="00944671">
        <w:t xml:space="preserve"> </w:t>
      </w:r>
      <w:r w:rsidR="00270A3F" w:rsidRPr="00944671">
        <w:t xml:space="preserve">which could result in potential amendments for the 2023 </w:t>
      </w:r>
      <w:r w:rsidR="00D5649B" w:rsidRPr="00944671">
        <w:t>editions</w:t>
      </w:r>
      <w:r w:rsidR="00270A3F" w:rsidRPr="00944671">
        <w:t xml:space="preserve"> of RID/ADR/</w:t>
      </w:r>
      <w:r w:rsidR="0049118F">
        <w:t>A</w:t>
      </w:r>
      <w:r w:rsidR="009A015E">
        <w:t>D</w:t>
      </w:r>
      <w:r w:rsidR="0049118F">
        <w:t>N,</w:t>
      </w:r>
      <w:r w:rsidR="0049118F" w:rsidRPr="0049118F">
        <w:t xml:space="preserve"> </w:t>
      </w:r>
      <w:r w:rsidR="0049118F" w:rsidRPr="00944671">
        <w:t>but also issues that could easily be resolved</w:t>
      </w:r>
      <w:r w:rsidR="00270A3F" w:rsidRPr="00944671">
        <w:t>. The representative of FEAD announced his intention to organize a meeting of the informal working group. He invited all delegations to consider their possible voluntary commitment for the secretariat servicing of the group</w:t>
      </w:r>
      <w:r w:rsidR="0014447C" w:rsidRPr="00944671">
        <w:t xml:space="preserve"> or hosting of its meetings</w:t>
      </w:r>
      <w:r w:rsidR="00270A3F" w:rsidRPr="00944671">
        <w:t>.</w:t>
      </w:r>
      <w:r w:rsidR="00C3466D" w:rsidRPr="00944671">
        <w:t xml:space="preserve"> </w:t>
      </w:r>
    </w:p>
    <w:bookmarkEnd w:id="4"/>
    <w:p w14:paraId="70F5F68C" w14:textId="63302F96" w:rsidR="00270A3F" w:rsidRPr="00944671" w:rsidRDefault="00270A3F" w:rsidP="00270A3F">
      <w:pPr>
        <w:pStyle w:val="H1G"/>
      </w:pPr>
      <w:r w:rsidRPr="00944671">
        <w:tab/>
        <w:t>C.</w:t>
      </w:r>
      <w:r w:rsidRPr="00944671">
        <w:tab/>
        <w:t xml:space="preserve">Informal working group on telematics: Guidelines for the use of </w:t>
      </w:r>
      <w:r w:rsidR="00C3466D" w:rsidRPr="00944671">
        <w:t xml:space="preserve">5.4.0.2 in </w:t>
      </w:r>
      <w:r w:rsidRPr="00944671">
        <w:t xml:space="preserve">RID/ADR/ADN </w:t>
      </w:r>
    </w:p>
    <w:p w14:paraId="27005970" w14:textId="77777777" w:rsidR="00270A3F" w:rsidRPr="00944671" w:rsidRDefault="00270A3F" w:rsidP="00270A3F">
      <w:pPr>
        <w:pStyle w:val="SingleTxtG"/>
        <w:ind w:left="3289" w:hanging="2155"/>
      </w:pPr>
      <w:r w:rsidRPr="00944671">
        <w:rPr>
          <w:i/>
          <w:iCs/>
        </w:rPr>
        <w:t>Document:</w:t>
      </w:r>
      <w:r w:rsidRPr="00944671">
        <w:t xml:space="preserve"> </w:t>
      </w:r>
      <w:r w:rsidRPr="00944671">
        <w:tab/>
        <w:t>ECE/TRANS/WP.15/AC.1/2019/44 (Informal working group on telematics)</w:t>
      </w:r>
    </w:p>
    <w:p w14:paraId="5373EBD6" w14:textId="77777777" w:rsidR="00270A3F" w:rsidRPr="00944671" w:rsidRDefault="00270A3F" w:rsidP="00270A3F">
      <w:pPr>
        <w:pStyle w:val="SingleTxtG"/>
        <w:ind w:left="3289" w:hanging="2155"/>
      </w:pPr>
      <w:r w:rsidRPr="00944671">
        <w:rPr>
          <w:i/>
          <w:iCs/>
        </w:rPr>
        <w:t>Informal documents:</w:t>
      </w:r>
      <w:r w:rsidRPr="00944671">
        <w:tab/>
        <w:t>INF.7 (Germany) and INF.46 (Luxembourg)</w:t>
      </w:r>
    </w:p>
    <w:p w14:paraId="212B5BE4" w14:textId="264E91BF" w:rsidR="00270A3F" w:rsidRPr="00944671" w:rsidRDefault="00922FAD" w:rsidP="00270A3F">
      <w:pPr>
        <w:pStyle w:val="SingleTxtG"/>
      </w:pPr>
      <w:r w:rsidRPr="00944671">
        <w:t>48</w:t>
      </w:r>
      <w:r w:rsidR="00270A3F" w:rsidRPr="00944671">
        <w:t>.</w:t>
      </w:r>
      <w:r w:rsidR="00270A3F" w:rsidRPr="00944671">
        <w:tab/>
        <w:t xml:space="preserve">The Joint Meeting welcomed the work progress of the informal working group on telematics and agreed on the proposed guidelines for the use of </w:t>
      </w:r>
      <w:r w:rsidR="00D5649B" w:rsidRPr="00944671">
        <w:t xml:space="preserve">paragraph </w:t>
      </w:r>
      <w:r w:rsidR="00270A3F" w:rsidRPr="00944671">
        <w:t xml:space="preserve">5.4.0.2 </w:t>
      </w:r>
      <w:r w:rsidR="00D5649B" w:rsidRPr="00944671">
        <w:t xml:space="preserve">of RID/ADR/ADN </w:t>
      </w:r>
      <w:r w:rsidR="00270A3F" w:rsidRPr="00944671">
        <w:t>in ECE/TRANS/WP.15/AC.1/2019/44. It was recommended to replace the pictogram in annex B by the pictogram adopted during the session (see annex</w:t>
      </w:r>
      <w:r w:rsidR="00D5649B" w:rsidRPr="00944671">
        <w:t xml:space="preserve"> III</w:t>
      </w:r>
      <w:r w:rsidR="00270A3F" w:rsidRPr="00944671">
        <w:t xml:space="preserve">). The Joint Meeting agreed to transmit the guidelines to WP.15 and the RID Committee of experts for information at their </w:t>
      </w:r>
      <w:r w:rsidR="00444628" w:rsidRPr="00944671">
        <w:t>next</w:t>
      </w:r>
      <w:r w:rsidR="00270A3F" w:rsidRPr="00944671">
        <w:t xml:space="preserve"> sessions.</w:t>
      </w:r>
    </w:p>
    <w:p w14:paraId="177109EE" w14:textId="366ECF39" w:rsidR="00270A3F" w:rsidRPr="00944671" w:rsidRDefault="00922FAD" w:rsidP="00270A3F">
      <w:pPr>
        <w:pStyle w:val="SingleTxtG"/>
      </w:pPr>
      <w:r w:rsidRPr="00944671">
        <w:t>49</w:t>
      </w:r>
      <w:r w:rsidR="00270A3F" w:rsidRPr="00944671">
        <w:t>.</w:t>
      </w:r>
      <w:r w:rsidR="00270A3F" w:rsidRPr="00944671">
        <w:tab/>
        <w:t xml:space="preserve">The Joint Meeting also agreed that the guidelines could be applied </w:t>
      </w:r>
      <w:r w:rsidR="005974C7" w:rsidRPr="00944671">
        <w:t xml:space="preserve">on a voluntary basis and </w:t>
      </w:r>
      <w:r w:rsidR="00270A3F" w:rsidRPr="00944671">
        <w:t>for each transport mode separately</w:t>
      </w:r>
      <w:r w:rsidR="005974C7" w:rsidRPr="00944671">
        <w:t>.</w:t>
      </w:r>
      <w:r w:rsidR="00270A3F" w:rsidRPr="00944671">
        <w:t xml:space="preserve"> </w:t>
      </w:r>
      <w:r w:rsidR="005974C7" w:rsidRPr="00944671">
        <w:t>H</w:t>
      </w:r>
      <w:r w:rsidR="00270A3F" w:rsidRPr="00944671">
        <w:t xml:space="preserve">owever, when </w:t>
      </w:r>
      <w:r w:rsidR="005974C7" w:rsidRPr="00944671">
        <w:t>used</w:t>
      </w:r>
      <w:r w:rsidR="0049118F">
        <w:t>,</w:t>
      </w:r>
      <w:r w:rsidR="005974C7" w:rsidRPr="00944671">
        <w:t xml:space="preserve"> they </w:t>
      </w:r>
      <w:r w:rsidR="00B04A2D">
        <w:t>must</w:t>
      </w:r>
      <w:r w:rsidR="005974C7" w:rsidRPr="00944671">
        <w:t xml:space="preserve"> be </w:t>
      </w:r>
      <w:r w:rsidR="00270A3F" w:rsidRPr="00944671">
        <w:t xml:space="preserve">applied consistently. </w:t>
      </w:r>
      <w:r w:rsidR="00D5649B" w:rsidRPr="00944671">
        <w:t>T</w:t>
      </w:r>
      <w:r w:rsidR="00CB5830" w:rsidRPr="00944671">
        <w:t>he Joint Meeting invited</w:t>
      </w:r>
      <w:r w:rsidR="00270A3F" w:rsidRPr="00944671">
        <w:t xml:space="preserve"> WP.15 and the RID Committee of </w:t>
      </w:r>
      <w:r w:rsidR="00B04A2D">
        <w:t>E</w:t>
      </w:r>
      <w:r w:rsidR="00270A3F" w:rsidRPr="00944671">
        <w:t>xperts</w:t>
      </w:r>
      <w:r w:rsidR="00CB5830" w:rsidRPr="00944671">
        <w:t xml:space="preserve"> to approve the publication of the guidelines on the OTIF and ECE websites</w:t>
      </w:r>
      <w:r w:rsidR="00270A3F" w:rsidRPr="00944671">
        <w:t>.</w:t>
      </w:r>
    </w:p>
    <w:p w14:paraId="6696A99A" w14:textId="364E4ABA" w:rsidR="00270A3F" w:rsidRPr="00944671" w:rsidRDefault="00270A3F" w:rsidP="00270A3F">
      <w:pPr>
        <w:pStyle w:val="SingleTxtG"/>
      </w:pPr>
      <w:r w:rsidRPr="00944671">
        <w:t>5</w:t>
      </w:r>
      <w:r w:rsidR="00922FAD" w:rsidRPr="00944671">
        <w:t>0</w:t>
      </w:r>
      <w:r w:rsidRPr="00944671">
        <w:t>.</w:t>
      </w:r>
      <w:r w:rsidRPr="00944671">
        <w:tab/>
        <w:t xml:space="preserve">The Chair announced </w:t>
      </w:r>
      <w:r w:rsidR="00CB5830" w:rsidRPr="00944671">
        <w:t>a</w:t>
      </w:r>
      <w:r w:rsidRPr="00944671">
        <w:t xml:space="preserve"> meet</w:t>
      </w:r>
      <w:r w:rsidR="00CB5830" w:rsidRPr="00944671">
        <w:t>ing</w:t>
      </w:r>
      <w:r w:rsidRPr="00944671">
        <w:t xml:space="preserve"> in Aix-en-Provence (France) from 15 to 17 January 2020 to further clarify technical issues on the implementation of the guidelines. The T</w:t>
      </w:r>
      <w:r w:rsidR="00E64EDE" w:rsidRPr="00944671">
        <w:t>rusted</w:t>
      </w:r>
      <w:r w:rsidRPr="00944671">
        <w:t xml:space="preserve"> Parties TP1 as well as the competent authorities were invited to attend the meeting and participants were invited to notify practical issues in advanced of the meeting.</w:t>
      </w:r>
    </w:p>
    <w:p w14:paraId="029B8FCF" w14:textId="7F2A8EF1" w:rsidR="00CB5830" w:rsidRPr="00944671" w:rsidRDefault="00922FAD" w:rsidP="00270A3F">
      <w:pPr>
        <w:pStyle w:val="SingleTxtG"/>
      </w:pPr>
      <w:r w:rsidRPr="00944671">
        <w:t>51</w:t>
      </w:r>
      <w:r w:rsidR="00CB5830" w:rsidRPr="00944671">
        <w:t>.</w:t>
      </w:r>
      <w:r w:rsidR="00CB5830" w:rsidRPr="00944671">
        <w:tab/>
        <w:t>Some delegations indicated that they still need to verify issues related to data security before committing themselves to use the guidelines.</w:t>
      </w:r>
    </w:p>
    <w:p w14:paraId="3CF5775A" w14:textId="77777777" w:rsidR="00270A3F" w:rsidRPr="00944671" w:rsidRDefault="00270A3F" w:rsidP="00270A3F">
      <w:pPr>
        <w:pStyle w:val="H1G"/>
      </w:pPr>
      <w:r w:rsidRPr="00944671">
        <w:lastRenderedPageBreak/>
        <w:tab/>
        <w:t>D.</w:t>
      </w:r>
      <w:r w:rsidRPr="00944671">
        <w:tab/>
        <w:t>Report on the discussion on the use of the terms risk and hazard at the fifty-fifth session of the Sub-Committee on Experts on the Transport of Dangerous Goods</w:t>
      </w:r>
    </w:p>
    <w:p w14:paraId="2FF07B95" w14:textId="77777777" w:rsidR="00270A3F" w:rsidRPr="00944671" w:rsidRDefault="00270A3F" w:rsidP="00270A3F">
      <w:pPr>
        <w:pStyle w:val="SingleTxtG"/>
        <w:ind w:left="3289" w:hanging="2155"/>
      </w:pPr>
      <w:r w:rsidRPr="00944671">
        <w:rPr>
          <w:i/>
          <w:iCs/>
        </w:rPr>
        <w:t>Informal document:</w:t>
      </w:r>
      <w:r w:rsidRPr="00944671">
        <w:tab/>
        <w:t>INF.22 (Romania)</w:t>
      </w:r>
    </w:p>
    <w:p w14:paraId="155CA4AB" w14:textId="083FF563" w:rsidR="005F0835" w:rsidRPr="00944671" w:rsidRDefault="00270A3F" w:rsidP="007D09A6">
      <w:pPr>
        <w:pStyle w:val="SingleTxtG"/>
      </w:pPr>
      <w:r w:rsidRPr="00944671">
        <w:t>5</w:t>
      </w:r>
      <w:r w:rsidR="00922FAD" w:rsidRPr="00944671">
        <w:t>2</w:t>
      </w:r>
      <w:r w:rsidRPr="00944671">
        <w:t>.</w:t>
      </w:r>
      <w:r w:rsidRPr="00944671">
        <w:tab/>
        <w:t xml:space="preserve">The Joint Meeting welcomed the report in informal document INF.22 and noted a number of comments. On the proposal concerning the term “high consequence dangerous goods”, most </w:t>
      </w:r>
      <w:r w:rsidR="00D5649B" w:rsidRPr="00944671">
        <w:t xml:space="preserve">of the </w:t>
      </w:r>
      <w:r w:rsidRPr="00944671">
        <w:t>delegation</w:t>
      </w:r>
      <w:r w:rsidR="00D5649B" w:rsidRPr="00944671">
        <w:t>s</w:t>
      </w:r>
      <w:r w:rsidRPr="00944671">
        <w:t xml:space="preserve"> who spoke considered that the English version should remain unamended. For the French translation of this term different options were discussed. </w:t>
      </w:r>
      <w:r w:rsidR="00CB5830" w:rsidRPr="00944671">
        <w:t xml:space="preserve">Some delegations were of the opinion that no change at all was necessary since these terms had specific definitions in this context. </w:t>
      </w:r>
      <w:r w:rsidRPr="00944671">
        <w:t xml:space="preserve">The representative of Romania offered to take these comments into account in a proposal for consideration by the TDG Sub-Committee. </w:t>
      </w:r>
      <w:r w:rsidR="00CB5830" w:rsidRPr="00944671">
        <w:t>The Joint Meeting noted that the next meeting of the informal working group was scheduled to be held in The Hague (Netherlands) from 10</w:t>
      </w:r>
      <w:r w:rsidR="00C80783" w:rsidRPr="00944671">
        <w:t xml:space="preserve"> to </w:t>
      </w:r>
      <w:r w:rsidR="00CB5830" w:rsidRPr="00944671">
        <w:t>12 February 2020.</w:t>
      </w:r>
    </w:p>
    <w:p w14:paraId="63A007A4" w14:textId="3D87047D" w:rsidR="008B2685" w:rsidRPr="00944671" w:rsidRDefault="007637A1" w:rsidP="008B2685">
      <w:pPr>
        <w:pStyle w:val="HChG"/>
        <w:ind w:right="0"/>
        <w:rPr>
          <w:lang w:eastAsia="fr-FR"/>
        </w:rPr>
      </w:pPr>
      <w:r w:rsidRPr="00944671">
        <w:tab/>
      </w:r>
      <w:r w:rsidR="008B2685" w:rsidRPr="00944671">
        <w:t>X.</w:t>
      </w:r>
      <w:r w:rsidR="008B2685" w:rsidRPr="00944671">
        <w:tab/>
        <w:t>Accidents and risk management (agenda item 8)</w:t>
      </w:r>
    </w:p>
    <w:p w14:paraId="0D521318" w14:textId="77777777" w:rsidR="008B2685" w:rsidRPr="00944671" w:rsidRDefault="008B2685" w:rsidP="008B2685">
      <w:pPr>
        <w:pStyle w:val="H1G"/>
      </w:pPr>
      <w:bookmarkStart w:id="5" w:name="_Hlk19796215"/>
      <w:r w:rsidRPr="00944671">
        <w:tab/>
        <w:t>A.</w:t>
      </w:r>
      <w:r w:rsidRPr="00944671">
        <w:tab/>
        <w:t>Risk management framework for inland transport of dangerous goods</w:t>
      </w:r>
    </w:p>
    <w:p w14:paraId="20B34481" w14:textId="6DD242E1" w:rsidR="008B2685" w:rsidRPr="00944671" w:rsidRDefault="008B2685" w:rsidP="008B2685">
      <w:pPr>
        <w:pStyle w:val="H23G"/>
      </w:pPr>
      <w:r w:rsidRPr="00944671">
        <w:tab/>
        <w:t>1.</w:t>
      </w:r>
      <w:r w:rsidRPr="00944671">
        <w:tab/>
        <w:t>Publication of the inland TDG Risk Management</w:t>
      </w:r>
      <w:r w:rsidR="00B57AA7" w:rsidRPr="00944671">
        <w:t xml:space="preserve"> Framework</w:t>
      </w:r>
    </w:p>
    <w:p w14:paraId="1857D8F7" w14:textId="77777777" w:rsidR="008B2685" w:rsidRPr="00944671" w:rsidRDefault="008B2685" w:rsidP="008B2685">
      <w:pPr>
        <w:pStyle w:val="SingleTxtG"/>
        <w:ind w:left="3289" w:hanging="2155"/>
      </w:pPr>
      <w:r w:rsidRPr="00944671">
        <w:rPr>
          <w:i/>
        </w:rPr>
        <w:t>Informal document</w:t>
      </w:r>
      <w:r w:rsidRPr="00944671">
        <w:t>:</w:t>
      </w:r>
      <w:r w:rsidRPr="00944671">
        <w:tab/>
        <w:t>INF.5 (ERA)</w:t>
      </w:r>
    </w:p>
    <w:p w14:paraId="7D2B35DF" w14:textId="30390944" w:rsidR="008B2685" w:rsidRPr="00944671" w:rsidRDefault="00922FAD" w:rsidP="008B2685">
      <w:pPr>
        <w:pStyle w:val="SingleTxtG"/>
      </w:pPr>
      <w:r w:rsidRPr="00944671">
        <w:t>53</w:t>
      </w:r>
      <w:r w:rsidR="008B2685" w:rsidRPr="00944671">
        <w:t>.</w:t>
      </w:r>
      <w:r w:rsidR="008B2685" w:rsidRPr="00944671">
        <w:tab/>
        <w:t xml:space="preserve">The Joint Meeting welcomed the information on the publication of the guides forming </w:t>
      </w:r>
      <w:r w:rsidR="00C80783" w:rsidRPr="00944671">
        <w:t xml:space="preserve">the </w:t>
      </w:r>
      <w:r w:rsidR="008B2685" w:rsidRPr="00944671">
        <w:t xml:space="preserve">inland TDG </w:t>
      </w:r>
      <w:r w:rsidR="00C80783" w:rsidRPr="00944671">
        <w:t>R</w:t>
      </w:r>
      <w:r w:rsidR="008B2685" w:rsidRPr="00944671">
        <w:t xml:space="preserve">isk </w:t>
      </w:r>
      <w:r w:rsidR="00C80783" w:rsidRPr="00944671">
        <w:t>M</w:t>
      </w:r>
      <w:r w:rsidR="008B2685" w:rsidRPr="00944671">
        <w:t xml:space="preserve">anagement </w:t>
      </w:r>
      <w:r w:rsidR="00C80783" w:rsidRPr="00944671">
        <w:t>F</w:t>
      </w:r>
      <w:r w:rsidR="008B2685" w:rsidRPr="00944671">
        <w:t>ramework on the websites of ERA and the European Commission DG Move.</w:t>
      </w:r>
      <w:r w:rsidR="008B2685" w:rsidRPr="00944671">
        <w:rPr>
          <w:rStyle w:val="FootnoteReference"/>
        </w:rPr>
        <w:footnoteReference w:id="5"/>
      </w:r>
    </w:p>
    <w:p w14:paraId="7DBEAA6A" w14:textId="77777777" w:rsidR="008B2685" w:rsidRPr="00944671" w:rsidRDefault="008B2685" w:rsidP="008B2685">
      <w:pPr>
        <w:pStyle w:val="H23G"/>
      </w:pPr>
      <w:r w:rsidRPr="00944671">
        <w:tab/>
        <w:t>2.</w:t>
      </w:r>
      <w:r w:rsidRPr="00944671">
        <w:tab/>
        <w:t>Report from the "Expert Users and Development Group (EUDG)" concerning the use of risk acceptance criteria with the inland TDG Risk Management Framework</w:t>
      </w:r>
    </w:p>
    <w:p w14:paraId="169C8ED5" w14:textId="77777777" w:rsidR="008B2685" w:rsidRPr="00944671" w:rsidRDefault="008B2685" w:rsidP="008B2685">
      <w:pPr>
        <w:pStyle w:val="SingleTxtG"/>
        <w:ind w:left="3289" w:hanging="2155"/>
      </w:pPr>
      <w:r w:rsidRPr="00944671">
        <w:rPr>
          <w:i/>
        </w:rPr>
        <w:t>Informal document</w:t>
      </w:r>
      <w:r w:rsidRPr="00944671">
        <w:t>:</w:t>
      </w:r>
      <w:r w:rsidRPr="00944671">
        <w:tab/>
        <w:t>INF.6 (ERA)</w:t>
      </w:r>
    </w:p>
    <w:p w14:paraId="0F2051A1" w14:textId="19721E37" w:rsidR="008B2685" w:rsidRPr="00944671" w:rsidRDefault="00922FAD" w:rsidP="008B2685">
      <w:pPr>
        <w:pStyle w:val="SingleTxtG"/>
      </w:pPr>
      <w:r w:rsidRPr="00944671">
        <w:t>54</w:t>
      </w:r>
      <w:r w:rsidR="008B2685" w:rsidRPr="00944671">
        <w:t>.</w:t>
      </w:r>
      <w:r w:rsidR="008B2685" w:rsidRPr="00944671">
        <w:tab/>
        <w:t xml:space="preserve">The Joint Meeting noted the report of the EUDG including the conclusions on the use of risk acceptance criteria within the Risk Management Framework. The representative of ERA confirmed that the application of the </w:t>
      </w:r>
      <w:r w:rsidR="00C80783" w:rsidRPr="00944671">
        <w:t xml:space="preserve">Risk Management Framework </w:t>
      </w:r>
      <w:r w:rsidR="008B2685" w:rsidRPr="00944671">
        <w:t>is voluntary</w:t>
      </w:r>
      <w:r w:rsidR="00C80783" w:rsidRPr="00944671">
        <w:t xml:space="preserve">, </w:t>
      </w:r>
      <w:r w:rsidR="008B2685" w:rsidRPr="00944671">
        <w:t xml:space="preserve">that the </w:t>
      </w:r>
      <w:r w:rsidR="00C80783" w:rsidRPr="00944671">
        <w:t xml:space="preserve">it </w:t>
      </w:r>
      <w:r w:rsidR="008B2685" w:rsidRPr="00944671">
        <w:t>was universal and could be appl</w:t>
      </w:r>
      <w:r w:rsidR="00C80783" w:rsidRPr="00944671">
        <w:t>ied</w:t>
      </w:r>
      <w:r w:rsidR="008B2685" w:rsidRPr="00944671">
        <w:t xml:space="preserve"> from local to general cases as well as to all modes of </w:t>
      </w:r>
      <w:r w:rsidR="001C4D8B" w:rsidRPr="00944671">
        <w:t xml:space="preserve">inland </w:t>
      </w:r>
      <w:r w:rsidR="008B2685" w:rsidRPr="00944671">
        <w:t>transport. He announced that the development of a further risk management platform was attempted in a collaborative mode. The Joint Meeting welcomed this initiative.</w:t>
      </w:r>
    </w:p>
    <w:p w14:paraId="65E85591" w14:textId="77777777" w:rsidR="008B2685" w:rsidRPr="00944671" w:rsidRDefault="008B2685" w:rsidP="008B2685">
      <w:pPr>
        <w:pStyle w:val="H1G"/>
      </w:pPr>
      <w:r w:rsidRPr="00944671">
        <w:tab/>
        <w:t>B.</w:t>
      </w:r>
      <w:r w:rsidRPr="00944671">
        <w:tab/>
        <w:t>Report of the informal working group on the improvement of the accident report</w:t>
      </w:r>
    </w:p>
    <w:p w14:paraId="1D2791D7" w14:textId="77777777" w:rsidR="008B2685" w:rsidRPr="00944671" w:rsidRDefault="008B2685" w:rsidP="008B2685">
      <w:pPr>
        <w:pStyle w:val="SingleTxtG"/>
        <w:spacing w:after="0"/>
        <w:ind w:left="3289" w:hanging="2155"/>
      </w:pPr>
      <w:r w:rsidRPr="00944671">
        <w:rPr>
          <w:i/>
        </w:rPr>
        <w:t>Informal documents:</w:t>
      </w:r>
      <w:r w:rsidRPr="00944671">
        <w:tab/>
      </w:r>
      <w:bookmarkStart w:id="6" w:name="_Hlk20245721"/>
      <w:r w:rsidRPr="00944671">
        <w:t>INF.11 and annexes 1 to 5 (France)</w:t>
      </w:r>
      <w:bookmarkEnd w:id="6"/>
    </w:p>
    <w:p w14:paraId="1212A9BE" w14:textId="77777777" w:rsidR="008B2685" w:rsidRPr="00944671" w:rsidRDefault="008B2685" w:rsidP="008B2685">
      <w:pPr>
        <w:pStyle w:val="SingleTxtG"/>
        <w:ind w:left="3289" w:hanging="2155"/>
      </w:pPr>
      <w:r w:rsidRPr="00944671">
        <w:tab/>
        <w:t>INF.34 (France)</w:t>
      </w:r>
    </w:p>
    <w:p w14:paraId="7106A02F" w14:textId="6E091D6A" w:rsidR="008B2685" w:rsidRPr="00944671" w:rsidRDefault="00922FAD" w:rsidP="008B2685">
      <w:pPr>
        <w:pStyle w:val="SingleTxtG"/>
      </w:pPr>
      <w:r w:rsidRPr="00944671">
        <w:t>55</w:t>
      </w:r>
      <w:r w:rsidR="008B2685" w:rsidRPr="00944671">
        <w:t>.</w:t>
      </w:r>
      <w:r w:rsidR="008B2685" w:rsidRPr="00944671">
        <w:tab/>
        <w:t xml:space="preserve">The Joint Meeting welcomed the report of the informal working group on the improvement of the accident report in informal document INF.11 including specimen of draft reports for RID and ADR as reflected in informal document INF.34. It was noted that some </w:t>
      </w:r>
      <w:r w:rsidR="008B2685" w:rsidRPr="00944671">
        <w:lastRenderedPageBreak/>
        <w:t>items were still missing and needed to be addressed such as the legal framework for the collection, costs and use of the accident/incident data, the responsibilities of the stakeholders involved as well as an analysis on the national implementation by the contracting parties.</w:t>
      </w:r>
    </w:p>
    <w:p w14:paraId="263C13D3" w14:textId="28D3CC29" w:rsidR="008B2685" w:rsidRPr="00944671" w:rsidRDefault="008B2685" w:rsidP="008B2685">
      <w:pPr>
        <w:pStyle w:val="SingleTxtG"/>
      </w:pPr>
      <w:r w:rsidRPr="00944671">
        <w:t>5</w:t>
      </w:r>
      <w:r w:rsidR="00922FAD" w:rsidRPr="00944671">
        <w:t>6</w:t>
      </w:r>
      <w:r w:rsidRPr="00944671">
        <w:t>.</w:t>
      </w:r>
      <w:r w:rsidRPr="00944671">
        <w:tab/>
        <w:t xml:space="preserve">The Joint Meeting noted the group's intention to resume its work on a specimen of draft reports for ADN at a meeting in Brussels on 3 October 2019 and a further meeting on 17 December 2019 on </w:t>
      </w:r>
      <w:r w:rsidR="001C4D8B" w:rsidRPr="00944671">
        <w:t>the current development of common safety methods</w:t>
      </w:r>
      <w:r w:rsidRPr="00944671">
        <w:t xml:space="preserve">. The representative of UIC offered to </w:t>
      </w:r>
      <w:r w:rsidR="001C4D8B" w:rsidRPr="00944671">
        <w:t xml:space="preserve">host </w:t>
      </w:r>
      <w:r w:rsidRPr="00944671">
        <w:t>a further meeting</w:t>
      </w:r>
      <w:r w:rsidR="001C4D8B" w:rsidRPr="00944671">
        <w:t>, organized by France,</w:t>
      </w:r>
      <w:r w:rsidRPr="00944671">
        <w:t xml:space="preserve"> on 17-19 February 2020.</w:t>
      </w:r>
      <w:bookmarkEnd w:id="5"/>
    </w:p>
    <w:p w14:paraId="353852A7" w14:textId="7FC4172F" w:rsidR="00593256" w:rsidRPr="00944671" w:rsidRDefault="00593256" w:rsidP="00593256">
      <w:pPr>
        <w:pStyle w:val="HChG"/>
        <w:keepNext w:val="0"/>
        <w:keepLines w:val="0"/>
        <w:rPr>
          <w:lang w:val="fr-CH" w:eastAsia="fr-FR"/>
        </w:rPr>
      </w:pPr>
      <w:r w:rsidRPr="00944671">
        <w:rPr>
          <w:lang w:val="fr-CH"/>
        </w:rPr>
        <w:tab/>
        <w:t>X</w:t>
      </w:r>
      <w:r w:rsidR="00317101" w:rsidRPr="00944671">
        <w:rPr>
          <w:lang w:val="fr-CH"/>
        </w:rPr>
        <w:t>I</w:t>
      </w:r>
      <w:r w:rsidRPr="00944671">
        <w:t>.</w:t>
      </w:r>
      <w:r w:rsidRPr="00944671">
        <w:tab/>
        <w:t>Election of officers for 2020</w:t>
      </w:r>
      <w:r w:rsidRPr="00944671">
        <w:rPr>
          <w:lang w:val="fr-CH"/>
        </w:rPr>
        <w:t xml:space="preserve"> (agenda item 9)</w:t>
      </w:r>
    </w:p>
    <w:p w14:paraId="4CC78E69" w14:textId="77777777" w:rsidR="00593256" w:rsidRPr="00944671" w:rsidRDefault="00593256" w:rsidP="00593256">
      <w:pPr>
        <w:pStyle w:val="SingleTxtG"/>
      </w:pPr>
      <w:r w:rsidRPr="00944671">
        <w:t>57.</w:t>
      </w:r>
      <w:r w:rsidRPr="00944671">
        <w:tab/>
        <w:t>On a proposal by the representative of Romania, Mr. C. Pfauvadel (France) and Ms. S. García Wolfrum (Spain) were re-elected as Chair and Vice-Chair respectively for 2020.</w:t>
      </w:r>
    </w:p>
    <w:p w14:paraId="1EAF1F66" w14:textId="20BA55DF" w:rsidR="00593256" w:rsidRPr="00944671" w:rsidRDefault="00593256" w:rsidP="00593256">
      <w:pPr>
        <w:pStyle w:val="HChG"/>
        <w:keepNext w:val="0"/>
        <w:keepLines w:val="0"/>
        <w:rPr>
          <w:lang w:val="fr-CH"/>
        </w:rPr>
      </w:pPr>
      <w:r w:rsidRPr="00944671">
        <w:tab/>
      </w:r>
      <w:r w:rsidRPr="00944671">
        <w:rPr>
          <w:lang w:val="fr-CH"/>
        </w:rPr>
        <w:t>X</w:t>
      </w:r>
      <w:r w:rsidR="00317101" w:rsidRPr="00944671">
        <w:rPr>
          <w:lang w:val="fr-CH"/>
        </w:rPr>
        <w:t>I</w:t>
      </w:r>
      <w:r w:rsidRPr="00944671">
        <w:rPr>
          <w:lang w:val="fr-CH"/>
        </w:rPr>
        <w:t>I</w:t>
      </w:r>
      <w:r w:rsidRPr="00944671">
        <w:t>.</w:t>
      </w:r>
      <w:r w:rsidRPr="00944671">
        <w:tab/>
        <w:t>Future work</w:t>
      </w:r>
      <w:r w:rsidRPr="00944671">
        <w:rPr>
          <w:lang w:val="fr-CH"/>
        </w:rPr>
        <w:t xml:space="preserve"> (agenda item 10)</w:t>
      </w:r>
    </w:p>
    <w:p w14:paraId="3F5449F2" w14:textId="77777777" w:rsidR="00593256" w:rsidRPr="00944671" w:rsidRDefault="00593256" w:rsidP="00593256">
      <w:pPr>
        <w:pStyle w:val="SingleTxtG"/>
      </w:pPr>
      <w:r w:rsidRPr="00944671">
        <w:t>58.</w:t>
      </w:r>
      <w:r w:rsidRPr="00944671">
        <w:tab/>
        <w:t>The Joint Meeting was informed that the next session would be held in Bern from 16 to 20 March 2020 and that the deadline for submission of documents was 20 December 2019.</w:t>
      </w:r>
    </w:p>
    <w:p w14:paraId="1FA5A41B" w14:textId="277CFFCA" w:rsidR="00593256" w:rsidRPr="00944671" w:rsidRDefault="00593256" w:rsidP="00593256">
      <w:pPr>
        <w:pStyle w:val="HChG"/>
        <w:keepNext w:val="0"/>
        <w:keepLines w:val="0"/>
        <w:rPr>
          <w:lang w:val="fr-CH"/>
        </w:rPr>
      </w:pPr>
      <w:r w:rsidRPr="00944671">
        <w:tab/>
      </w:r>
      <w:r w:rsidRPr="00944671">
        <w:rPr>
          <w:lang w:val="fr-CH"/>
        </w:rPr>
        <w:t>XI</w:t>
      </w:r>
      <w:r w:rsidR="00317101" w:rsidRPr="00944671">
        <w:rPr>
          <w:lang w:val="fr-CH"/>
        </w:rPr>
        <w:t>I</w:t>
      </w:r>
      <w:r w:rsidRPr="00944671">
        <w:rPr>
          <w:lang w:val="fr-CH"/>
        </w:rPr>
        <w:t>I</w:t>
      </w:r>
      <w:r w:rsidRPr="00944671">
        <w:t>.</w:t>
      </w:r>
      <w:r w:rsidRPr="00944671">
        <w:tab/>
        <w:t>Any other business</w:t>
      </w:r>
      <w:r w:rsidRPr="00944671">
        <w:rPr>
          <w:lang w:val="fr-CH"/>
        </w:rPr>
        <w:t xml:space="preserve"> (agenda item 11)</w:t>
      </w:r>
    </w:p>
    <w:p w14:paraId="30955575" w14:textId="77777777" w:rsidR="00593256" w:rsidRPr="00944671" w:rsidRDefault="00593256" w:rsidP="00593256">
      <w:pPr>
        <w:pStyle w:val="SingleTxtG"/>
      </w:pPr>
      <w:r w:rsidRPr="00944671">
        <w:t>59.</w:t>
      </w:r>
      <w:r w:rsidRPr="00944671">
        <w:tab/>
        <w:t>As no document had been submitted under this agenda item, no discussion took place on this subject.</w:t>
      </w:r>
    </w:p>
    <w:p w14:paraId="6BFC4570" w14:textId="407021DB" w:rsidR="00593256" w:rsidRPr="00944671" w:rsidRDefault="00593256" w:rsidP="001C27D3">
      <w:pPr>
        <w:pStyle w:val="HChG"/>
        <w:keepNext w:val="0"/>
        <w:keepLines w:val="0"/>
        <w:rPr>
          <w:lang w:val="fr-CH"/>
        </w:rPr>
      </w:pPr>
      <w:r w:rsidRPr="00944671">
        <w:tab/>
      </w:r>
      <w:r w:rsidRPr="00944671">
        <w:rPr>
          <w:lang w:val="fr-CH"/>
        </w:rPr>
        <w:t>X</w:t>
      </w:r>
      <w:r w:rsidR="001C27D3" w:rsidRPr="00944671">
        <w:rPr>
          <w:lang w:val="fr-CH"/>
        </w:rPr>
        <w:t>I</w:t>
      </w:r>
      <w:r w:rsidR="00317101" w:rsidRPr="00944671">
        <w:rPr>
          <w:lang w:val="fr-CH"/>
        </w:rPr>
        <w:t>V</w:t>
      </w:r>
      <w:r w:rsidRPr="00944671">
        <w:t>.</w:t>
      </w:r>
      <w:r w:rsidRPr="00944671">
        <w:tab/>
        <w:t>Adoption of the report</w:t>
      </w:r>
      <w:r w:rsidRPr="00944671">
        <w:rPr>
          <w:lang w:val="fr-CH"/>
        </w:rPr>
        <w:t xml:space="preserve"> (agenda item 12)</w:t>
      </w:r>
    </w:p>
    <w:p w14:paraId="4800D505" w14:textId="77777777" w:rsidR="00593256" w:rsidRPr="00944671" w:rsidRDefault="00593256" w:rsidP="00593256">
      <w:pPr>
        <w:pStyle w:val="SingleTxtG"/>
      </w:pPr>
      <w:r w:rsidRPr="00944671">
        <w:t>60.</w:t>
      </w:r>
      <w:r w:rsidRPr="00944671">
        <w:tab/>
        <w:t>The Joint Meeting adopted the report on its autumn 2019 session and its annexes based on a draft prepared by the secretariat.</w:t>
      </w:r>
    </w:p>
    <w:p w14:paraId="6BFB8167" w14:textId="783A8A4C" w:rsidR="00A4768D" w:rsidRDefault="00A4768D">
      <w:pPr>
        <w:suppressAutoHyphens w:val="0"/>
        <w:spacing w:line="240" w:lineRule="auto"/>
        <w:rPr>
          <w:b/>
          <w:sz w:val="28"/>
          <w:lang w:val="x-none"/>
        </w:rPr>
      </w:pPr>
      <w:r>
        <w:br w:type="page"/>
      </w:r>
    </w:p>
    <w:p w14:paraId="24505CCC" w14:textId="77777777" w:rsidR="00A4768D" w:rsidRPr="00AA5051" w:rsidRDefault="00A4768D" w:rsidP="00A4768D">
      <w:pPr>
        <w:pStyle w:val="HChG"/>
      </w:pPr>
      <w:r w:rsidRPr="00AA5051">
        <w:lastRenderedPageBreak/>
        <w:tab/>
      </w:r>
      <w:r w:rsidRPr="00AA5051">
        <w:tab/>
        <w:t>Annex I</w:t>
      </w:r>
    </w:p>
    <w:p w14:paraId="3A04B961" w14:textId="77777777" w:rsidR="00A4768D" w:rsidRPr="00AA5051" w:rsidRDefault="00A4768D" w:rsidP="00A4768D">
      <w:pPr>
        <w:pStyle w:val="HChG"/>
      </w:pPr>
      <w:r w:rsidRPr="00AA5051">
        <w:tab/>
      </w:r>
      <w:r w:rsidRPr="00AA5051">
        <w:tab/>
        <w:t>Report of the Working Group on Tanks</w:t>
      </w:r>
    </w:p>
    <w:p w14:paraId="601F32B0" w14:textId="77777777" w:rsidR="00444628" w:rsidRDefault="00A4768D" w:rsidP="00A4768D">
      <w:pPr>
        <w:ind w:left="567" w:firstLine="567"/>
      </w:pPr>
      <w:r w:rsidRPr="00AA5051">
        <w:t>(see ECE/TRANS/WP.15/AC.1/15</w:t>
      </w:r>
      <w:r>
        <w:t>6</w:t>
      </w:r>
      <w:r w:rsidRPr="00AA5051">
        <w:t>/Add.1)</w:t>
      </w:r>
    </w:p>
    <w:p w14:paraId="62488BB6" w14:textId="2F3A06AF" w:rsidR="00A4768D" w:rsidRPr="00AA5051" w:rsidRDefault="00A4768D" w:rsidP="00A4768D">
      <w:pPr>
        <w:ind w:left="567" w:firstLine="567"/>
        <w:rPr>
          <w:b/>
          <w:sz w:val="28"/>
        </w:rPr>
      </w:pPr>
      <w:r w:rsidRPr="00AA5051">
        <w:br w:type="page"/>
      </w:r>
    </w:p>
    <w:p w14:paraId="1424BE47" w14:textId="08E978C6" w:rsidR="00A4768D" w:rsidRPr="001D6BCF" w:rsidRDefault="00A4768D" w:rsidP="001D6BCF">
      <w:pPr>
        <w:pStyle w:val="HChG"/>
        <w:tabs>
          <w:tab w:val="left" w:pos="4536"/>
          <w:tab w:val="right" w:pos="8505"/>
        </w:tabs>
        <w:rPr>
          <w:lang w:val="en-US"/>
        </w:rPr>
      </w:pPr>
      <w:r w:rsidRPr="00AA5051">
        <w:lastRenderedPageBreak/>
        <w:tab/>
      </w:r>
      <w:r w:rsidRPr="00AA5051">
        <w:tab/>
        <w:t>Annex II</w:t>
      </w:r>
      <w:r w:rsidR="001D6BCF">
        <w:tab/>
      </w:r>
      <w:r w:rsidR="001D6BCF">
        <w:tab/>
      </w:r>
      <w:r w:rsidR="001D6BCF">
        <w:rPr>
          <w:lang w:val="en-US"/>
        </w:rPr>
        <w:t>[Original: English and French]</w:t>
      </w:r>
    </w:p>
    <w:p w14:paraId="60A4789E" w14:textId="77777777" w:rsidR="00A4768D" w:rsidRPr="00AA5051" w:rsidRDefault="00A4768D" w:rsidP="00A4768D">
      <w:pPr>
        <w:pStyle w:val="HChG"/>
      </w:pPr>
      <w:r w:rsidRPr="00AA5051">
        <w:tab/>
      </w:r>
      <w:r w:rsidRPr="00AA5051">
        <w:tab/>
        <w:t>Draft amendments to RID, ADR and ADN for entry into force on 1 January 2021</w:t>
      </w:r>
    </w:p>
    <w:p w14:paraId="58DD8B3A" w14:textId="697EA2BD" w:rsidR="001D6BCF" w:rsidRPr="00BE6453" w:rsidRDefault="001D6BCF" w:rsidP="001D6BCF">
      <w:pPr>
        <w:pStyle w:val="H23G"/>
      </w:pPr>
      <w:r>
        <w:tab/>
      </w:r>
      <w:r>
        <w:tab/>
      </w:r>
      <w:r w:rsidRPr="00BE6453">
        <w:t xml:space="preserve">Chapter </w:t>
      </w:r>
      <w:r>
        <w:t>1</w:t>
      </w:r>
      <w:r w:rsidRPr="00BE6453">
        <w:t>.1</w:t>
      </w:r>
    </w:p>
    <w:p w14:paraId="46332555" w14:textId="77777777" w:rsidR="001D6BCF" w:rsidRPr="00C12A2D" w:rsidRDefault="001D6BCF" w:rsidP="001D6BCF">
      <w:pPr>
        <w:pStyle w:val="SingleTxtG"/>
      </w:pPr>
      <w:r>
        <w:t>(ADR:) 1.1.3.6.2</w:t>
      </w:r>
      <w:r>
        <w:tab/>
        <w:t>In the first indent, replace “and 0500” by “, 0500, 0512 and 0513”.</w:t>
      </w:r>
    </w:p>
    <w:p w14:paraId="332C11FC"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3CBABDCC" w14:textId="77777777" w:rsidR="001D6BCF" w:rsidRPr="00C12A2D" w:rsidRDefault="001D6BCF" w:rsidP="001D6BCF">
      <w:pPr>
        <w:pStyle w:val="SingleTxtG"/>
        <w:ind w:left="2268" w:hanging="1134"/>
      </w:pPr>
      <w:r>
        <w:t>1.1.3.6.3</w:t>
      </w:r>
      <w:r>
        <w:tab/>
        <w:t>In the Table, for transport category 0, Class 6.2, replace “UN Nos 2814 and 2900” by “UN Nos 2814, 2900 and 3549”.</w:t>
      </w:r>
    </w:p>
    <w:p w14:paraId="63101F5D"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7C900DF8" w14:textId="77777777" w:rsidR="001D6BCF" w:rsidRPr="002B7E74" w:rsidRDefault="001D6BCF" w:rsidP="001D6BCF">
      <w:pPr>
        <w:pStyle w:val="H23G"/>
      </w:pPr>
      <w:r w:rsidRPr="002B7E74">
        <w:tab/>
      </w:r>
      <w:r w:rsidRPr="002B7E74">
        <w:tab/>
        <w:t xml:space="preserve">Chapter </w:t>
      </w:r>
      <w:r>
        <w:t>1</w:t>
      </w:r>
      <w:r w:rsidRPr="002B7E74">
        <w:t>.2</w:t>
      </w:r>
    </w:p>
    <w:p w14:paraId="3D74E578" w14:textId="77777777" w:rsidR="001D6BCF" w:rsidRDefault="001D6BCF" w:rsidP="001D6BCF">
      <w:pPr>
        <w:pStyle w:val="SingleTxtG"/>
        <w:rPr>
          <w:lang w:val="en-US"/>
        </w:rPr>
      </w:pPr>
      <w:r>
        <w:rPr>
          <w:lang w:val="en-US"/>
        </w:rPr>
        <w:t xml:space="preserve">1.2.1 </w:t>
      </w:r>
      <w:r>
        <w:rPr>
          <w:lang w:val="en-US"/>
        </w:rPr>
        <w:tab/>
      </w:r>
      <w:r>
        <w:rPr>
          <w:lang w:val="en-US"/>
        </w:rPr>
        <w:tab/>
        <w:t>Add a new definition to read as follows:</w:t>
      </w:r>
    </w:p>
    <w:p w14:paraId="48940888" w14:textId="77777777" w:rsidR="001D6BCF" w:rsidRDefault="001D6BCF" w:rsidP="001D6BCF">
      <w:pPr>
        <w:pStyle w:val="SingleTxtG"/>
        <w:rPr>
          <w:lang w:val="en-US"/>
        </w:rPr>
      </w:pPr>
      <w:r>
        <w:rPr>
          <w:lang w:val="en-US"/>
        </w:rPr>
        <w:t>“"</w:t>
      </w:r>
      <w:r w:rsidRPr="007350F3">
        <w:rPr>
          <w:i/>
          <w:iCs/>
          <w:lang w:val="en-US"/>
        </w:rPr>
        <w:t>IAEA Regulations for the Safe Transport of Radioactive Material</w:t>
      </w:r>
      <w:r>
        <w:rPr>
          <w:lang w:val="en-US"/>
        </w:rPr>
        <w:t>" means one of the editions of those Regulations, as follows:</w:t>
      </w:r>
    </w:p>
    <w:p w14:paraId="72181E5F" w14:textId="77777777" w:rsidR="001D6BCF" w:rsidRPr="007350F3" w:rsidRDefault="001D6BCF" w:rsidP="001D6BCF">
      <w:pPr>
        <w:pStyle w:val="SingleTxtG"/>
        <w:ind w:left="2268" w:hanging="567"/>
        <w:rPr>
          <w:lang w:val="en-US"/>
        </w:rPr>
      </w:pPr>
      <w:r>
        <w:rPr>
          <w:lang w:val="en-US"/>
        </w:rPr>
        <w:t>(a)</w:t>
      </w:r>
      <w:r>
        <w:rPr>
          <w:lang w:val="en-US"/>
        </w:rPr>
        <w:tab/>
        <w:t xml:space="preserve">For the </w:t>
      </w:r>
      <w:r w:rsidRPr="007350F3">
        <w:rPr>
          <w:lang w:val="en-US"/>
        </w:rPr>
        <w:t>1985</w:t>
      </w:r>
      <w:r>
        <w:rPr>
          <w:lang w:val="en-US"/>
        </w:rPr>
        <w:t xml:space="preserve"> and</w:t>
      </w:r>
      <w:r w:rsidRPr="007350F3">
        <w:rPr>
          <w:lang w:val="en-US"/>
        </w:rPr>
        <w:t xml:space="preserve"> 1985 (as amended 1990) </w:t>
      </w:r>
      <w:r>
        <w:rPr>
          <w:lang w:val="en-US"/>
        </w:rPr>
        <w:t>e</w:t>
      </w:r>
      <w:r w:rsidRPr="007350F3">
        <w:rPr>
          <w:lang w:val="en-US"/>
        </w:rPr>
        <w:t>ditions: IAEA Safety Series No. 6</w:t>
      </w:r>
    </w:p>
    <w:p w14:paraId="225221F8" w14:textId="77777777" w:rsidR="001D6BCF" w:rsidRPr="007350F3" w:rsidRDefault="001D6BCF" w:rsidP="001D6BCF">
      <w:pPr>
        <w:pStyle w:val="SingleTxtG"/>
        <w:ind w:left="2268" w:hanging="567"/>
        <w:rPr>
          <w:lang w:val="en-US"/>
        </w:rPr>
      </w:pPr>
      <w:r>
        <w:rPr>
          <w:lang w:val="en-US"/>
        </w:rPr>
        <w:t>(b)</w:t>
      </w:r>
      <w:r>
        <w:rPr>
          <w:lang w:val="en-US"/>
        </w:rPr>
        <w:tab/>
        <w:t xml:space="preserve">For the </w:t>
      </w:r>
      <w:r w:rsidRPr="007350F3">
        <w:rPr>
          <w:lang w:val="en-US"/>
        </w:rPr>
        <w:t>1996</w:t>
      </w:r>
      <w:r>
        <w:rPr>
          <w:lang w:val="en-US"/>
        </w:rPr>
        <w:t xml:space="preserve"> edition</w:t>
      </w:r>
      <w:r w:rsidRPr="007350F3">
        <w:rPr>
          <w:lang w:val="en-US"/>
        </w:rPr>
        <w:t>: IAEA Safety Series No. ST-1</w:t>
      </w:r>
    </w:p>
    <w:p w14:paraId="43EDD985" w14:textId="77777777" w:rsidR="001D6BCF" w:rsidRPr="007350F3" w:rsidRDefault="001D6BCF" w:rsidP="001D6BCF">
      <w:pPr>
        <w:pStyle w:val="SingleTxtG"/>
        <w:ind w:left="2268" w:hanging="567"/>
        <w:rPr>
          <w:lang w:val="en-US"/>
        </w:rPr>
      </w:pPr>
      <w:r>
        <w:rPr>
          <w:lang w:val="en-US"/>
        </w:rPr>
        <w:t>(c)</w:t>
      </w:r>
      <w:r>
        <w:rPr>
          <w:lang w:val="en-US"/>
        </w:rPr>
        <w:tab/>
        <w:t xml:space="preserve">For the </w:t>
      </w:r>
      <w:r w:rsidRPr="007350F3">
        <w:rPr>
          <w:lang w:val="en-US"/>
        </w:rPr>
        <w:t>1996 (revised)</w:t>
      </w:r>
      <w:r>
        <w:rPr>
          <w:lang w:val="en-US"/>
        </w:rPr>
        <w:t xml:space="preserve"> edition</w:t>
      </w:r>
      <w:r w:rsidRPr="007350F3">
        <w:rPr>
          <w:lang w:val="en-US"/>
        </w:rPr>
        <w:t>: IAEA Safety Series No. TS-R-1 (ST-1, Revised)</w:t>
      </w:r>
    </w:p>
    <w:p w14:paraId="16BEA686" w14:textId="77777777" w:rsidR="001D6BCF" w:rsidRPr="007350F3" w:rsidRDefault="001D6BCF" w:rsidP="001D6BCF">
      <w:pPr>
        <w:pStyle w:val="SingleTxtG"/>
        <w:ind w:left="2268" w:hanging="567"/>
        <w:rPr>
          <w:lang w:val="en-US"/>
        </w:rPr>
      </w:pPr>
      <w:r>
        <w:rPr>
          <w:lang w:val="en-US"/>
        </w:rPr>
        <w:t>(d)</w:t>
      </w:r>
      <w:r w:rsidRPr="007350F3">
        <w:rPr>
          <w:lang w:val="en-US"/>
        </w:rPr>
        <w:tab/>
      </w:r>
      <w:r>
        <w:rPr>
          <w:lang w:val="en-US"/>
        </w:rPr>
        <w:t xml:space="preserve">For the </w:t>
      </w:r>
      <w:r w:rsidRPr="007350F3">
        <w:rPr>
          <w:lang w:val="en-US"/>
        </w:rPr>
        <w:t>1996 (as amended 2003), 2005</w:t>
      </w:r>
      <w:r>
        <w:rPr>
          <w:lang w:val="en-US"/>
        </w:rPr>
        <w:t xml:space="preserve"> and</w:t>
      </w:r>
      <w:r w:rsidRPr="007350F3">
        <w:rPr>
          <w:lang w:val="en-US"/>
        </w:rPr>
        <w:t xml:space="preserve"> 2009 </w:t>
      </w:r>
      <w:r>
        <w:rPr>
          <w:lang w:val="en-US"/>
        </w:rPr>
        <w:t>e</w:t>
      </w:r>
      <w:r w:rsidRPr="007350F3">
        <w:rPr>
          <w:lang w:val="en-US"/>
        </w:rPr>
        <w:t>ditions: IAEA Safety Standards Series No. TS-R-1</w:t>
      </w:r>
    </w:p>
    <w:p w14:paraId="2B07290A" w14:textId="77777777" w:rsidR="001D6BCF" w:rsidRDefault="001D6BCF" w:rsidP="001D6BCF">
      <w:pPr>
        <w:pStyle w:val="SingleTxtG"/>
        <w:ind w:left="2268" w:hanging="567"/>
        <w:rPr>
          <w:lang w:val="en-US"/>
        </w:rPr>
      </w:pPr>
      <w:r>
        <w:rPr>
          <w:lang w:val="en-US"/>
        </w:rPr>
        <w:t>(e)</w:t>
      </w:r>
      <w:r>
        <w:rPr>
          <w:lang w:val="en-US"/>
        </w:rPr>
        <w:tab/>
        <w:t xml:space="preserve">For the </w:t>
      </w:r>
      <w:r w:rsidRPr="007350F3">
        <w:rPr>
          <w:lang w:val="en-US"/>
        </w:rPr>
        <w:t xml:space="preserve">2012 </w:t>
      </w:r>
      <w:r>
        <w:rPr>
          <w:lang w:val="en-US"/>
        </w:rPr>
        <w:t>e</w:t>
      </w:r>
      <w:r w:rsidRPr="007350F3">
        <w:rPr>
          <w:lang w:val="en-US"/>
        </w:rPr>
        <w:t>dition: IAEA Safety Standards Series No. SSR-6</w:t>
      </w:r>
    </w:p>
    <w:p w14:paraId="4CBE2D9D" w14:textId="77777777" w:rsidR="001D6BCF" w:rsidRDefault="001D6BCF" w:rsidP="001D6BCF">
      <w:pPr>
        <w:pStyle w:val="SingleTxtG"/>
        <w:ind w:left="2268" w:hanging="567"/>
        <w:rPr>
          <w:lang w:val="en-US"/>
        </w:rPr>
      </w:pPr>
      <w:r>
        <w:rPr>
          <w:lang w:val="en-US"/>
        </w:rPr>
        <w:t>(f)</w:t>
      </w:r>
      <w:r>
        <w:rPr>
          <w:lang w:val="en-US"/>
        </w:rPr>
        <w:tab/>
        <w:t xml:space="preserve">For the 2018 edition: </w:t>
      </w:r>
      <w:r w:rsidRPr="00D03FBC">
        <w:rPr>
          <w:lang w:val="en-US"/>
        </w:rPr>
        <w:t>IAEA Safety Standards Series No. SSR–6 (Rev.1)</w:t>
      </w:r>
      <w:r>
        <w:rPr>
          <w:lang w:val="en-US"/>
        </w:rPr>
        <w:t>.”</w:t>
      </w:r>
    </w:p>
    <w:p w14:paraId="36E8B6BA"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18B6DD7B" w14:textId="77777777" w:rsidR="001D6BCF" w:rsidRDefault="001D6BCF" w:rsidP="001D6BCF">
      <w:pPr>
        <w:pStyle w:val="SingleTxtG"/>
      </w:pPr>
      <w:r>
        <w:t>(ADR/ADN:) 1.2.1</w:t>
      </w:r>
      <w:r>
        <w:tab/>
        <w:t>Replace the definition for “</w:t>
      </w:r>
      <w:r w:rsidRPr="005E427D">
        <w:rPr>
          <w:i/>
          <w:iCs/>
        </w:rPr>
        <w:t>Tank-container/portable tank operator</w:t>
      </w:r>
      <w:r>
        <w:t>” by:</w:t>
      </w:r>
    </w:p>
    <w:p w14:paraId="3A5B7E57" w14:textId="77777777" w:rsidR="001D6BCF" w:rsidRPr="002B7E74" w:rsidRDefault="001D6BCF" w:rsidP="001D6BCF">
      <w:pPr>
        <w:pStyle w:val="SingleTxtG"/>
      </w:pPr>
      <w:r>
        <w:t>“"</w:t>
      </w:r>
      <w:r w:rsidRPr="000A5699">
        <w:rPr>
          <w:i/>
          <w:iCs/>
        </w:rPr>
        <w:t>Tank-container</w:t>
      </w:r>
      <w:r>
        <w:rPr>
          <w:i/>
          <w:iCs/>
        </w:rPr>
        <w:t xml:space="preserve"> or </w:t>
      </w:r>
      <w:r w:rsidRPr="000A5699">
        <w:rPr>
          <w:i/>
          <w:iCs/>
        </w:rPr>
        <w:t>portable tank operator</w:t>
      </w:r>
      <w:r>
        <w:t>"</w:t>
      </w:r>
      <w:r w:rsidRPr="000A5699">
        <w:t xml:space="preserve"> means any enterprise in whose nam</w:t>
      </w:r>
      <w:r>
        <w:t xml:space="preserve">e </w:t>
      </w:r>
      <w:r w:rsidRPr="000A5699">
        <w:t>the tank-container</w:t>
      </w:r>
      <w:r>
        <w:t xml:space="preserve"> or </w:t>
      </w:r>
      <w:r w:rsidRPr="000A5699">
        <w:t>portable tank is operated</w:t>
      </w:r>
      <w:r>
        <w:t>;”</w:t>
      </w:r>
    </w:p>
    <w:p w14:paraId="630AB475" w14:textId="77777777" w:rsidR="001D6BCF" w:rsidRPr="002B7E74" w:rsidRDefault="001D6BCF" w:rsidP="001D6BCF">
      <w:pPr>
        <w:pStyle w:val="SingleTxtG"/>
        <w:rPr>
          <w:i/>
          <w:iCs/>
        </w:rPr>
      </w:pPr>
      <w:r w:rsidRPr="002B7E74">
        <w:rPr>
          <w:i/>
          <w:iCs/>
        </w:rPr>
        <w:t xml:space="preserve">(Reference document: </w:t>
      </w:r>
      <w:r w:rsidRPr="002E7E29">
        <w:rPr>
          <w:i/>
          <w:iCs/>
        </w:rPr>
        <w:t>ECE/TRANS/WP.15/AC.1/2019/</w:t>
      </w:r>
      <w:r>
        <w:rPr>
          <w:i/>
          <w:iCs/>
        </w:rPr>
        <w:t>30, as amended</w:t>
      </w:r>
      <w:r w:rsidRPr="002B7E74">
        <w:rPr>
          <w:i/>
          <w:iCs/>
        </w:rPr>
        <w:t>)</w:t>
      </w:r>
    </w:p>
    <w:p w14:paraId="2CB9D914" w14:textId="77777777" w:rsidR="001D6BCF" w:rsidRDefault="001D6BCF" w:rsidP="001D6BCF">
      <w:pPr>
        <w:pStyle w:val="SingleTxtG"/>
        <w:ind w:left="2268" w:hanging="1134"/>
      </w:pPr>
      <w:r>
        <w:t>(RID:) 1.2.1</w:t>
      </w:r>
      <w:r>
        <w:tab/>
        <w:t>Replace the definition for “</w:t>
      </w:r>
      <w:r w:rsidRPr="00AE0617">
        <w:rPr>
          <w:i/>
          <w:iCs/>
        </w:rPr>
        <w:t>Operator of a tank-container, portable tank or tank-wagon</w:t>
      </w:r>
      <w:r>
        <w:t>” by the following two definitions, in proper order:</w:t>
      </w:r>
    </w:p>
    <w:p w14:paraId="70C98F4E" w14:textId="77777777" w:rsidR="001D6BCF" w:rsidRPr="00AE0617" w:rsidRDefault="001D6BCF" w:rsidP="001D6BCF">
      <w:pPr>
        <w:pStyle w:val="SingleTxtG"/>
        <w:rPr>
          <w:i/>
          <w:iCs/>
        </w:rPr>
      </w:pPr>
      <w:r>
        <w:t>“"</w:t>
      </w:r>
      <w:r w:rsidRPr="00AE0617">
        <w:rPr>
          <w:i/>
          <w:iCs/>
        </w:rPr>
        <w:t>Tank-container</w:t>
      </w:r>
      <w:r>
        <w:rPr>
          <w:i/>
          <w:iCs/>
        </w:rPr>
        <w:t xml:space="preserve"> or </w:t>
      </w:r>
      <w:r w:rsidRPr="00AE0617">
        <w:rPr>
          <w:i/>
          <w:iCs/>
        </w:rPr>
        <w:t>portable tank operator</w:t>
      </w:r>
      <w:r>
        <w:t>"</w:t>
      </w:r>
      <w:r w:rsidRPr="00AE0617">
        <w:rPr>
          <w:i/>
          <w:iCs/>
        </w:rPr>
        <w:t xml:space="preserve"> </w:t>
      </w:r>
      <w:r w:rsidRPr="00AE0617">
        <w:t>means any enterprise in whose name the tank-container</w:t>
      </w:r>
      <w:r>
        <w:t xml:space="preserve"> or </w:t>
      </w:r>
      <w:r w:rsidRPr="00AE0617">
        <w:t>portable tank is operated.</w:t>
      </w:r>
    </w:p>
    <w:p w14:paraId="7F8BA8A1" w14:textId="77777777" w:rsidR="001D6BCF" w:rsidRPr="00AE0617" w:rsidRDefault="001D6BCF" w:rsidP="001D6BCF">
      <w:pPr>
        <w:pStyle w:val="SingleTxtG"/>
      </w:pPr>
      <w:r>
        <w:t>“"</w:t>
      </w:r>
      <w:r w:rsidRPr="00AE0617">
        <w:rPr>
          <w:i/>
          <w:iCs/>
        </w:rPr>
        <w:t>Operator of a tank-wagon</w:t>
      </w:r>
      <w:r>
        <w:t>"</w:t>
      </w:r>
      <w:r>
        <w:rPr>
          <w:vertAlign w:val="superscript"/>
        </w:rPr>
        <w:t>5</w:t>
      </w:r>
      <w:r w:rsidRPr="00AE0617">
        <w:t xml:space="preserve"> means any</w:t>
      </w:r>
      <w:r>
        <w:t xml:space="preserve"> </w:t>
      </w:r>
      <w:r w:rsidRPr="00AE0617">
        <w:t>enterprise in whose name the tank–wagon is registered or approved for transport.”</w:t>
      </w:r>
    </w:p>
    <w:p w14:paraId="2BD12E16" w14:textId="77777777" w:rsidR="001D6BCF" w:rsidRPr="002B7E74" w:rsidRDefault="001D6BCF" w:rsidP="001D6BCF">
      <w:pPr>
        <w:pStyle w:val="SingleTxtG"/>
        <w:rPr>
          <w:i/>
          <w:iCs/>
        </w:rPr>
      </w:pPr>
      <w:r w:rsidRPr="002B7E74">
        <w:rPr>
          <w:i/>
          <w:iCs/>
        </w:rPr>
        <w:t xml:space="preserve">(Reference document: </w:t>
      </w:r>
      <w:r w:rsidRPr="002E7E29">
        <w:rPr>
          <w:i/>
          <w:iCs/>
        </w:rPr>
        <w:t>ECE/TRANS/WP.15/AC.1/2019/</w:t>
      </w:r>
      <w:r>
        <w:rPr>
          <w:i/>
          <w:iCs/>
        </w:rPr>
        <w:t>30, as amended</w:t>
      </w:r>
      <w:r w:rsidRPr="002B7E74">
        <w:rPr>
          <w:i/>
          <w:iCs/>
        </w:rPr>
        <w:t>)</w:t>
      </w:r>
    </w:p>
    <w:p w14:paraId="12E1D6BD" w14:textId="77777777" w:rsidR="001D6BCF" w:rsidRPr="002B7E74" w:rsidRDefault="001D6BCF" w:rsidP="001D6BCF">
      <w:pPr>
        <w:pStyle w:val="SingleTxtG"/>
      </w:pPr>
      <w:r>
        <w:rPr>
          <w:lang w:val="en-US"/>
        </w:rPr>
        <w:t>(RID:) 1.2.1</w:t>
      </w:r>
      <w:r>
        <w:tab/>
        <w:t>In the definition of “Tank-wagon”, replace “shells” by “tanks”</w:t>
      </w:r>
      <w:r w:rsidRPr="00846FFC">
        <w:t>.</w:t>
      </w:r>
    </w:p>
    <w:p w14:paraId="7CF7D4D7"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document</w:t>
      </w:r>
      <w:r>
        <w:rPr>
          <w:i/>
          <w:iCs/>
        </w:rPr>
        <w:t>s</w:t>
      </w:r>
      <w:r w:rsidRPr="002B7E74">
        <w:rPr>
          <w:i/>
          <w:iCs/>
        </w:rPr>
        <w:t xml:space="preserve"> </w:t>
      </w:r>
      <w:r>
        <w:rPr>
          <w:i/>
          <w:iCs/>
        </w:rPr>
        <w:t>INF.4 and INF.45, proposal 2</w:t>
      </w:r>
      <w:r w:rsidRPr="002B7E74">
        <w:rPr>
          <w:i/>
          <w:iCs/>
        </w:rPr>
        <w:t>)</w:t>
      </w:r>
    </w:p>
    <w:p w14:paraId="4AAD478C" w14:textId="77777777" w:rsidR="001D6BCF" w:rsidRPr="00C12A2D" w:rsidRDefault="001D6BCF" w:rsidP="001D6BCF">
      <w:pPr>
        <w:pStyle w:val="H23G"/>
      </w:pPr>
      <w:r w:rsidRPr="00C12A2D">
        <w:lastRenderedPageBreak/>
        <w:tab/>
      </w:r>
      <w:r w:rsidRPr="00C12A2D">
        <w:tab/>
        <w:t>Chapter 1.6</w:t>
      </w:r>
    </w:p>
    <w:p w14:paraId="749EA10B" w14:textId="77777777" w:rsidR="001D6BCF" w:rsidRPr="002B7E74" w:rsidRDefault="001D6BCF" w:rsidP="001D6BCF">
      <w:pPr>
        <w:pStyle w:val="SingleTxtG"/>
      </w:pPr>
      <w:r>
        <w:t>1.6.1.22</w:t>
      </w:r>
      <w:r>
        <w:tab/>
        <w:t>Delete and add “</w:t>
      </w:r>
      <w:r w:rsidRPr="00F54299">
        <w:rPr>
          <w:i/>
          <w:iCs/>
        </w:rPr>
        <w:t>(Deleted)</w:t>
      </w:r>
      <w:r w:rsidRPr="00846FFC">
        <w:t>”.</w:t>
      </w:r>
    </w:p>
    <w:p w14:paraId="04952560"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INF.14</w:t>
      </w:r>
      <w:r w:rsidRPr="002B7E74">
        <w:rPr>
          <w:i/>
          <w:iCs/>
        </w:rPr>
        <w:t>)</w:t>
      </w:r>
    </w:p>
    <w:p w14:paraId="68C78972" w14:textId="77777777" w:rsidR="001D6BCF" w:rsidRPr="00177194" w:rsidRDefault="001D6BCF" w:rsidP="001D6BCF">
      <w:pPr>
        <w:pStyle w:val="SingleTxtG"/>
        <w:ind w:left="2268" w:hanging="1134"/>
      </w:pPr>
      <w:r w:rsidRPr="00177194">
        <w:t>1.6.6.2.2</w:t>
      </w:r>
      <w:r w:rsidRPr="00177194">
        <w:tab/>
        <w:t xml:space="preserve">Amend to read: “1.6.6.2.2 No new manufacture of </w:t>
      </w:r>
      <w:proofErr w:type="spellStart"/>
      <w:r w:rsidRPr="00177194">
        <w:t>packagings</w:t>
      </w:r>
      <w:proofErr w:type="spellEnd"/>
      <w:r w:rsidRPr="00177194">
        <w:t xml:space="preserve"> to a package design meeting the provisions of the 1985 and 1985 (as amended 1990) editions of the IAEA Regulations for the Safe Transport of Radioactive Material shall be permitted to commence.”.</w:t>
      </w:r>
    </w:p>
    <w:p w14:paraId="49F0D5BF" w14:textId="77777777" w:rsidR="001D6BCF" w:rsidRDefault="001D6BCF" w:rsidP="001D6BCF">
      <w:pPr>
        <w:pStyle w:val="SingleTxtG"/>
        <w:rPr>
          <w:i/>
          <w:iCs/>
        </w:rPr>
      </w:pPr>
      <w:r w:rsidRPr="00177194">
        <w:rPr>
          <w:i/>
          <w:iCs/>
        </w:rPr>
        <w:t>(Reference document: informal document INF.</w:t>
      </w:r>
      <w:r>
        <w:rPr>
          <w:i/>
          <w:iCs/>
        </w:rPr>
        <w:t>20 and</w:t>
      </w:r>
      <w:r w:rsidRPr="00AE75FE">
        <w:rPr>
          <w:i/>
          <w:iCs/>
        </w:rPr>
        <w:t xml:space="preserve"> </w:t>
      </w:r>
      <w:r w:rsidRPr="00177194">
        <w:rPr>
          <w:i/>
          <w:iCs/>
        </w:rPr>
        <w:t>informal document INF.49, consequential amendment)</w:t>
      </w:r>
    </w:p>
    <w:p w14:paraId="3744D97A" w14:textId="77777777" w:rsidR="001D6BCF" w:rsidRDefault="001D6BCF" w:rsidP="001D6BCF">
      <w:pPr>
        <w:pStyle w:val="SingleTxtG"/>
        <w:ind w:left="2268" w:hanging="1134"/>
        <w:rPr>
          <w:lang w:val="en-US"/>
        </w:rPr>
      </w:pPr>
      <w:r>
        <w:rPr>
          <w:lang w:val="en-US"/>
        </w:rPr>
        <w:t>1.6.6.3</w:t>
      </w:r>
      <w:r>
        <w:rPr>
          <w:lang w:val="en-US"/>
        </w:rPr>
        <w:tab/>
      </w:r>
      <w:r w:rsidRPr="00D03FBC">
        <w:rPr>
          <w:lang w:val="en-US"/>
        </w:rPr>
        <w:t>Amend the title to read:</w:t>
      </w:r>
      <w:r>
        <w:rPr>
          <w:lang w:val="en-US"/>
        </w:rPr>
        <w:t xml:space="preserve"> </w:t>
      </w:r>
      <w:r w:rsidRPr="00D03FBC">
        <w:rPr>
          <w:lang w:val="en-US"/>
        </w:rPr>
        <w:t>“</w:t>
      </w:r>
      <w:r w:rsidRPr="00D9431C">
        <w:rPr>
          <w:lang w:val="en-US"/>
        </w:rPr>
        <w:t xml:space="preserve">Packages excepted from the requirements for fissile materials under the 2011 and 2013 editions of ADR (2009 </w:t>
      </w:r>
      <w:r>
        <w:rPr>
          <w:lang w:val="en-US"/>
        </w:rPr>
        <w:t>e</w:t>
      </w:r>
      <w:r w:rsidRPr="005C2D0D">
        <w:rPr>
          <w:lang w:val="en-US"/>
        </w:rPr>
        <w:t xml:space="preserve">dition of </w:t>
      </w:r>
      <w:r>
        <w:rPr>
          <w:lang w:val="en-US"/>
        </w:rPr>
        <w:t xml:space="preserve">the </w:t>
      </w:r>
      <w:r w:rsidRPr="005C2D0D">
        <w:rPr>
          <w:lang w:val="en-US"/>
        </w:rPr>
        <w:t xml:space="preserve">IAEA </w:t>
      </w:r>
      <w:r w:rsidRPr="00205DF9">
        <w:rPr>
          <w:lang w:val="en-US"/>
        </w:rPr>
        <w:t>Regulations for the Safe Transport of Radioactive Material</w:t>
      </w:r>
      <w:r w:rsidRPr="00D9431C">
        <w:rPr>
          <w:lang w:val="en-US"/>
        </w:rPr>
        <w:t>)</w:t>
      </w:r>
      <w:r>
        <w:rPr>
          <w:lang w:val="en-US"/>
        </w:rPr>
        <w:t>”.</w:t>
      </w:r>
    </w:p>
    <w:p w14:paraId="6757F609"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34869382" w14:textId="77777777" w:rsidR="001D6BCF" w:rsidRPr="002B7E74" w:rsidRDefault="001D6BCF" w:rsidP="001D6BCF">
      <w:pPr>
        <w:pStyle w:val="H23G"/>
      </w:pPr>
      <w:r w:rsidRPr="002B7E74">
        <w:tab/>
      </w:r>
      <w:r w:rsidRPr="002B7E74">
        <w:tab/>
        <w:t xml:space="preserve">Chapter </w:t>
      </w:r>
      <w:r>
        <w:t>1</w:t>
      </w:r>
      <w:r w:rsidRPr="002B7E74">
        <w:t>.</w:t>
      </w:r>
      <w:r>
        <w:t>8</w:t>
      </w:r>
    </w:p>
    <w:p w14:paraId="29D5ACB5" w14:textId="77777777" w:rsidR="001D6BCF" w:rsidRPr="002B7E74" w:rsidRDefault="001D6BCF" w:rsidP="001D6BCF">
      <w:pPr>
        <w:pStyle w:val="SingleTxtG"/>
        <w:ind w:left="2268" w:hanging="1134"/>
      </w:pPr>
      <w:r>
        <w:t>1.8.6.4.1</w:t>
      </w:r>
      <w:r>
        <w:tab/>
      </w:r>
      <w:r w:rsidRPr="00846FFC">
        <w:t>Replace “EN ISO/IEC 17025:2005” by “EN ISO/IEC 17025:2017</w:t>
      </w:r>
      <w:r>
        <w:t xml:space="preserve"> </w:t>
      </w:r>
      <w:r>
        <w:rPr>
          <w:lang w:val="en-US"/>
        </w:rPr>
        <w:t>(except clause 8.1.3)</w:t>
      </w:r>
      <w:r w:rsidRPr="00846FFC">
        <w:t>”.</w:t>
      </w:r>
    </w:p>
    <w:p w14:paraId="054F645D" w14:textId="77777777" w:rsidR="001D6BCF" w:rsidRPr="002B7E74" w:rsidRDefault="001D6BCF" w:rsidP="001D6BCF">
      <w:pPr>
        <w:pStyle w:val="SingleTxtG"/>
        <w:rPr>
          <w:i/>
          <w:iCs/>
        </w:rPr>
      </w:pPr>
      <w:r w:rsidRPr="002B7E74">
        <w:rPr>
          <w:i/>
          <w:iCs/>
        </w:rPr>
        <w:t xml:space="preserve">(Reference document: </w:t>
      </w:r>
      <w:r w:rsidRPr="002E7E29">
        <w:rPr>
          <w:i/>
          <w:iCs/>
        </w:rPr>
        <w:t>ECE/TRANS/WP.15/AC.1/2019/</w:t>
      </w:r>
      <w:r>
        <w:rPr>
          <w:i/>
          <w:iCs/>
        </w:rPr>
        <w:t xml:space="preserve">35, proposal 3 and </w:t>
      </w:r>
      <w:r w:rsidRPr="002E7E29">
        <w:rPr>
          <w:i/>
          <w:iCs/>
        </w:rPr>
        <w:t>ECE/TRANS/WP.15/AC.1/2019/</w:t>
      </w:r>
      <w:r>
        <w:rPr>
          <w:i/>
          <w:iCs/>
        </w:rPr>
        <w:t>36, proposal 2, as amended</w:t>
      </w:r>
      <w:r w:rsidRPr="002B7E74">
        <w:rPr>
          <w:i/>
          <w:iCs/>
        </w:rPr>
        <w:t>)</w:t>
      </w:r>
    </w:p>
    <w:p w14:paraId="51C9F7A3" w14:textId="77777777" w:rsidR="001D6BCF" w:rsidRPr="002B7E74" w:rsidRDefault="001D6BCF" w:rsidP="001D6BCF">
      <w:pPr>
        <w:pStyle w:val="H23G"/>
      </w:pPr>
      <w:r w:rsidRPr="002B7E74">
        <w:tab/>
      </w:r>
      <w:r w:rsidRPr="002B7E74">
        <w:tab/>
        <w:t>Chapter 2.</w:t>
      </w:r>
      <w:r>
        <w:t>1</w:t>
      </w:r>
    </w:p>
    <w:p w14:paraId="4C2DF65D" w14:textId="77777777" w:rsidR="001D6BCF" w:rsidRPr="002B7E74" w:rsidRDefault="001D6BCF" w:rsidP="001D6BCF">
      <w:pPr>
        <w:pStyle w:val="SingleTxtG"/>
        <w:ind w:left="2268" w:hanging="1134"/>
      </w:pPr>
      <w:r w:rsidRPr="002B7E74">
        <w:t>2.</w:t>
      </w:r>
      <w:r>
        <w:t>1.3.8</w:t>
      </w:r>
      <w:r>
        <w:tab/>
      </w:r>
      <w:r w:rsidRPr="002B7E74">
        <w:tab/>
      </w:r>
      <w:r>
        <w:t>In the second sentence, after “</w:t>
      </w:r>
      <w:r w:rsidRPr="003B757F">
        <w:t>Other substances meeting the criteria of no other class</w:t>
      </w:r>
      <w:r>
        <w:t>”, add</w:t>
      </w:r>
      <w:r w:rsidRPr="003B757F">
        <w:t xml:space="preserve"> </w:t>
      </w:r>
      <w:r>
        <w:t>“</w:t>
      </w:r>
      <w:r w:rsidRPr="003B757F">
        <w:t>or of no other substance of Class 9</w:t>
      </w:r>
      <w:r>
        <w:t>”.</w:t>
      </w:r>
    </w:p>
    <w:p w14:paraId="1A5138EF" w14:textId="77777777" w:rsidR="001D6BCF" w:rsidRDefault="001D6BCF" w:rsidP="001D6BCF">
      <w:pPr>
        <w:pStyle w:val="SingleTxtG"/>
        <w:rPr>
          <w:b/>
        </w:rPr>
      </w:pPr>
      <w:r w:rsidRPr="002B7E74">
        <w:rPr>
          <w:i/>
          <w:iCs/>
        </w:rPr>
        <w:t xml:space="preserve">(Reference document: </w:t>
      </w:r>
      <w:r w:rsidRPr="002E7E29">
        <w:rPr>
          <w:i/>
          <w:iCs/>
        </w:rPr>
        <w:t>ECE/TRANS/WP.15/AC.1/2019/</w:t>
      </w:r>
      <w:r>
        <w:rPr>
          <w:i/>
          <w:iCs/>
        </w:rPr>
        <w:t>47</w:t>
      </w:r>
      <w:r w:rsidRPr="002B7E74">
        <w:rPr>
          <w:i/>
          <w:iCs/>
        </w:rPr>
        <w:t>)</w:t>
      </w:r>
    </w:p>
    <w:p w14:paraId="3901F8EC" w14:textId="77777777" w:rsidR="001D6BCF" w:rsidRPr="002B7E74" w:rsidRDefault="001D6BCF" w:rsidP="001D6BCF">
      <w:pPr>
        <w:pStyle w:val="H23G"/>
      </w:pPr>
      <w:r w:rsidRPr="002B7E74">
        <w:tab/>
      </w:r>
      <w:r w:rsidRPr="002B7E74">
        <w:tab/>
        <w:t>Chapter 2.2</w:t>
      </w:r>
    </w:p>
    <w:p w14:paraId="1BB7563F" w14:textId="77777777" w:rsidR="001D6BCF" w:rsidRPr="00E159D2" w:rsidRDefault="001D6BCF" w:rsidP="001D6BCF">
      <w:pPr>
        <w:pStyle w:val="SingleTxtG"/>
        <w:ind w:left="2268" w:hanging="1134"/>
      </w:pPr>
      <w:r w:rsidRPr="002B7E74">
        <w:t>2.2.2.3</w:t>
      </w:r>
      <w:r w:rsidRPr="002B7E74">
        <w:tab/>
      </w:r>
      <w:r w:rsidRPr="002B7E74">
        <w:tab/>
      </w:r>
      <w:r>
        <w:t>In the table for “Other articles containi</w:t>
      </w:r>
      <w:r w:rsidRPr="00E159D2">
        <w:t>ng gas under pressure”, for classification code “6F”, insert the following entry after UN No. 3150:</w:t>
      </w:r>
    </w:p>
    <w:p w14:paraId="63746090" w14:textId="77777777" w:rsidR="001D6BCF" w:rsidRPr="00E159D2" w:rsidRDefault="001D6BCF" w:rsidP="001D6BCF">
      <w:pPr>
        <w:pStyle w:val="SingleTxtG"/>
      </w:pPr>
      <w:r w:rsidRPr="00E159D2">
        <w:t>“3358 REFRIGERATING MACHINES containing flammable, non-toxic, liquefied gas”</w:t>
      </w:r>
    </w:p>
    <w:p w14:paraId="02A95E91" w14:textId="77777777" w:rsidR="001D6BCF" w:rsidRPr="00E159D2" w:rsidRDefault="001D6BCF" w:rsidP="001D6BCF">
      <w:pPr>
        <w:pStyle w:val="SingleTxtG"/>
        <w:rPr>
          <w:i/>
          <w:iCs/>
        </w:rPr>
      </w:pPr>
      <w:r w:rsidRPr="00E159D2">
        <w:rPr>
          <w:i/>
          <w:iCs/>
        </w:rPr>
        <w:t xml:space="preserve">(Reference document: </w:t>
      </w:r>
      <w:r>
        <w:rPr>
          <w:i/>
          <w:iCs/>
        </w:rPr>
        <w:t>informal document INF.</w:t>
      </w:r>
      <w:r w:rsidRPr="00E159D2">
        <w:rPr>
          <w:i/>
          <w:iCs/>
        </w:rPr>
        <w:t>12)</w:t>
      </w:r>
    </w:p>
    <w:p w14:paraId="369D8385" w14:textId="77777777" w:rsidR="001D6BCF" w:rsidRPr="002B7E74" w:rsidRDefault="001D6BCF" w:rsidP="001D6BCF">
      <w:pPr>
        <w:pStyle w:val="SingleTxtG"/>
        <w:ind w:left="2268" w:hanging="1134"/>
      </w:pPr>
      <w:r w:rsidRPr="00E159D2">
        <w:rPr>
          <w:lang w:val="en-US"/>
        </w:rPr>
        <w:t xml:space="preserve">(RID/ADR:) </w:t>
      </w:r>
      <w:r w:rsidRPr="00E159D2">
        <w:t>2.2.9.1.10.6</w:t>
      </w:r>
      <w:r w:rsidRPr="00E159D2">
        <w:tab/>
        <w:t xml:space="preserve">Replace </w:t>
      </w:r>
      <w:r w:rsidRPr="00E159D2">
        <w:rPr>
          <w:lang w:val="en-US"/>
        </w:rPr>
        <w:t>“</w:t>
      </w:r>
      <w:r w:rsidRPr="00E159D2">
        <w:t>, not otherwise classified under RID/ADR” by “that do not meet the classification criteria of any ot</w:t>
      </w:r>
      <w:r w:rsidRPr="009164AE">
        <w:t>her class or another substance within Class 9</w:t>
      </w:r>
      <w:r>
        <w:t>”.</w:t>
      </w:r>
    </w:p>
    <w:p w14:paraId="53CB4A8D" w14:textId="77777777" w:rsidR="001D6BCF" w:rsidRPr="002B7E74" w:rsidRDefault="001D6BCF" w:rsidP="001D6BCF">
      <w:pPr>
        <w:pStyle w:val="SingleTxtG"/>
        <w:rPr>
          <w:i/>
          <w:iCs/>
        </w:rPr>
      </w:pPr>
      <w:r w:rsidRPr="002B7E74">
        <w:rPr>
          <w:i/>
          <w:iCs/>
        </w:rPr>
        <w:t xml:space="preserve">(Reference document: </w:t>
      </w:r>
      <w:r w:rsidRPr="002E7E29">
        <w:rPr>
          <w:i/>
          <w:iCs/>
        </w:rPr>
        <w:t>ECE/TRANS/WP.15/AC.1/2019/</w:t>
      </w:r>
      <w:r>
        <w:rPr>
          <w:i/>
          <w:iCs/>
        </w:rPr>
        <w:t>47</w:t>
      </w:r>
      <w:r w:rsidRPr="002B7E74">
        <w:rPr>
          <w:i/>
          <w:iCs/>
        </w:rPr>
        <w:t>)</w:t>
      </w:r>
    </w:p>
    <w:p w14:paraId="38F7EDC5" w14:textId="77777777" w:rsidR="001D6BCF" w:rsidRPr="00A92A3F" w:rsidRDefault="001D6BCF" w:rsidP="001D6BCF">
      <w:pPr>
        <w:pStyle w:val="SingleTxtG"/>
        <w:ind w:left="2268" w:hanging="1134"/>
        <w:rPr>
          <w:lang w:val="en-US"/>
        </w:rPr>
      </w:pPr>
      <w:r w:rsidRPr="00A92A3F">
        <w:rPr>
          <w:lang w:val="en-US"/>
        </w:rPr>
        <w:t>2.2.9.1.14, Note</w:t>
      </w:r>
      <w:r w:rsidRPr="00A92A3F">
        <w:rPr>
          <w:lang w:val="en-US"/>
        </w:rPr>
        <w:tab/>
        <w:t>In footnote 18/15/11, remove “used as coolant”.</w:t>
      </w:r>
    </w:p>
    <w:p w14:paraId="1A6983A6" w14:textId="77777777" w:rsidR="001D6BCF" w:rsidRPr="002B7E74" w:rsidRDefault="001D6BCF" w:rsidP="001D6BCF">
      <w:pPr>
        <w:pStyle w:val="SingleTxtG"/>
        <w:rPr>
          <w:i/>
          <w:iCs/>
        </w:rPr>
      </w:pPr>
      <w:r w:rsidRPr="00A92A3F">
        <w:rPr>
          <w:i/>
          <w:iCs/>
        </w:rPr>
        <w:t>(Reference document: ECE/TRANS/WP.15/AC.1/2019/45, proposal 2, as amended)</w:t>
      </w:r>
    </w:p>
    <w:p w14:paraId="5CEC2C0E" w14:textId="77777777" w:rsidR="001D6BCF" w:rsidRDefault="001D6BCF" w:rsidP="001D6BCF">
      <w:pPr>
        <w:pStyle w:val="H23G"/>
      </w:pPr>
      <w:r>
        <w:tab/>
      </w:r>
      <w:r>
        <w:tab/>
        <w:t>Chapter 2.3</w:t>
      </w:r>
    </w:p>
    <w:p w14:paraId="6B62EA21" w14:textId="77777777" w:rsidR="001D6BCF" w:rsidRDefault="001D6BCF" w:rsidP="001D6BCF">
      <w:pPr>
        <w:pStyle w:val="SingleTxtG"/>
      </w:pPr>
      <w:r>
        <w:t>2.3.2</w:t>
      </w:r>
      <w:r>
        <w:tab/>
      </w:r>
      <w:r>
        <w:tab/>
      </w:r>
      <w:r w:rsidRPr="00556211">
        <w:t xml:space="preserve">In the heading, amend </w:t>
      </w:r>
      <w:r>
        <w:t>“</w:t>
      </w:r>
      <w:r w:rsidRPr="00556211">
        <w:t>Class 4.1</w:t>
      </w:r>
      <w:r>
        <w:t>”</w:t>
      </w:r>
      <w:r w:rsidRPr="00556211">
        <w:t xml:space="preserve"> to read </w:t>
      </w:r>
      <w:r>
        <w:t>“</w:t>
      </w:r>
      <w:r w:rsidRPr="00556211">
        <w:t>Class 1 and Class 4.1</w:t>
      </w:r>
      <w:r>
        <w:t>”</w:t>
      </w:r>
      <w:r w:rsidRPr="00556211">
        <w:t>.</w:t>
      </w:r>
    </w:p>
    <w:p w14:paraId="4CBCD40C" w14:textId="77777777" w:rsidR="001D6BCF" w:rsidRDefault="001D6BCF" w:rsidP="001D6BCF">
      <w:pPr>
        <w:pStyle w:val="SingleTxtG"/>
      </w:pPr>
      <w:r>
        <w:t>2.3.2.1</w:t>
      </w:r>
      <w:r>
        <w:tab/>
      </w:r>
      <w:r>
        <w:tab/>
        <w:t>Delete current 2.3.2.1 and replace by:</w:t>
      </w:r>
    </w:p>
    <w:p w14:paraId="031FA51B" w14:textId="77777777" w:rsidR="001D6BCF" w:rsidRDefault="001D6BCF" w:rsidP="001D6BCF">
      <w:pPr>
        <w:pStyle w:val="SingleTxtG"/>
      </w:pPr>
      <w:r>
        <w:t>“2.3.2.1</w:t>
      </w:r>
      <w:r>
        <w:tab/>
        <w:t xml:space="preserve">In order to determine the criteria of the nitrocellulose, the Bergmann-Junk test or the methyl violet paper test in the Manual of Tests and Criteria Appendix 10 shall be performed (see Chapter 3.3, special provisions 393 and 394). If there is doubt that the ignition </w:t>
      </w:r>
      <w:r>
        <w:lastRenderedPageBreak/>
        <w:t>temperature of the nitrocellulose is considerably higher than 132°C in the case of the Bergmann-Junk test or higher than 134.5°C in the case of the methyl violet paper test, the ignition temperature test described in 2.3.2.5 should be carried out before these tests are performed. If the ignition temperature of nitrocellulose mixtures is higher than 180°C or the ignition temperature of plasticized nitrocellulose is higher than 170°C, the Bergmann-Junk test or the methyl violet paper test can be carried out safely.”</w:t>
      </w:r>
    </w:p>
    <w:p w14:paraId="700DC0FE" w14:textId="77777777" w:rsidR="001D6BCF" w:rsidRPr="00556211" w:rsidRDefault="001D6BCF" w:rsidP="001D6BCF">
      <w:pPr>
        <w:pStyle w:val="SingleTxtG"/>
      </w:pPr>
      <w:r>
        <w:t>2.3.2.2</w:t>
      </w:r>
      <w:r>
        <w:tab/>
      </w:r>
      <w:r>
        <w:tab/>
        <w:t>Delete.</w:t>
      </w:r>
    </w:p>
    <w:p w14:paraId="5AB1B55A" w14:textId="77777777" w:rsidR="001D6BCF" w:rsidRPr="00556211" w:rsidRDefault="001D6BCF" w:rsidP="001D6BCF">
      <w:pPr>
        <w:pStyle w:val="SingleTxtG"/>
      </w:pPr>
      <w:r>
        <w:t>2.3.2.3</w:t>
      </w:r>
      <w:r>
        <w:tab/>
      </w:r>
      <w:r>
        <w:tab/>
        <w:t>Delete.</w:t>
      </w:r>
    </w:p>
    <w:p w14:paraId="6E872FCF" w14:textId="77777777" w:rsidR="001D6BCF" w:rsidRPr="00556211" w:rsidRDefault="001D6BCF" w:rsidP="001D6BCF">
      <w:pPr>
        <w:pStyle w:val="SingleTxtG"/>
      </w:pPr>
      <w:r>
        <w:t>2.3.2.4</w:t>
      </w:r>
      <w:r>
        <w:tab/>
      </w:r>
      <w:r>
        <w:tab/>
        <w:t>Delete.</w:t>
      </w:r>
    </w:p>
    <w:p w14:paraId="53420A8A" w14:textId="77777777" w:rsidR="001D6BCF" w:rsidRDefault="001D6BCF" w:rsidP="001D6BCF">
      <w:pPr>
        <w:pStyle w:val="SingleTxtG"/>
      </w:pPr>
      <w:r>
        <w:t>2.3.2.5</w:t>
      </w:r>
      <w:r>
        <w:tab/>
      </w:r>
      <w:r>
        <w:tab/>
        <w:t>Delete.</w:t>
      </w:r>
    </w:p>
    <w:p w14:paraId="279B312B" w14:textId="77777777" w:rsidR="001D6BCF" w:rsidRDefault="001D6BCF" w:rsidP="001D6BCF">
      <w:pPr>
        <w:pStyle w:val="SingleTxtG"/>
        <w:ind w:left="2268" w:hanging="1134"/>
      </w:pPr>
      <w:r>
        <w:t>2.3.2.6</w:t>
      </w:r>
      <w:r>
        <w:tab/>
      </w:r>
      <w:r>
        <w:tab/>
        <w:t>2.3.2.6 becomes 2.3.2.2. In the text, amend “2.3.2.9 and 2.3.2.10” to read “2.3.2.5”.</w:t>
      </w:r>
    </w:p>
    <w:p w14:paraId="07B9FAB8" w14:textId="77777777" w:rsidR="001D6BCF" w:rsidRDefault="001D6BCF" w:rsidP="001D6BCF">
      <w:pPr>
        <w:pStyle w:val="SingleTxtG"/>
        <w:ind w:left="2268" w:hanging="1134"/>
      </w:pPr>
      <w:r>
        <w:t>2.3.2.7</w:t>
      </w:r>
      <w:r>
        <w:tab/>
        <w:t>2.3.2.7 becomes 2.3.2.3. Replace “Before being dried as prescribed in 2.3.2.6 above, substances conforming to 2.3.2.2 shall” by “Before being dried as prescribed in 2.3.2.2 above, plasticized nitrocellulose shall”.</w:t>
      </w:r>
    </w:p>
    <w:p w14:paraId="04D40BE3" w14:textId="77777777" w:rsidR="001D6BCF" w:rsidRDefault="001D6BCF" w:rsidP="001D6BCF">
      <w:pPr>
        <w:pStyle w:val="SingleTxtG"/>
        <w:ind w:left="2268" w:hanging="1134"/>
      </w:pPr>
      <w:r>
        <w:t>2.3.2.8</w:t>
      </w:r>
      <w:r>
        <w:tab/>
        <w:t>2.3.2.8 becomes 2.3.2.4. Replace “Weakly nitrated nitrocellulose conforming to 2.3.2.1 shall first undergo preliminary drying as prescribed in 2.3.2.7 above;” by “Weakly nitrated nitrocellulose shall first undergo preliminary drying as prescribed in 2.3.2.3 above”.</w:t>
      </w:r>
    </w:p>
    <w:p w14:paraId="55D8A8EE" w14:textId="77777777" w:rsidR="001D6BCF" w:rsidRDefault="001D6BCF" w:rsidP="001D6BCF">
      <w:pPr>
        <w:pStyle w:val="SingleTxtG"/>
        <w:ind w:left="2268" w:hanging="1134"/>
      </w:pPr>
      <w:r>
        <w:t>2.3.2.9</w:t>
      </w:r>
      <w:r>
        <w:tab/>
        <w:t>Delete.</w:t>
      </w:r>
    </w:p>
    <w:p w14:paraId="73D58567" w14:textId="77777777" w:rsidR="001D6BCF" w:rsidRPr="00556211" w:rsidRDefault="001D6BCF" w:rsidP="001D6BCF">
      <w:pPr>
        <w:pStyle w:val="SingleTxtG"/>
        <w:ind w:left="2268" w:hanging="1134"/>
      </w:pPr>
      <w:r>
        <w:t>2.3.2.10</w:t>
      </w:r>
      <w:r>
        <w:tab/>
      </w:r>
      <w:r w:rsidRPr="008A76AE">
        <w:t>2.3.2.10 becomes 2.3.2.5.</w:t>
      </w:r>
    </w:p>
    <w:p w14:paraId="616BC38A" w14:textId="77777777" w:rsidR="001D6BCF" w:rsidRPr="002B7E74" w:rsidRDefault="001D6BCF" w:rsidP="001D6BCF">
      <w:pPr>
        <w:pStyle w:val="SingleTxtG"/>
        <w:rPr>
          <w:i/>
          <w:iCs/>
        </w:rPr>
      </w:pPr>
      <w:r w:rsidRPr="00A92A3F">
        <w:rPr>
          <w:i/>
          <w:iCs/>
        </w:rPr>
        <w:t>(Reference document: ECE/TRANS/WP.15/AC.1/2019/</w:t>
      </w:r>
      <w:r>
        <w:rPr>
          <w:i/>
          <w:iCs/>
        </w:rPr>
        <w:t>28</w:t>
      </w:r>
      <w:r w:rsidRPr="00A92A3F">
        <w:rPr>
          <w:i/>
          <w:iCs/>
        </w:rPr>
        <w:t>)</w:t>
      </w:r>
    </w:p>
    <w:p w14:paraId="7E398089" w14:textId="77777777" w:rsidR="001D6BCF" w:rsidRPr="00C12A2D" w:rsidRDefault="001D6BCF" w:rsidP="001D6BCF">
      <w:pPr>
        <w:pStyle w:val="H23G"/>
      </w:pPr>
      <w:r w:rsidRPr="00C12A2D">
        <w:tab/>
      </w:r>
      <w:r w:rsidRPr="00C12A2D">
        <w:tab/>
        <w:t>Chapter 3.2, table A</w:t>
      </w:r>
    </w:p>
    <w:p w14:paraId="7F050E30" w14:textId="77777777" w:rsidR="001D6BCF" w:rsidRPr="00C12A2D" w:rsidRDefault="001D6BCF" w:rsidP="001D6BCF">
      <w:pPr>
        <w:pStyle w:val="SingleTxtG"/>
      </w:pPr>
      <w:r w:rsidRPr="00C12A2D">
        <w:t xml:space="preserve">(ADR:) </w:t>
      </w:r>
      <w:r w:rsidRPr="003B758F">
        <w:t xml:space="preserve">For UN 2383, in </w:t>
      </w:r>
      <w:bookmarkStart w:id="7" w:name="_Hlk19632518"/>
      <w:r>
        <w:t>column (16), delete “V8” and in column (19) delete “S4”.</w:t>
      </w:r>
      <w:bookmarkEnd w:id="7"/>
    </w:p>
    <w:p w14:paraId="7FFE428B" w14:textId="77777777" w:rsidR="001D6BCF" w:rsidRPr="00C12A2D" w:rsidRDefault="001D6BCF" w:rsidP="001D6BCF">
      <w:pPr>
        <w:pStyle w:val="SingleTxtG"/>
        <w:rPr>
          <w:i/>
          <w:iCs/>
        </w:rPr>
      </w:pPr>
      <w:r w:rsidRPr="00C12A2D">
        <w:rPr>
          <w:i/>
          <w:iCs/>
        </w:rPr>
        <w:t>(Reference document: informal document INF.20)</w:t>
      </w:r>
    </w:p>
    <w:p w14:paraId="584BB91E" w14:textId="77777777" w:rsidR="001D6BCF" w:rsidRPr="003B758F" w:rsidRDefault="001D6BCF" w:rsidP="001D6BCF">
      <w:pPr>
        <w:pStyle w:val="SingleTxtG"/>
        <w:ind w:left="2259" w:hanging="1125"/>
      </w:pPr>
      <w:r w:rsidRPr="00C12A2D">
        <w:t xml:space="preserve">(ADR:) </w:t>
      </w:r>
      <w:r w:rsidRPr="003B758F">
        <w:t xml:space="preserve">For UN 2522, in column </w:t>
      </w:r>
      <w:r>
        <w:t>(16), insert “V8” and in column (19) insert “S4”.</w:t>
      </w:r>
    </w:p>
    <w:p w14:paraId="6C09A005" w14:textId="77777777" w:rsidR="001D6BCF" w:rsidRPr="00C12A2D" w:rsidRDefault="001D6BCF" w:rsidP="001D6BCF">
      <w:pPr>
        <w:pStyle w:val="SingleTxtG"/>
        <w:rPr>
          <w:i/>
          <w:iCs/>
        </w:rPr>
      </w:pPr>
      <w:r w:rsidRPr="00C12A2D">
        <w:rPr>
          <w:i/>
          <w:iCs/>
        </w:rPr>
        <w:t>(Reference document: informal document INF.20)</w:t>
      </w:r>
    </w:p>
    <w:p w14:paraId="484CBDC7" w14:textId="77777777" w:rsidR="001D6BCF" w:rsidRPr="00C54F00" w:rsidRDefault="001D6BCF" w:rsidP="001D6BCF">
      <w:pPr>
        <w:pStyle w:val="SingleTxtG"/>
        <w:ind w:left="2259" w:hanging="1125"/>
      </w:pPr>
      <w:r>
        <w:t>For UN 2913, in column (2), replace “(SCO-I or SCO-II)” by “(SCO-I, SCO-II or SCO-III)”.</w:t>
      </w:r>
    </w:p>
    <w:p w14:paraId="43194CBD" w14:textId="77777777" w:rsidR="001D6BCF" w:rsidRPr="00C12A2D" w:rsidRDefault="001D6BCF" w:rsidP="001D6BCF">
      <w:pPr>
        <w:pStyle w:val="SingleTxtG"/>
        <w:rPr>
          <w:i/>
          <w:iCs/>
        </w:rPr>
      </w:pPr>
      <w:r w:rsidRPr="00C12A2D">
        <w:rPr>
          <w:i/>
          <w:iCs/>
        </w:rPr>
        <w:t>(Reference document: informal document INF.20)</w:t>
      </w:r>
    </w:p>
    <w:p w14:paraId="3CA1D982" w14:textId="77777777" w:rsidR="001D6BCF" w:rsidRPr="00C12A2D" w:rsidRDefault="001D6BCF" w:rsidP="001D6BCF">
      <w:pPr>
        <w:pStyle w:val="H23G"/>
      </w:pPr>
      <w:r w:rsidRPr="00C12A2D">
        <w:tab/>
      </w:r>
      <w:r w:rsidRPr="00C12A2D">
        <w:tab/>
        <w:t>Chapter 3.2, table B</w:t>
      </w:r>
    </w:p>
    <w:p w14:paraId="28222AD1" w14:textId="77777777" w:rsidR="001D6BCF" w:rsidRPr="002549C4" w:rsidRDefault="001D6BCF" w:rsidP="001D6BCF">
      <w:pPr>
        <w:pStyle w:val="SingleTxtG"/>
        <w:spacing w:before="120"/>
      </w:pPr>
      <w:r w:rsidRPr="002549C4">
        <w:t xml:space="preserve">For “RADIOACTIVE MATERIAL, SURFACE CONTAMINATED OBJECTS (SCO-I or SCO-II), </w:t>
      </w:r>
      <w:proofErr w:type="spellStart"/>
      <w:r w:rsidRPr="002549C4">
        <w:t>non fissile</w:t>
      </w:r>
      <w:proofErr w:type="spellEnd"/>
      <w:r w:rsidRPr="002549C4">
        <w:t xml:space="preserve"> or fissile-excepted”, replace “(SCO-I or SCO-II)” by “(SCO-I, SCO-II or SCO-III)”.</w:t>
      </w:r>
    </w:p>
    <w:p w14:paraId="41D15E8E" w14:textId="77777777" w:rsidR="001D6BCF" w:rsidRPr="00C12A2D" w:rsidRDefault="001D6BCF" w:rsidP="001D6BCF">
      <w:pPr>
        <w:pStyle w:val="SingleTxtG"/>
        <w:rPr>
          <w:i/>
          <w:iCs/>
        </w:rPr>
      </w:pPr>
      <w:r w:rsidRPr="00C12A2D">
        <w:rPr>
          <w:i/>
          <w:iCs/>
        </w:rPr>
        <w:t>(Reference document: informal document INF.20)</w:t>
      </w:r>
    </w:p>
    <w:p w14:paraId="18254422" w14:textId="77777777" w:rsidR="001D6BCF" w:rsidRPr="00BE6453" w:rsidRDefault="001D6BCF" w:rsidP="001D6BCF">
      <w:pPr>
        <w:pStyle w:val="H23G"/>
      </w:pPr>
      <w:r w:rsidRPr="00C12A2D">
        <w:tab/>
      </w:r>
      <w:r w:rsidRPr="00C12A2D">
        <w:tab/>
      </w:r>
      <w:r w:rsidRPr="00BE6453">
        <w:t>Chapter 4.1</w:t>
      </w:r>
    </w:p>
    <w:p w14:paraId="68B377F5" w14:textId="77777777" w:rsidR="001D6BCF" w:rsidRPr="00177194" w:rsidRDefault="001D6BCF" w:rsidP="001D6BCF">
      <w:pPr>
        <w:pStyle w:val="SingleTxtG"/>
      </w:pPr>
      <w:r w:rsidRPr="00177194">
        <w:t>4.1.4.1, P200 (13) 2.4</w:t>
      </w:r>
      <w:r w:rsidRPr="00177194">
        <w:tab/>
        <w:t>Replace “EN 11114-2:2013” by “EN ISO 11114-2:2013”.</w:t>
      </w:r>
    </w:p>
    <w:p w14:paraId="480DE744" w14:textId="77777777" w:rsidR="001D6BCF" w:rsidRPr="00177194" w:rsidRDefault="001D6BCF" w:rsidP="001D6BCF">
      <w:pPr>
        <w:pStyle w:val="SingleTxtG"/>
        <w:rPr>
          <w:i/>
          <w:iCs/>
        </w:rPr>
      </w:pPr>
      <w:r w:rsidRPr="00177194">
        <w:rPr>
          <w:i/>
          <w:iCs/>
        </w:rPr>
        <w:t>(Reference document: informal document INF.50)</w:t>
      </w:r>
    </w:p>
    <w:p w14:paraId="586DFFCE" w14:textId="77777777" w:rsidR="001D6BCF" w:rsidRPr="00177194" w:rsidRDefault="001D6BCF" w:rsidP="001D6BCF">
      <w:pPr>
        <w:pStyle w:val="SingleTxtG"/>
      </w:pPr>
      <w:r w:rsidRPr="00177194">
        <w:t>4.1.6.15, in the table:</w:t>
      </w:r>
    </w:p>
    <w:p w14:paraId="0EFB7574" w14:textId="77777777" w:rsidR="001D6BCF" w:rsidRPr="00177194" w:rsidRDefault="001D6BCF" w:rsidP="001D6BCF">
      <w:pPr>
        <w:pStyle w:val="Bullet1G"/>
        <w:numPr>
          <w:ilvl w:val="0"/>
          <w:numId w:val="34"/>
        </w:numPr>
        <w:tabs>
          <w:tab w:val="clear" w:pos="1701"/>
        </w:tabs>
        <w:kinsoku w:val="0"/>
        <w:overflowPunct w:val="0"/>
        <w:autoSpaceDE w:val="0"/>
        <w:autoSpaceDN w:val="0"/>
        <w:adjustRightInd w:val="0"/>
        <w:snapToGrid w:val="0"/>
        <w:ind w:left="2268"/>
      </w:pPr>
      <w:r w:rsidRPr="00177194">
        <w:lastRenderedPageBreak/>
        <w:t>For “4.1.6.2”, in the second column, replace “ISO 11114-2:2013” by “EN ISO 11114-2:2013”.</w:t>
      </w:r>
    </w:p>
    <w:p w14:paraId="5FD5A108" w14:textId="77777777" w:rsidR="001D6BCF" w:rsidRPr="00177194" w:rsidRDefault="001D6BCF" w:rsidP="001D6BCF">
      <w:pPr>
        <w:pStyle w:val="Bullet1G"/>
        <w:numPr>
          <w:ilvl w:val="0"/>
          <w:numId w:val="34"/>
        </w:numPr>
        <w:tabs>
          <w:tab w:val="clear" w:pos="1701"/>
        </w:tabs>
        <w:kinsoku w:val="0"/>
        <w:overflowPunct w:val="0"/>
        <w:autoSpaceDE w:val="0"/>
        <w:autoSpaceDN w:val="0"/>
        <w:adjustRightInd w:val="0"/>
        <w:snapToGrid w:val="0"/>
        <w:ind w:left="2268"/>
      </w:pPr>
      <w:r w:rsidRPr="00177194">
        <w:t>For “4.1.6.4”, in the second column, replace “ISO 11621:1997” by “ISO 11621:1997 or EN ISO 11621:2005”. Delete the note in the third column.</w:t>
      </w:r>
    </w:p>
    <w:p w14:paraId="218F8B19" w14:textId="77777777" w:rsidR="001D6BCF" w:rsidRPr="00177194" w:rsidRDefault="001D6BCF" w:rsidP="001D6BCF">
      <w:pPr>
        <w:pStyle w:val="Bullet1G"/>
        <w:numPr>
          <w:ilvl w:val="0"/>
          <w:numId w:val="34"/>
        </w:numPr>
        <w:tabs>
          <w:tab w:val="clear" w:pos="1701"/>
        </w:tabs>
        <w:kinsoku w:val="0"/>
        <w:overflowPunct w:val="0"/>
        <w:autoSpaceDE w:val="0"/>
        <w:autoSpaceDN w:val="0"/>
        <w:adjustRightInd w:val="0"/>
        <w:snapToGrid w:val="0"/>
        <w:ind w:left="2268"/>
      </w:pPr>
      <w:r w:rsidRPr="00177194">
        <w:t>For “4.1.6.8 Valves with inherent protection”: In the first row, delete the note in the third column. In the third row, second column, replace “EN ISO 17879:2017” by “Annex A of EN ISO 17879:2017”.</w:t>
      </w:r>
    </w:p>
    <w:p w14:paraId="1AD7F3BC" w14:textId="77777777" w:rsidR="001D6BCF" w:rsidRPr="00177194" w:rsidRDefault="001D6BCF" w:rsidP="001D6BCF">
      <w:pPr>
        <w:pStyle w:val="Bullet1G"/>
        <w:numPr>
          <w:ilvl w:val="0"/>
          <w:numId w:val="34"/>
        </w:numPr>
        <w:tabs>
          <w:tab w:val="clear" w:pos="1701"/>
        </w:tabs>
        <w:kinsoku w:val="0"/>
        <w:overflowPunct w:val="0"/>
        <w:autoSpaceDE w:val="0"/>
        <w:autoSpaceDN w:val="0"/>
        <w:adjustRightInd w:val="0"/>
        <w:snapToGrid w:val="0"/>
        <w:ind w:left="2268"/>
      </w:pPr>
      <w:r w:rsidRPr="00177194">
        <w:t>For “4.1.6.8 (b) and (c)”, Replace “ISO 11117:1998 or ISO 11117:2008 + Cor 1:2009” by “</w:t>
      </w:r>
      <w:r w:rsidRPr="00177194">
        <w:rPr>
          <w:bCs/>
        </w:rPr>
        <w:t xml:space="preserve">ISO 11117:1998 or </w:t>
      </w:r>
      <w:r w:rsidRPr="00177194">
        <w:t>EN</w:t>
      </w:r>
      <w:r w:rsidRPr="00177194">
        <w:rPr>
          <w:b/>
          <w:bCs/>
        </w:rPr>
        <w:t xml:space="preserve"> </w:t>
      </w:r>
      <w:r w:rsidRPr="00177194">
        <w:rPr>
          <w:bCs/>
        </w:rPr>
        <w:t>ISO 11117:2008 + Cor 1:2009”.</w:t>
      </w:r>
    </w:p>
    <w:p w14:paraId="69AE28DE" w14:textId="77777777" w:rsidR="001D6BCF" w:rsidRPr="00177194" w:rsidRDefault="001D6BCF" w:rsidP="001D6BCF">
      <w:pPr>
        <w:pStyle w:val="SingleTxtG"/>
        <w:rPr>
          <w:i/>
          <w:iCs/>
        </w:rPr>
      </w:pPr>
      <w:r w:rsidRPr="00177194">
        <w:rPr>
          <w:i/>
          <w:iCs/>
        </w:rPr>
        <w:t>(Reference document: informal document INF.50, as amended)</w:t>
      </w:r>
    </w:p>
    <w:p w14:paraId="5962C7FB" w14:textId="77777777" w:rsidR="001D6BCF" w:rsidRPr="00BE6453" w:rsidRDefault="001D6BCF" w:rsidP="001D6BCF">
      <w:pPr>
        <w:pStyle w:val="SingleTxtG"/>
        <w:ind w:left="2268" w:hanging="1134"/>
      </w:pPr>
      <w:r w:rsidRPr="00BE6453">
        <w:t>4.1.8.6</w:t>
      </w:r>
      <w:r w:rsidRPr="00BE6453">
        <w:tab/>
        <w:t>At the end of the sentence, add “, nor to UN No. 3549 MEDICAL WASTE, CATEGORY A, AFFECTING HUMANS or MEDICAL WASTE, CATEGORY A, AFFECTING ANIMALS”.</w:t>
      </w:r>
    </w:p>
    <w:p w14:paraId="3D9EC146" w14:textId="77777777" w:rsidR="001D6BCF" w:rsidRPr="00C12A2D" w:rsidRDefault="001D6BCF" w:rsidP="001D6BCF">
      <w:pPr>
        <w:pStyle w:val="SingleTxtG"/>
        <w:rPr>
          <w:i/>
          <w:iCs/>
        </w:rPr>
      </w:pPr>
      <w:r w:rsidRPr="00BE6453">
        <w:rPr>
          <w:i/>
          <w:iCs/>
        </w:rPr>
        <w:t>(Reference document: informal document INF.30, proposal 1)</w:t>
      </w:r>
    </w:p>
    <w:p w14:paraId="0E697326" w14:textId="77777777" w:rsidR="001D6BCF" w:rsidRPr="002B7E74" w:rsidRDefault="001D6BCF" w:rsidP="001D6BCF">
      <w:pPr>
        <w:pStyle w:val="H23G"/>
      </w:pPr>
      <w:r w:rsidRPr="002B7E74">
        <w:tab/>
      </w:r>
      <w:r w:rsidRPr="002B7E74">
        <w:tab/>
        <w:t xml:space="preserve">Chapter </w:t>
      </w:r>
      <w:r>
        <w:t>5.5</w:t>
      </w:r>
    </w:p>
    <w:p w14:paraId="7E732EAD" w14:textId="77777777" w:rsidR="001D6BCF" w:rsidRDefault="001D6BCF" w:rsidP="001D6BCF">
      <w:pPr>
        <w:pStyle w:val="SingleTxtG"/>
        <w:ind w:left="2268" w:hanging="1134"/>
      </w:pPr>
      <w:r>
        <w:t>5.5.3</w:t>
      </w:r>
      <w:r>
        <w:tab/>
      </w:r>
      <w:r>
        <w:tab/>
        <w:t>In the title, after “applicable to”, add “the carriage of dry ice (UN 1845) and to”.</w:t>
      </w:r>
    </w:p>
    <w:p w14:paraId="23D293B1" w14:textId="77777777" w:rsidR="001D6BCF" w:rsidRDefault="001D6BCF" w:rsidP="001D6BCF">
      <w:pPr>
        <w:pStyle w:val="SingleTxtG"/>
      </w:pPr>
      <w:r w:rsidRPr="00A428BE">
        <w:t>5.5.3.2.1</w:t>
      </w:r>
      <w:r w:rsidRPr="00A428BE">
        <w:tab/>
      </w:r>
      <w:r>
        <w:t>After “</w:t>
      </w:r>
      <w:r w:rsidRPr="00A428BE">
        <w:t>containers</w:t>
      </w:r>
      <w:r>
        <w:t>”, add</w:t>
      </w:r>
      <w:r w:rsidRPr="00A428BE">
        <w:t xml:space="preserve"> </w:t>
      </w:r>
      <w:r>
        <w:t>“</w:t>
      </w:r>
      <w:r w:rsidRPr="00A428BE">
        <w:t>in which dry ice (UN 1845) is</w:t>
      </w:r>
      <w:r>
        <w:t xml:space="preserve"> </w:t>
      </w:r>
      <w:r w:rsidRPr="00A428BE">
        <w:t>carried or</w:t>
      </w:r>
      <w:r>
        <w:t>”.</w:t>
      </w:r>
    </w:p>
    <w:p w14:paraId="6078B60E" w14:textId="77777777" w:rsidR="001D6BCF" w:rsidRDefault="001D6BCF" w:rsidP="001D6BCF">
      <w:pPr>
        <w:pStyle w:val="SingleTxtG"/>
      </w:pPr>
      <w:r w:rsidRPr="00A428BE">
        <w:t>5.5.3.2.4</w:t>
      </w:r>
      <w:r w:rsidRPr="00A428BE">
        <w:tab/>
      </w:r>
      <w:r>
        <w:t>After “</w:t>
      </w:r>
      <w:r w:rsidRPr="00A428BE">
        <w:t>containers</w:t>
      </w:r>
      <w:r>
        <w:t>”, add</w:t>
      </w:r>
      <w:r w:rsidRPr="00A428BE">
        <w:t xml:space="preserve"> </w:t>
      </w:r>
      <w:r>
        <w:t>“</w:t>
      </w:r>
      <w:r w:rsidRPr="00A428BE">
        <w:t>in which dry ice (UN 1845) is carried or</w:t>
      </w:r>
      <w:r>
        <w:t>”.</w:t>
      </w:r>
      <w:r w:rsidRPr="008C4DEF">
        <w:t xml:space="preserve"> </w:t>
      </w:r>
    </w:p>
    <w:p w14:paraId="11ED1F3D" w14:textId="77777777" w:rsidR="001D6BCF" w:rsidRPr="002B7E74" w:rsidRDefault="001D6BCF" w:rsidP="001D6BCF">
      <w:pPr>
        <w:pStyle w:val="SingleTxtG"/>
      </w:pPr>
      <w:r w:rsidRPr="00A428BE">
        <w:t>5.5.3.3</w:t>
      </w:r>
      <w:r>
        <w:tab/>
      </w:r>
      <w:r>
        <w:tab/>
        <w:t>After “</w:t>
      </w:r>
      <w:r w:rsidRPr="00A428BE">
        <w:t>Packages containing</w:t>
      </w:r>
      <w:r>
        <w:t>”, add</w:t>
      </w:r>
      <w:r w:rsidRPr="00A428BE">
        <w:t xml:space="preserve"> </w:t>
      </w:r>
      <w:r>
        <w:t>“</w:t>
      </w:r>
      <w:r w:rsidRPr="00A428BE">
        <w:t>dry ice (UN 1845) or</w:t>
      </w:r>
      <w:r>
        <w:t>”.</w:t>
      </w:r>
    </w:p>
    <w:p w14:paraId="50D42D11" w14:textId="77777777" w:rsidR="001D6BCF" w:rsidRPr="002B7E74" w:rsidRDefault="001D6BCF" w:rsidP="001D6BCF">
      <w:pPr>
        <w:pStyle w:val="SingleTxtG"/>
      </w:pPr>
      <w:r w:rsidRPr="00A428BE">
        <w:t>5.5.3.3</w:t>
      </w:r>
      <w:r>
        <w:t>.3</w:t>
      </w:r>
      <w:r>
        <w:tab/>
        <w:t>After “</w:t>
      </w:r>
      <w:r w:rsidRPr="00A428BE">
        <w:t>Packages containing</w:t>
      </w:r>
      <w:r>
        <w:t>”, add</w:t>
      </w:r>
      <w:r w:rsidRPr="00A428BE">
        <w:t xml:space="preserve"> </w:t>
      </w:r>
      <w:r>
        <w:t>“</w:t>
      </w:r>
      <w:r w:rsidRPr="00A428BE">
        <w:t>dry ice (UN 1845) or</w:t>
      </w:r>
      <w:r>
        <w:t>”.</w:t>
      </w:r>
    </w:p>
    <w:p w14:paraId="76D1D112" w14:textId="77777777" w:rsidR="001D6BCF" w:rsidRDefault="001D6BCF" w:rsidP="001D6BCF">
      <w:pPr>
        <w:pStyle w:val="SingleTxtG"/>
      </w:pPr>
      <w:r w:rsidRPr="00A428BE">
        <w:t>5.5.3</w:t>
      </w:r>
      <w:r>
        <w:t>.4</w:t>
      </w:r>
      <w:r>
        <w:tab/>
      </w:r>
      <w:r>
        <w:tab/>
        <w:t>In the title, after “</w:t>
      </w:r>
      <w:r w:rsidRPr="00A428BE">
        <w:t>Packages containing</w:t>
      </w:r>
      <w:r>
        <w:t>”, add</w:t>
      </w:r>
      <w:r w:rsidRPr="00A428BE">
        <w:t xml:space="preserve"> </w:t>
      </w:r>
      <w:r>
        <w:t>“</w:t>
      </w:r>
      <w:r w:rsidRPr="00A428BE">
        <w:t>dry ice (UN 1845) or</w:t>
      </w:r>
      <w:r>
        <w:t>”.</w:t>
      </w:r>
    </w:p>
    <w:p w14:paraId="6A4E8EF5" w14:textId="77777777" w:rsidR="001D6BCF" w:rsidRDefault="001D6BCF" w:rsidP="001D6BCF">
      <w:pPr>
        <w:pStyle w:val="SingleTxtG"/>
        <w:ind w:left="2268" w:hanging="1134"/>
      </w:pPr>
      <w:r w:rsidRPr="000813CE">
        <w:t>5.5.3.4.1</w:t>
      </w:r>
      <w:r w:rsidRPr="000813CE">
        <w:tab/>
      </w:r>
      <w:r>
        <w:t xml:space="preserve">At the beginning of the first sentence, replace </w:t>
      </w:r>
      <w:r>
        <w:rPr>
          <w:lang w:val="en-US"/>
        </w:rPr>
        <w:t>“Packages” by</w:t>
      </w:r>
      <w:r>
        <w:t xml:space="preserve"> “</w:t>
      </w:r>
      <w:r w:rsidRPr="000813CE">
        <w:t>Packages containing dry ice (UN 1845) as a consignment shall be marked "CARBON DIOXIDE, SOLID" or "DRY ICE";</w:t>
      </w:r>
      <w:r>
        <w:t xml:space="preserve"> packages”.</w:t>
      </w:r>
    </w:p>
    <w:p w14:paraId="62CF2ABD" w14:textId="77777777" w:rsidR="001D6BCF" w:rsidRPr="002B7E74" w:rsidRDefault="001D6BCF" w:rsidP="001D6BCF">
      <w:pPr>
        <w:pStyle w:val="SingleTxtG"/>
      </w:pPr>
      <w:r w:rsidRPr="00A428BE">
        <w:t>5.5.3</w:t>
      </w:r>
      <w:r>
        <w:t>.6.1</w:t>
      </w:r>
      <w:r>
        <w:tab/>
        <w:t>After “containers</w:t>
      </w:r>
      <w:r w:rsidRPr="00A428BE">
        <w:t xml:space="preserve"> containing</w:t>
      </w:r>
      <w:r>
        <w:t>”, add</w:t>
      </w:r>
      <w:r w:rsidRPr="00A428BE">
        <w:t xml:space="preserve"> </w:t>
      </w:r>
      <w:r>
        <w:t>“</w:t>
      </w:r>
      <w:r w:rsidRPr="00A428BE">
        <w:t>dry ice (UN 1845) or</w:t>
      </w:r>
      <w:r>
        <w:t>”.</w:t>
      </w:r>
    </w:p>
    <w:p w14:paraId="40A7776A" w14:textId="77777777" w:rsidR="001D6BCF" w:rsidRPr="002B7E74" w:rsidRDefault="001D6BCF" w:rsidP="001D6BCF">
      <w:pPr>
        <w:pStyle w:val="SingleTxtG"/>
      </w:pPr>
      <w:r w:rsidRPr="00A428BE">
        <w:t>5.5.3</w:t>
      </w:r>
      <w:r>
        <w:t>.6.1 (a)</w:t>
      </w:r>
      <w:r>
        <w:tab/>
        <w:t>After “harmful concentrations of”, add</w:t>
      </w:r>
      <w:r w:rsidRPr="00A428BE">
        <w:t xml:space="preserve"> </w:t>
      </w:r>
      <w:r>
        <w:t>“</w:t>
      </w:r>
      <w:r w:rsidRPr="00A428BE">
        <w:t>dry ice (UN 1845) or</w:t>
      </w:r>
      <w:r>
        <w:t>”.</w:t>
      </w:r>
    </w:p>
    <w:p w14:paraId="739D06C7" w14:textId="77777777" w:rsidR="001D6BCF" w:rsidRPr="002B7E74" w:rsidRDefault="001D6BCF" w:rsidP="001D6BCF">
      <w:pPr>
        <w:pStyle w:val="SingleTxtG"/>
      </w:pPr>
      <w:r w:rsidRPr="00A428BE">
        <w:t>5.5.3</w:t>
      </w:r>
      <w:r>
        <w:t>.6.1 (b)</w:t>
      </w:r>
      <w:r>
        <w:tab/>
        <w:t>Replace “The cooled” by “</w:t>
      </w:r>
      <w:r>
        <w:rPr>
          <w:lang w:val="en-US"/>
        </w:rPr>
        <w:t xml:space="preserve">The </w:t>
      </w:r>
      <w:r w:rsidRPr="00A428BE">
        <w:t>dry ice (UN 1845) or</w:t>
      </w:r>
      <w:r>
        <w:t xml:space="preserve"> cooled”.</w:t>
      </w:r>
    </w:p>
    <w:p w14:paraId="6A1A085C" w14:textId="77777777" w:rsidR="001D6BCF" w:rsidRPr="002B7E74" w:rsidRDefault="001D6BCF" w:rsidP="001D6BCF">
      <w:pPr>
        <w:pStyle w:val="SingleTxtG"/>
      </w:pPr>
      <w:r w:rsidRPr="00A428BE">
        <w:t>5.5.3</w:t>
      </w:r>
      <w:r>
        <w:t>.7.1</w:t>
      </w:r>
      <w:r>
        <w:tab/>
        <w:t>After “having contained”, add</w:t>
      </w:r>
      <w:r w:rsidRPr="00A428BE">
        <w:t xml:space="preserve"> </w:t>
      </w:r>
      <w:r>
        <w:t>“</w:t>
      </w:r>
      <w:r w:rsidRPr="00A428BE">
        <w:t>dry ice (UN 1845) or</w:t>
      </w:r>
      <w:r>
        <w:t>”.</w:t>
      </w:r>
    </w:p>
    <w:p w14:paraId="03BFAC3C" w14:textId="77777777" w:rsidR="001D6BCF" w:rsidRPr="002B7E74" w:rsidRDefault="001D6BCF" w:rsidP="001D6BCF">
      <w:pPr>
        <w:pStyle w:val="SingleTxtG"/>
        <w:ind w:left="2268" w:hanging="1134"/>
      </w:pPr>
      <w:r w:rsidRPr="00A428BE">
        <w:t>5.5.3</w:t>
      </w:r>
      <w:r>
        <w:t>.7.1 (b)</w:t>
      </w:r>
      <w:r>
        <w:tab/>
        <w:t>After “Chapter 3.2 followed”, add</w:t>
      </w:r>
      <w:r w:rsidRPr="00A428BE">
        <w:t xml:space="preserve"> </w:t>
      </w:r>
      <w:r>
        <w:t>“, where appropriate”. After “</w:t>
      </w:r>
      <w:r w:rsidRPr="00F03EF3">
        <w:t>"AS CONDITIONER"</w:t>
      </w:r>
      <w:r>
        <w:t>”, remove “as appropriate”.</w:t>
      </w:r>
    </w:p>
    <w:p w14:paraId="6B3F221B"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w:t>
      </w:r>
      <w:r w:rsidRPr="00196E20">
        <w:rPr>
          <w:i/>
          <w:iCs/>
        </w:rPr>
        <w:t>NF.48, as amended)</w:t>
      </w:r>
    </w:p>
    <w:p w14:paraId="700C5B5E" w14:textId="77777777" w:rsidR="001D6BCF" w:rsidRPr="002B7E74" w:rsidRDefault="001D6BCF" w:rsidP="001D6BCF">
      <w:pPr>
        <w:pStyle w:val="H23G"/>
      </w:pPr>
      <w:r w:rsidRPr="002B7E74">
        <w:tab/>
      </w:r>
      <w:r w:rsidRPr="002B7E74">
        <w:tab/>
        <w:t xml:space="preserve">Chapter </w:t>
      </w:r>
      <w:r>
        <w:t>6.2</w:t>
      </w:r>
    </w:p>
    <w:p w14:paraId="251A2534" w14:textId="77777777" w:rsidR="001D6BCF" w:rsidRDefault="001D6BCF" w:rsidP="001D6BCF">
      <w:pPr>
        <w:pStyle w:val="SingleTxtG"/>
      </w:pPr>
      <w:r>
        <w:rPr>
          <w:lang w:val="en-US"/>
        </w:rPr>
        <w:t xml:space="preserve">(RID/ADR:) </w:t>
      </w:r>
      <w:r>
        <w:t>6.2.2.11</w:t>
      </w:r>
      <w:r>
        <w:tab/>
        <w:t>After the table, add the following sentence:</w:t>
      </w:r>
    </w:p>
    <w:p w14:paraId="7711FFB3" w14:textId="77777777" w:rsidR="001D6BCF" w:rsidRPr="002B7E74" w:rsidRDefault="001D6BCF" w:rsidP="001D6BCF">
      <w:pPr>
        <w:pStyle w:val="SingleTxtG"/>
      </w:pPr>
      <w:r>
        <w:t>“For refillable pressure receptacles, the conformity assessment of valves and other demountable accessories having a direct safety function may be carried out separately from that of the pressure receptacles.”</w:t>
      </w:r>
    </w:p>
    <w:p w14:paraId="088B5EA2" w14:textId="77777777" w:rsidR="001D6BCF" w:rsidRPr="002B7E74" w:rsidRDefault="001D6BCF" w:rsidP="001D6BCF">
      <w:pPr>
        <w:pStyle w:val="SingleTxtG"/>
        <w:rPr>
          <w:i/>
          <w:iCs/>
        </w:rPr>
      </w:pPr>
      <w:r w:rsidRPr="002B7E74">
        <w:rPr>
          <w:i/>
          <w:iCs/>
        </w:rPr>
        <w:t xml:space="preserve">(Reference document: </w:t>
      </w:r>
      <w:r w:rsidRPr="002E7E29">
        <w:rPr>
          <w:i/>
          <w:iCs/>
        </w:rPr>
        <w:t>ECE/TRANS/WP.15/AC.1/2019/</w:t>
      </w:r>
      <w:r>
        <w:rPr>
          <w:i/>
          <w:iCs/>
        </w:rPr>
        <w:t>29</w:t>
      </w:r>
      <w:r w:rsidRPr="002B7E74">
        <w:rPr>
          <w:i/>
          <w:iCs/>
        </w:rPr>
        <w:t>)</w:t>
      </w:r>
    </w:p>
    <w:p w14:paraId="65BA0FD7" w14:textId="77777777" w:rsidR="001D6BCF" w:rsidRPr="00917A82" w:rsidRDefault="001D6BCF" w:rsidP="001D6BCF">
      <w:pPr>
        <w:pStyle w:val="SingleTxtG"/>
        <w:tabs>
          <w:tab w:val="left" w:pos="2268"/>
        </w:tabs>
      </w:pPr>
      <w:r w:rsidRPr="00917A82">
        <w:t>6.2.4.1</w:t>
      </w:r>
      <w:r w:rsidRPr="00917A82">
        <w:tab/>
        <w:t>In the table, under “for design and construction”:</w:t>
      </w:r>
    </w:p>
    <w:p w14:paraId="2DFEA4A4" w14:textId="77777777" w:rsidR="001D6BCF" w:rsidRPr="00917A82" w:rsidRDefault="001D6BCF" w:rsidP="001D6BCF">
      <w:pPr>
        <w:pStyle w:val="Bullet1G"/>
        <w:numPr>
          <w:ilvl w:val="0"/>
          <w:numId w:val="34"/>
        </w:numPr>
        <w:tabs>
          <w:tab w:val="clear" w:pos="1701"/>
        </w:tabs>
        <w:kinsoku w:val="0"/>
        <w:overflowPunct w:val="0"/>
        <w:autoSpaceDE w:val="0"/>
        <w:autoSpaceDN w:val="0"/>
        <w:adjustRightInd w:val="0"/>
        <w:snapToGrid w:val="0"/>
      </w:pPr>
      <w:r w:rsidRPr="00917A82">
        <w:lastRenderedPageBreak/>
        <w:t>For “</w:t>
      </w:r>
      <w:r w:rsidRPr="00917A82">
        <w:rPr>
          <w:bCs/>
        </w:rPr>
        <w:t>EN ISO 9809-1:2010</w:t>
      </w:r>
      <w:r w:rsidRPr="00917A82">
        <w:t>”, in column (4), replace “Until further notice” by “Between 1 January 2013 and 31 December 2022”. After the row for “</w:t>
      </w:r>
      <w:r w:rsidRPr="00917A82">
        <w:rPr>
          <w:bCs/>
        </w:rPr>
        <w:t>EN ISO 9809-1:2010</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1D6BCF" w:rsidRPr="00917A82" w14:paraId="4B162E6A" w14:textId="77777777" w:rsidTr="00B77AB2">
        <w:tc>
          <w:tcPr>
            <w:tcW w:w="1558" w:type="dxa"/>
            <w:shd w:val="clear" w:color="auto" w:fill="auto"/>
          </w:tcPr>
          <w:p w14:paraId="1CFEF2E2" w14:textId="77777777" w:rsidR="001D6BCF" w:rsidRPr="00917A82" w:rsidRDefault="001D6BCF" w:rsidP="00B77AB2">
            <w:pPr>
              <w:keepNext/>
              <w:spacing w:line="240" w:lineRule="auto"/>
              <w:ind w:hanging="22"/>
              <w:rPr>
                <w:bCs/>
              </w:rPr>
            </w:pPr>
            <w:r w:rsidRPr="00917A82">
              <w:rPr>
                <w:bCs/>
              </w:rPr>
              <w:t>EN ISO 9809-1:2019</w:t>
            </w:r>
          </w:p>
        </w:tc>
        <w:tc>
          <w:tcPr>
            <w:tcW w:w="4254" w:type="dxa"/>
            <w:shd w:val="clear" w:color="auto" w:fill="auto"/>
          </w:tcPr>
          <w:p w14:paraId="7BB890A1" w14:textId="77777777" w:rsidR="001D6BCF" w:rsidRPr="00917A82" w:rsidRDefault="001D6BCF" w:rsidP="00B77AB2">
            <w:pPr>
              <w:keepNext/>
              <w:spacing w:line="240" w:lineRule="auto"/>
              <w:ind w:hanging="22"/>
              <w:rPr>
                <w:bCs/>
              </w:rPr>
            </w:pPr>
            <w:r w:rsidRPr="00917A82">
              <w:t>Gas cylinders - Design, construction and testing of refillable seamless steel gas cylinders and tubes - Part 1: Quenched and tempered steel cylinders and tubes with tensile strength less than 1100 MPa</w:t>
            </w:r>
          </w:p>
        </w:tc>
        <w:tc>
          <w:tcPr>
            <w:tcW w:w="1186" w:type="dxa"/>
            <w:shd w:val="clear" w:color="auto" w:fill="auto"/>
          </w:tcPr>
          <w:p w14:paraId="72916A18" w14:textId="77777777" w:rsidR="001D6BCF" w:rsidRPr="00917A82" w:rsidRDefault="001D6BCF" w:rsidP="00B77AB2">
            <w:pPr>
              <w:spacing w:line="240" w:lineRule="auto"/>
              <w:jc w:val="center"/>
              <w:rPr>
                <w:bCs/>
              </w:rPr>
            </w:pPr>
            <w:r w:rsidRPr="00917A82">
              <w:rPr>
                <w:bCs/>
              </w:rPr>
              <w:t>6.2.3.1 and 6.2.3.4</w:t>
            </w:r>
          </w:p>
        </w:tc>
        <w:tc>
          <w:tcPr>
            <w:tcW w:w="1507" w:type="dxa"/>
            <w:shd w:val="clear" w:color="auto" w:fill="auto"/>
          </w:tcPr>
          <w:p w14:paraId="4FA0136D" w14:textId="77777777" w:rsidR="001D6BCF" w:rsidRPr="00917A82" w:rsidRDefault="001D6BCF" w:rsidP="00B77AB2">
            <w:pPr>
              <w:spacing w:line="240" w:lineRule="auto"/>
              <w:jc w:val="center"/>
            </w:pPr>
            <w:r w:rsidRPr="00917A82">
              <w:t>Until further notice</w:t>
            </w:r>
          </w:p>
        </w:tc>
      </w:tr>
    </w:tbl>
    <w:p w14:paraId="2CFF6EFA" w14:textId="77777777" w:rsidR="001D6BCF" w:rsidRPr="00917A82" w:rsidRDefault="001D6BCF" w:rsidP="001D6BCF">
      <w:pPr>
        <w:pStyle w:val="Bullet1G"/>
        <w:numPr>
          <w:ilvl w:val="0"/>
          <w:numId w:val="34"/>
        </w:numPr>
        <w:kinsoku w:val="0"/>
        <w:overflowPunct w:val="0"/>
        <w:autoSpaceDE w:val="0"/>
        <w:autoSpaceDN w:val="0"/>
        <w:adjustRightInd w:val="0"/>
        <w:snapToGrid w:val="0"/>
        <w:spacing w:before="120"/>
      </w:pPr>
      <w:bookmarkStart w:id="8" w:name="_Hlk20298360"/>
      <w:r w:rsidRPr="00917A82">
        <w:t>For “E</w:t>
      </w:r>
      <w:r w:rsidRPr="00917A82">
        <w:rPr>
          <w:bCs/>
        </w:rPr>
        <w:t>N ISO 9809-2:2010</w:t>
      </w:r>
      <w:r w:rsidRPr="00917A82">
        <w:t>”, in column (4), replace “Until further notice” by “Between 1 January 2013 and 31 December 2022”. After the row for “</w:t>
      </w:r>
      <w:r w:rsidRPr="00917A82">
        <w:rPr>
          <w:bCs/>
        </w:rPr>
        <w:t>EN ISO 9809-2:2010</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1D6BCF" w:rsidRPr="00917A82" w14:paraId="35594A7B" w14:textId="77777777" w:rsidTr="00B77AB2">
        <w:tc>
          <w:tcPr>
            <w:tcW w:w="1558" w:type="dxa"/>
            <w:shd w:val="clear" w:color="auto" w:fill="auto"/>
          </w:tcPr>
          <w:p w14:paraId="5E5137D2" w14:textId="77777777" w:rsidR="001D6BCF" w:rsidRPr="00917A82" w:rsidRDefault="001D6BCF" w:rsidP="00B77AB2">
            <w:pPr>
              <w:keepNext/>
              <w:spacing w:line="240" w:lineRule="auto"/>
              <w:ind w:hanging="22"/>
              <w:rPr>
                <w:bCs/>
              </w:rPr>
            </w:pPr>
            <w:r w:rsidRPr="00917A82">
              <w:rPr>
                <w:bCs/>
              </w:rPr>
              <w:t>EN ISO 9809-2:2019</w:t>
            </w:r>
          </w:p>
        </w:tc>
        <w:tc>
          <w:tcPr>
            <w:tcW w:w="4254" w:type="dxa"/>
            <w:shd w:val="clear" w:color="auto" w:fill="auto"/>
          </w:tcPr>
          <w:p w14:paraId="6CD76CAC" w14:textId="77777777" w:rsidR="001D6BCF" w:rsidRPr="00917A82" w:rsidRDefault="001D6BCF" w:rsidP="00B77AB2">
            <w:pPr>
              <w:keepNext/>
              <w:spacing w:line="240" w:lineRule="auto"/>
              <w:ind w:hanging="22"/>
              <w:rPr>
                <w:bCs/>
              </w:rPr>
            </w:pPr>
            <w:r w:rsidRPr="00917A82">
              <w:t>Gas cylinders - Design, construction and testing of refillable seamless steel gas cylinders and tubes - Part 2: Quenched and tempered steel cylinders and tubes with tensile strength greater than or equal to 1100 MPa</w:t>
            </w:r>
          </w:p>
        </w:tc>
        <w:tc>
          <w:tcPr>
            <w:tcW w:w="1186" w:type="dxa"/>
            <w:shd w:val="clear" w:color="auto" w:fill="auto"/>
          </w:tcPr>
          <w:p w14:paraId="1F70E637" w14:textId="77777777" w:rsidR="001D6BCF" w:rsidRPr="00917A82" w:rsidRDefault="001D6BCF" w:rsidP="00B77AB2">
            <w:pPr>
              <w:spacing w:line="240" w:lineRule="auto"/>
              <w:jc w:val="center"/>
              <w:rPr>
                <w:bCs/>
              </w:rPr>
            </w:pPr>
            <w:r w:rsidRPr="00917A82">
              <w:rPr>
                <w:bCs/>
              </w:rPr>
              <w:t>6.2.3.1 and 6.2.3.4</w:t>
            </w:r>
          </w:p>
        </w:tc>
        <w:tc>
          <w:tcPr>
            <w:tcW w:w="1507" w:type="dxa"/>
            <w:shd w:val="clear" w:color="auto" w:fill="auto"/>
          </w:tcPr>
          <w:p w14:paraId="493C9CD4" w14:textId="77777777" w:rsidR="001D6BCF" w:rsidRPr="00917A82" w:rsidRDefault="001D6BCF" w:rsidP="00B77AB2">
            <w:pPr>
              <w:spacing w:line="240" w:lineRule="auto"/>
              <w:jc w:val="center"/>
            </w:pPr>
            <w:r w:rsidRPr="00917A82">
              <w:t>Until further notice</w:t>
            </w:r>
          </w:p>
        </w:tc>
      </w:tr>
    </w:tbl>
    <w:bookmarkEnd w:id="8"/>
    <w:p w14:paraId="3D8B25E1" w14:textId="77777777" w:rsidR="001D6BCF" w:rsidRPr="00917A82" w:rsidRDefault="001D6BCF" w:rsidP="001D6BCF">
      <w:pPr>
        <w:pStyle w:val="Bullet1G"/>
        <w:numPr>
          <w:ilvl w:val="0"/>
          <w:numId w:val="34"/>
        </w:numPr>
        <w:kinsoku w:val="0"/>
        <w:overflowPunct w:val="0"/>
        <w:autoSpaceDE w:val="0"/>
        <w:autoSpaceDN w:val="0"/>
        <w:adjustRightInd w:val="0"/>
        <w:snapToGrid w:val="0"/>
        <w:spacing w:before="120"/>
      </w:pPr>
      <w:r w:rsidRPr="00917A82">
        <w:t>For “EN ISO 9809-3:2010”, in column (4), replace “Until further notice” by “Between 1 January 2013 and 31 December 2022”. After the row for “EN ISO 9809-3:2010”,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1D6BCF" w:rsidRPr="00917A82" w14:paraId="6EBC86DC" w14:textId="77777777" w:rsidTr="00B77AB2">
        <w:tc>
          <w:tcPr>
            <w:tcW w:w="1558" w:type="dxa"/>
            <w:shd w:val="clear" w:color="auto" w:fill="auto"/>
          </w:tcPr>
          <w:p w14:paraId="1E38F05F" w14:textId="77777777" w:rsidR="001D6BCF" w:rsidRPr="00917A82" w:rsidRDefault="001D6BCF" w:rsidP="00B77AB2">
            <w:pPr>
              <w:keepNext/>
              <w:spacing w:line="240" w:lineRule="auto"/>
              <w:ind w:hanging="22"/>
              <w:rPr>
                <w:bCs/>
              </w:rPr>
            </w:pPr>
            <w:r w:rsidRPr="00917A82">
              <w:rPr>
                <w:bCs/>
              </w:rPr>
              <w:t>EN ISO 9809-3:2019</w:t>
            </w:r>
          </w:p>
        </w:tc>
        <w:tc>
          <w:tcPr>
            <w:tcW w:w="4254" w:type="dxa"/>
            <w:shd w:val="clear" w:color="auto" w:fill="auto"/>
          </w:tcPr>
          <w:p w14:paraId="096A38DE" w14:textId="77777777" w:rsidR="001D6BCF" w:rsidRPr="00917A82" w:rsidRDefault="001D6BCF" w:rsidP="00B77AB2">
            <w:pPr>
              <w:keepNext/>
              <w:spacing w:line="240" w:lineRule="auto"/>
              <w:ind w:hanging="22"/>
              <w:rPr>
                <w:bCs/>
              </w:rPr>
            </w:pPr>
            <w:r w:rsidRPr="00917A82">
              <w:t>Gas cylinders - Design, construction and testing of refillable seamless steel gas cylinders and tubes - Part 3: Normalized steel cylinders and tubes</w:t>
            </w:r>
          </w:p>
        </w:tc>
        <w:tc>
          <w:tcPr>
            <w:tcW w:w="1186" w:type="dxa"/>
            <w:shd w:val="clear" w:color="auto" w:fill="auto"/>
          </w:tcPr>
          <w:p w14:paraId="4B1453A5" w14:textId="77777777" w:rsidR="001D6BCF" w:rsidRPr="00917A82" w:rsidRDefault="001D6BCF" w:rsidP="00B77AB2">
            <w:pPr>
              <w:spacing w:line="240" w:lineRule="auto"/>
              <w:jc w:val="center"/>
              <w:rPr>
                <w:bCs/>
              </w:rPr>
            </w:pPr>
            <w:r w:rsidRPr="00917A82">
              <w:rPr>
                <w:bCs/>
              </w:rPr>
              <w:t>6.2.3.1 and 6.2.3.4</w:t>
            </w:r>
          </w:p>
        </w:tc>
        <w:tc>
          <w:tcPr>
            <w:tcW w:w="1507" w:type="dxa"/>
            <w:shd w:val="clear" w:color="auto" w:fill="auto"/>
          </w:tcPr>
          <w:p w14:paraId="65D9C737" w14:textId="77777777" w:rsidR="001D6BCF" w:rsidRPr="00917A82" w:rsidRDefault="001D6BCF" w:rsidP="00B77AB2">
            <w:pPr>
              <w:spacing w:line="240" w:lineRule="auto"/>
              <w:jc w:val="center"/>
            </w:pPr>
            <w:r w:rsidRPr="00917A82">
              <w:t>Until further notice</w:t>
            </w:r>
          </w:p>
        </w:tc>
      </w:tr>
    </w:tbl>
    <w:p w14:paraId="518E85C1" w14:textId="77777777" w:rsidR="001D6BCF" w:rsidRPr="00917A82" w:rsidRDefault="001D6BCF" w:rsidP="001D6BCF">
      <w:pPr>
        <w:pStyle w:val="SingleTxtG"/>
        <w:spacing w:before="120"/>
        <w:rPr>
          <w:i/>
          <w:iCs/>
        </w:rPr>
      </w:pPr>
      <w:r w:rsidRPr="00917A82">
        <w:rPr>
          <w:i/>
          <w:iCs/>
        </w:rPr>
        <w:t>(Reference document: informal document INF.50, as amended)</w:t>
      </w:r>
    </w:p>
    <w:p w14:paraId="63AE233D" w14:textId="77777777" w:rsidR="001D6BCF" w:rsidRPr="00917A82" w:rsidRDefault="001D6BCF" w:rsidP="001D6BCF">
      <w:pPr>
        <w:tabs>
          <w:tab w:val="left" w:pos="426"/>
        </w:tabs>
        <w:spacing w:before="120" w:after="120"/>
        <w:ind w:left="1134"/>
        <w:rPr>
          <w:bCs/>
        </w:rPr>
      </w:pPr>
      <w:r w:rsidRPr="00917A82">
        <w:rPr>
          <w:bCs/>
        </w:rPr>
        <w:t>6.2.4.2</w:t>
      </w:r>
      <w:r w:rsidRPr="00917A82">
        <w:rPr>
          <w:bCs/>
        </w:rPr>
        <w:tab/>
      </w:r>
      <w:r w:rsidRPr="00917A82">
        <w:rPr>
          <w:bCs/>
        </w:rPr>
        <w:tab/>
        <w:t>In the table, under “Periodic inspection and test”:</w:t>
      </w:r>
    </w:p>
    <w:p w14:paraId="2A8ACB1B" w14:textId="77777777" w:rsidR="001D6BCF" w:rsidRPr="00917A82" w:rsidRDefault="001D6BCF" w:rsidP="001D6BCF">
      <w:pPr>
        <w:pStyle w:val="Bullet1G"/>
        <w:numPr>
          <w:ilvl w:val="0"/>
          <w:numId w:val="34"/>
        </w:numPr>
        <w:kinsoku w:val="0"/>
        <w:overflowPunct w:val="0"/>
        <w:autoSpaceDE w:val="0"/>
        <w:autoSpaceDN w:val="0"/>
        <w:adjustRightInd w:val="0"/>
        <w:snapToGrid w:val="0"/>
        <w:spacing w:before="120"/>
      </w:pPr>
      <w:r w:rsidRPr="00917A82">
        <w:t>For “EN ISO 10462:2013”, in column (3), replace “Until further notice” by “Until 31 December 2022”. After the row for “</w:t>
      </w:r>
      <w:r w:rsidRPr="00917A82">
        <w:rPr>
          <w:bCs/>
        </w:rPr>
        <w:t>EN ISO 10462:2013</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1D6BCF" w:rsidRPr="00917A82" w14:paraId="6DBD418D" w14:textId="77777777" w:rsidTr="00B77AB2">
        <w:tc>
          <w:tcPr>
            <w:tcW w:w="1843" w:type="dxa"/>
            <w:shd w:val="clear" w:color="auto" w:fill="auto"/>
          </w:tcPr>
          <w:p w14:paraId="299E8C86" w14:textId="77777777" w:rsidR="001D6BCF" w:rsidRPr="00917A82" w:rsidRDefault="001D6BCF" w:rsidP="00B77AB2">
            <w:pPr>
              <w:keepNext/>
              <w:spacing w:line="240" w:lineRule="auto"/>
              <w:ind w:hanging="22"/>
              <w:rPr>
                <w:bCs/>
              </w:rPr>
            </w:pPr>
            <w:r w:rsidRPr="00917A82">
              <w:rPr>
                <w:bCs/>
              </w:rPr>
              <w:t>EN ISO 10462:2013 + A1:2019</w:t>
            </w:r>
          </w:p>
        </w:tc>
        <w:tc>
          <w:tcPr>
            <w:tcW w:w="3827" w:type="dxa"/>
            <w:shd w:val="clear" w:color="auto" w:fill="auto"/>
          </w:tcPr>
          <w:p w14:paraId="4281AF9F" w14:textId="77777777" w:rsidR="001D6BCF" w:rsidRPr="00917A82" w:rsidRDefault="001D6BCF" w:rsidP="00B77AB2">
            <w:pPr>
              <w:keepNext/>
              <w:spacing w:line="240" w:lineRule="auto"/>
              <w:ind w:hanging="22"/>
              <w:rPr>
                <w:bCs/>
              </w:rPr>
            </w:pPr>
            <w:r w:rsidRPr="00917A82">
              <w:t>Gas cylinders - Acetylene cylinders - Periodic inspection and maintenance - Amendment 1 (ISO 10462:2013 + A1:2019)</w:t>
            </w:r>
          </w:p>
        </w:tc>
        <w:tc>
          <w:tcPr>
            <w:tcW w:w="2835" w:type="dxa"/>
            <w:shd w:val="clear" w:color="auto" w:fill="auto"/>
          </w:tcPr>
          <w:p w14:paraId="043B306C" w14:textId="77777777" w:rsidR="001D6BCF" w:rsidRPr="00917A82" w:rsidRDefault="001D6BCF" w:rsidP="00B77AB2">
            <w:pPr>
              <w:spacing w:line="240" w:lineRule="auto"/>
              <w:jc w:val="center"/>
            </w:pPr>
            <w:r w:rsidRPr="00917A82">
              <w:t>Mandatorily from 1 January 2023</w:t>
            </w:r>
          </w:p>
        </w:tc>
      </w:tr>
    </w:tbl>
    <w:p w14:paraId="10889F68" w14:textId="77777777" w:rsidR="001D6BCF" w:rsidRPr="00917A82" w:rsidRDefault="001D6BCF" w:rsidP="001D6BCF">
      <w:pPr>
        <w:pStyle w:val="Bullet1G"/>
        <w:numPr>
          <w:ilvl w:val="0"/>
          <w:numId w:val="34"/>
        </w:numPr>
        <w:kinsoku w:val="0"/>
        <w:overflowPunct w:val="0"/>
        <w:autoSpaceDE w:val="0"/>
        <w:autoSpaceDN w:val="0"/>
        <w:adjustRightInd w:val="0"/>
        <w:snapToGrid w:val="0"/>
        <w:spacing w:before="120"/>
      </w:pPr>
      <w:r w:rsidRPr="00917A82">
        <w:t>For “EN 1803:2002 (except Annex B)”, in column (3), replace “Until further notice” by “Until 31 December 2022”. After the row for “EN 1803:2002 (except Annex B)”,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1D6BCF" w:rsidRPr="00177194" w14:paraId="2BE5A620" w14:textId="77777777" w:rsidTr="00B77AB2">
        <w:tc>
          <w:tcPr>
            <w:tcW w:w="1843" w:type="dxa"/>
            <w:shd w:val="clear" w:color="auto" w:fill="auto"/>
          </w:tcPr>
          <w:p w14:paraId="645822E2" w14:textId="77777777" w:rsidR="001D6BCF" w:rsidRPr="00177194" w:rsidRDefault="001D6BCF" w:rsidP="00B77AB2">
            <w:pPr>
              <w:keepNext/>
              <w:spacing w:line="240" w:lineRule="auto"/>
              <w:ind w:hanging="22"/>
              <w:rPr>
                <w:bCs/>
              </w:rPr>
            </w:pPr>
            <w:r w:rsidRPr="00177194">
              <w:rPr>
                <w:bCs/>
              </w:rPr>
              <w:t>EN ISO 10460:2018</w:t>
            </w:r>
          </w:p>
        </w:tc>
        <w:tc>
          <w:tcPr>
            <w:tcW w:w="3827" w:type="dxa"/>
            <w:shd w:val="clear" w:color="auto" w:fill="auto"/>
          </w:tcPr>
          <w:p w14:paraId="243F2A98" w14:textId="77777777" w:rsidR="001D6BCF" w:rsidRPr="00177194" w:rsidRDefault="001D6BCF" w:rsidP="00B77AB2">
            <w:pPr>
              <w:keepNext/>
              <w:spacing w:line="240" w:lineRule="auto"/>
              <w:ind w:hanging="22"/>
              <w:rPr>
                <w:bCs/>
              </w:rPr>
            </w:pPr>
            <w:r w:rsidRPr="007C40B5">
              <w:t xml:space="preserve">Gas cylinders - Welded aluminium-alloy, carbon and </w:t>
            </w:r>
            <w:proofErr w:type="gramStart"/>
            <w:r w:rsidRPr="007C40B5">
              <w:t>stainless steel</w:t>
            </w:r>
            <w:proofErr w:type="gramEnd"/>
            <w:r w:rsidRPr="007C40B5">
              <w:t xml:space="preserve"> gas cylinders - Periodic inspection and testing</w:t>
            </w:r>
          </w:p>
        </w:tc>
        <w:tc>
          <w:tcPr>
            <w:tcW w:w="2835" w:type="dxa"/>
            <w:shd w:val="clear" w:color="auto" w:fill="auto"/>
          </w:tcPr>
          <w:p w14:paraId="2651D1AD" w14:textId="77777777" w:rsidR="001D6BCF" w:rsidRPr="00177194" w:rsidRDefault="001D6BCF" w:rsidP="00B77AB2">
            <w:pPr>
              <w:spacing w:line="240" w:lineRule="auto"/>
              <w:jc w:val="center"/>
            </w:pPr>
            <w:r w:rsidRPr="007C40B5">
              <w:t>Mandatorily from 1 January 2023</w:t>
            </w:r>
          </w:p>
        </w:tc>
      </w:tr>
    </w:tbl>
    <w:p w14:paraId="2422F005" w14:textId="77777777" w:rsidR="001D6BCF" w:rsidRPr="00177194" w:rsidRDefault="001D6BCF" w:rsidP="001D6BCF">
      <w:pPr>
        <w:pStyle w:val="SingleTxtG"/>
        <w:spacing w:before="120"/>
        <w:rPr>
          <w:i/>
          <w:iCs/>
        </w:rPr>
      </w:pPr>
      <w:r w:rsidRPr="00177194">
        <w:rPr>
          <w:i/>
          <w:iCs/>
        </w:rPr>
        <w:t>(Reference document: informal document INF.50, as amended)</w:t>
      </w:r>
    </w:p>
    <w:p w14:paraId="6B5EB3D9" w14:textId="77777777" w:rsidR="001D6BCF" w:rsidRPr="00BE6453" w:rsidRDefault="001D6BCF" w:rsidP="001D6BCF">
      <w:pPr>
        <w:pStyle w:val="H23G"/>
      </w:pPr>
      <w:r w:rsidRPr="00C12A2D">
        <w:tab/>
      </w:r>
      <w:r w:rsidRPr="00C12A2D">
        <w:tab/>
      </w:r>
      <w:r w:rsidRPr="00BE6453">
        <w:t xml:space="preserve">Chapter </w:t>
      </w:r>
      <w:r>
        <w:t>6.7</w:t>
      </w:r>
    </w:p>
    <w:p w14:paraId="2B268957" w14:textId="77777777" w:rsidR="001D6BCF" w:rsidRPr="00C12A2D" w:rsidRDefault="001D6BCF" w:rsidP="001D6BCF">
      <w:pPr>
        <w:pStyle w:val="SingleTxtG"/>
      </w:pPr>
      <w:r>
        <w:t>6.7.3.2.12 (b)</w:t>
      </w:r>
      <w:r>
        <w:tab/>
        <w:t>Replace “thermal conductance” by “heat transfer coefficient”.</w:t>
      </w:r>
    </w:p>
    <w:p w14:paraId="006F8BAD"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524E20BF" w14:textId="77777777" w:rsidR="001D6BCF" w:rsidRPr="002B7E74" w:rsidRDefault="001D6BCF" w:rsidP="001D6BCF">
      <w:pPr>
        <w:pStyle w:val="H23G"/>
      </w:pPr>
      <w:r w:rsidRPr="002B7E74">
        <w:tab/>
      </w:r>
      <w:r w:rsidRPr="002B7E74">
        <w:tab/>
        <w:t xml:space="preserve">Chapter </w:t>
      </w:r>
      <w:r>
        <w:t>6.8</w:t>
      </w:r>
    </w:p>
    <w:p w14:paraId="1A4B225F" w14:textId="77777777" w:rsidR="001D6BCF" w:rsidRPr="002B7E74" w:rsidRDefault="001D6BCF" w:rsidP="001D6BCF">
      <w:pPr>
        <w:pStyle w:val="SingleTxtG"/>
      </w:pPr>
      <w:r>
        <w:rPr>
          <w:lang w:val="en-US"/>
        </w:rPr>
        <w:t>(RID/ADR:) 6.8.2.1.11</w:t>
      </w:r>
      <w:r>
        <w:tab/>
        <w:t>Replace “welded tanks” by “welded shells”</w:t>
      </w:r>
      <w:r w:rsidRPr="00846FFC">
        <w:t>.</w:t>
      </w:r>
    </w:p>
    <w:p w14:paraId="4F72536E"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document</w:t>
      </w:r>
      <w:r>
        <w:rPr>
          <w:i/>
          <w:iCs/>
        </w:rPr>
        <w:t>s</w:t>
      </w:r>
      <w:r w:rsidRPr="002B7E74">
        <w:rPr>
          <w:i/>
          <w:iCs/>
        </w:rPr>
        <w:t xml:space="preserve"> </w:t>
      </w:r>
      <w:r>
        <w:rPr>
          <w:i/>
          <w:iCs/>
        </w:rPr>
        <w:t>INF.4 and INF.45, proposal 3</w:t>
      </w:r>
      <w:r w:rsidRPr="002B7E74">
        <w:rPr>
          <w:i/>
          <w:iCs/>
        </w:rPr>
        <w:t>)</w:t>
      </w:r>
    </w:p>
    <w:p w14:paraId="6FF77049" w14:textId="77777777" w:rsidR="001D6BCF" w:rsidRPr="002B7E74" w:rsidRDefault="001D6BCF" w:rsidP="001D6BCF">
      <w:pPr>
        <w:pStyle w:val="SingleTxtG"/>
      </w:pPr>
      <w:r>
        <w:rPr>
          <w:lang w:val="en-US"/>
        </w:rPr>
        <w:lastRenderedPageBreak/>
        <w:t xml:space="preserve"> (ADR:) 6.8.2.1.20 (b) 1.</w:t>
      </w:r>
      <w:r>
        <w:tab/>
        <w:t>In the second indent, replace “Volume contained” by “Capacity”</w:t>
      </w:r>
      <w:r w:rsidRPr="00846FFC">
        <w:t>.</w:t>
      </w:r>
    </w:p>
    <w:p w14:paraId="029B8BBF"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document</w:t>
      </w:r>
      <w:r>
        <w:rPr>
          <w:i/>
          <w:iCs/>
        </w:rPr>
        <w:t>s</w:t>
      </w:r>
      <w:r w:rsidRPr="002B7E74">
        <w:rPr>
          <w:i/>
          <w:iCs/>
        </w:rPr>
        <w:t xml:space="preserve"> </w:t>
      </w:r>
      <w:r>
        <w:rPr>
          <w:i/>
          <w:iCs/>
        </w:rPr>
        <w:t>INF.38 and INF.45, proposal 5</w:t>
      </w:r>
      <w:r w:rsidRPr="002B7E74">
        <w:rPr>
          <w:i/>
          <w:iCs/>
        </w:rPr>
        <w:t>)</w:t>
      </w:r>
    </w:p>
    <w:p w14:paraId="244CCF2B" w14:textId="77777777" w:rsidR="001D6BCF" w:rsidRPr="002B7E74" w:rsidRDefault="001D6BCF" w:rsidP="001D6BCF">
      <w:pPr>
        <w:pStyle w:val="SingleTxtG"/>
      </w:pPr>
      <w:r>
        <w:rPr>
          <w:lang w:val="en-US"/>
        </w:rPr>
        <w:t xml:space="preserve"> (RID:) 6.8.2.2.2</w:t>
      </w:r>
      <w:r>
        <w:tab/>
        <w:t>German version only.</w:t>
      </w:r>
    </w:p>
    <w:p w14:paraId="31B4619E"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document</w:t>
      </w:r>
      <w:r>
        <w:rPr>
          <w:i/>
          <w:iCs/>
        </w:rPr>
        <w:t>s</w:t>
      </w:r>
      <w:r w:rsidRPr="002B7E74">
        <w:rPr>
          <w:i/>
          <w:iCs/>
        </w:rPr>
        <w:t xml:space="preserve"> </w:t>
      </w:r>
      <w:r>
        <w:rPr>
          <w:i/>
          <w:iCs/>
        </w:rPr>
        <w:t>INF.4 and INF.45, proposal 4</w:t>
      </w:r>
      <w:r w:rsidRPr="002B7E74">
        <w:rPr>
          <w:i/>
          <w:iCs/>
        </w:rPr>
        <w:t>)</w:t>
      </w:r>
    </w:p>
    <w:p w14:paraId="7011AF54" w14:textId="77777777" w:rsidR="001D6BCF" w:rsidRPr="002B7E74" w:rsidRDefault="001D6BCF" w:rsidP="001D6BCF">
      <w:pPr>
        <w:pStyle w:val="H23G"/>
      </w:pPr>
      <w:r w:rsidRPr="002B7E74">
        <w:tab/>
      </w:r>
      <w:r w:rsidRPr="002B7E74">
        <w:tab/>
        <w:t xml:space="preserve">Chapter </w:t>
      </w:r>
      <w:r>
        <w:t>6.10</w:t>
      </w:r>
    </w:p>
    <w:p w14:paraId="71802DE9" w14:textId="77777777" w:rsidR="001D6BCF" w:rsidRDefault="001D6BCF" w:rsidP="001D6BCF">
      <w:pPr>
        <w:pStyle w:val="SingleTxtG"/>
      </w:pPr>
      <w:r>
        <w:rPr>
          <w:lang w:val="en-US"/>
        </w:rPr>
        <w:t xml:space="preserve">(RID/ADR:) </w:t>
      </w:r>
      <w:r>
        <w:t>6.10.3.8 (a)</w:t>
      </w:r>
      <w:r>
        <w:tab/>
        <w:t>Add a new note to read as follows:</w:t>
      </w:r>
    </w:p>
    <w:p w14:paraId="5D6E4259" w14:textId="77777777" w:rsidR="001D6BCF" w:rsidRPr="00922EE5" w:rsidRDefault="001D6BCF" w:rsidP="001D6BCF">
      <w:pPr>
        <w:pStyle w:val="SingleTxtG"/>
      </w:pPr>
      <w:r w:rsidRPr="00922EE5">
        <w:t>“</w:t>
      </w:r>
      <w:r w:rsidRPr="00922EE5">
        <w:rPr>
          <w:b/>
          <w:bCs/>
          <w:i/>
          <w:iCs/>
        </w:rPr>
        <w:t>NOTE:</w:t>
      </w:r>
      <w:r w:rsidRPr="00922EE5">
        <w:rPr>
          <w:b/>
          <w:bCs/>
          <w:i/>
          <w:iCs/>
        </w:rPr>
        <w:tab/>
      </w:r>
      <w:r w:rsidRPr="00922EE5">
        <w:rPr>
          <w:i/>
          <w:iCs/>
        </w:rPr>
        <w:t>This requirement may, for example, be complied with by the use of a vertical pipe or a low-level outlet with a connection which allows, when necessary, attachment of a hose.</w:t>
      </w:r>
      <w:r w:rsidRPr="00922EE5">
        <w:t>”</w:t>
      </w:r>
    </w:p>
    <w:p w14:paraId="69F4302A" w14:textId="77777777" w:rsidR="001D6BCF" w:rsidRPr="00922EE5" w:rsidRDefault="001D6BCF" w:rsidP="001D6BCF">
      <w:pPr>
        <w:pStyle w:val="SingleTxtG"/>
        <w:rPr>
          <w:i/>
          <w:iCs/>
        </w:rPr>
      </w:pPr>
      <w:r w:rsidRPr="00922EE5">
        <w:rPr>
          <w:i/>
          <w:iCs/>
        </w:rPr>
        <w:t>(Reference document: ECE/TRANS/WP.15/AC.1/2019/26 and informal document INF.45, proposal 1</w:t>
      </w:r>
      <w:r>
        <w:rPr>
          <w:i/>
          <w:iCs/>
        </w:rPr>
        <w:t xml:space="preserve"> as amended</w:t>
      </w:r>
      <w:r w:rsidRPr="00922EE5">
        <w:rPr>
          <w:i/>
          <w:iCs/>
        </w:rPr>
        <w:t>)</w:t>
      </w:r>
    </w:p>
    <w:p w14:paraId="57E8A14F" w14:textId="77777777" w:rsidR="001D6BCF" w:rsidRPr="002B7E74" w:rsidRDefault="001D6BCF" w:rsidP="001D6BCF">
      <w:pPr>
        <w:pStyle w:val="H23G"/>
      </w:pPr>
      <w:r w:rsidRPr="002B7E74">
        <w:tab/>
      </w:r>
      <w:r w:rsidRPr="002B7E74">
        <w:tab/>
        <w:t xml:space="preserve">Chapter </w:t>
      </w:r>
      <w:r>
        <w:t>6.11</w:t>
      </w:r>
    </w:p>
    <w:p w14:paraId="12813CAD" w14:textId="77777777" w:rsidR="001D6BCF" w:rsidRDefault="001D6BCF" w:rsidP="001D6BCF">
      <w:pPr>
        <w:pStyle w:val="SingleTxtG"/>
        <w:ind w:left="2268" w:hanging="1134"/>
      </w:pPr>
      <w:r>
        <w:t>(RID/ADR:) 6.11.4.1</w:t>
      </w:r>
      <w:r w:rsidRPr="002B7E74">
        <w:tab/>
      </w:r>
      <w:r>
        <w:t>In the note, replace “</w:t>
      </w:r>
      <w:r w:rsidRPr="00F20856">
        <w:t>the UIC leaflets 591, 592 and 592- 2 to 592-4</w:t>
      </w:r>
      <w:r>
        <w:t>” by</w:t>
      </w:r>
      <w:r w:rsidRPr="00F20856">
        <w:t xml:space="preserve"> </w:t>
      </w:r>
      <w:r>
        <w:t>“</w:t>
      </w:r>
      <w:r w:rsidRPr="00F20856">
        <w:t>IRS 50591 (Roller units for horizontal transhipment – Technical conditions governing their use in international traffic)* and 50592 (Intermodal Transport Units (other than semi-trailers) for vertical transhipment and suitable for carriage on wagons – Minimum requirements)** published by UIC</w:t>
      </w:r>
      <w:r>
        <w:t>”.</w:t>
      </w:r>
    </w:p>
    <w:p w14:paraId="03017EAF" w14:textId="77777777" w:rsidR="001D6BCF" w:rsidRDefault="001D6BCF" w:rsidP="001D6BCF">
      <w:pPr>
        <w:pStyle w:val="SingleTxtG"/>
      </w:pPr>
      <w:r>
        <w:tab/>
      </w:r>
      <w:r>
        <w:tab/>
      </w:r>
      <w:r>
        <w:tab/>
        <w:t>Footnotes * and ** read as follows (numbering to be adapted):</w:t>
      </w:r>
    </w:p>
    <w:p w14:paraId="6B65BE23" w14:textId="77777777" w:rsidR="001D6BCF" w:rsidRDefault="001D6BCF" w:rsidP="001D6BCF">
      <w:pPr>
        <w:pStyle w:val="SingleTxtG"/>
      </w:pPr>
      <w:r>
        <w:t>“*</w:t>
      </w:r>
      <w:r>
        <w:tab/>
        <w:t>1st edition of IRS (International Railway Solution) applicable as from 1 January 2020.</w:t>
      </w:r>
    </w:p>
    <w:p w14:paraId="393C3842" w14:textId="77777777" w:rsidR="001D6BCF" w:rsidRPr="002B7E74" w:rsidRDefault="001D6BCF" w:rsidP="001D6BCF">
      <w:pPr>
        <w:pStyle w:val="SingleTxtG"/>
      </w:pPr>
      <w:r>
        <w:t>**</w:t>
      </w:r>
      <w:r>
        <w:tab/>
        <w:t>1st edition of IRS (International Railway Solution) applicable as from 1 January 2019.”</w:t>
      </w:r>
    </w:p>
    <w:p w14:paraId="564709FA" w14:textId="77777777" w:rsidR="001D6BCF" w:rsidRPr="002B7E74" w:rsidRDefault="001D6BCF" w:rsidP="001D6BCF">
      <w:pPr>
        <w:pStyle w:val="SingleTxtG"/>
        <w:rPr>
          <w:i/>
          <w:iCs/>
        </w:rPr>
      </w:pPr>
      <w:r w:rsidRPr="002B7E74">
        <w:rPr>
          <w:i/>
          <w:iCs/>
        </w:rPr>
        <w:t xml:space="preserve">(Reference document: </w:t>
      </w:r>
      <w:r w:rsidRPr="002E7E29">
        <w:rPr>
          <w:i/>
          <w:iCs/>
        </w:rPr>
        <w:t>ECE/TRANS/WP.15/AC.1/2019/</w:t>
      </w:r>
      <w:r>
        <w:rPr>
          <w:i/>
          <w:iCs/>
        </w:rPr>
        <w:t>48</w:t>
      </w:r>
      <w:r w:rsidRPr="002B7E74">
        <w:rPr>
          <w:i/>
          <w:iCs/>
        </w:rPr>
        <w:t>)</w:t>
      </w:r>
    </w:p>
    <w:p w14:paraId="7E569907" w14:textId="77777777" w:rsidR="001D6BCF" w:rsidRPr="002B7E74" w:rsidRDefault="001D6BCF" w:rsidP="001D6BCF">
      <w:pPr>
        <w:pStyle w:val="H23G"/>
      </w:pPr>
      <w:r w:rsidRPr="002B7E74">
        <w:tab/>
      </w:r>
      <w:r w:rsidRPr="002B7E74">
        <w:tab/>
        <w:t xml:space="preserve">Chapter </w:t>
      </w:r>
      <w:r>
        <w:t>7.1</w:t>
      </w:r>
    </w:p>
    <w:p w14:paraId="5B39A03F" w14:textId="77777777" w:rsidR="001D6BCF" w:rsidRPr="00A0751D" w:rsidRDefault="001D6BCF" w:rsidP="001D6BCF">
      <w:pPr>
        <w:pStyle w:val="SingleTxtG"/>
        <w:ind w:left="2268" w:hanging="1134"/>
        <w:rPr>
          <w:lang w:val="en-US"/>
        </w:rPr>
      </w:pPr>
      <w:r>
        <w:t>(RID/ADR:) 7.1.3</w:t>
      </w:r>
      <w:r w:rsidRPr="002B7E74">
        <w:tab/>
      </w:r>
      <w:r>
        <w:t>Replace “</w:t>
      </w:r>
      <w:r w:rsidRPr="00A0751D">
        <w:t>UIC leaflets 591 (status at 01.10.2007, 3rd edition), 592 (status at 01.10.2013, 2nd edition), 592-2 (status at 01.10.2004, 6th edition), 592-3 (status at 01.01.1998, 2nd edition) and 592-4 (status at 01.05.2007, 3rd edition)</w:t>
      </w:r>
      <w:r>
        <w:t>” by</w:t>
      </w:r>
      <w:r w:rsidRPr="00F20856">
        <w:t xml:space="preserve"> </w:t>
      </w:r>
      <w:r>
        <w:t>“</w:t>
      </w:r>
      <w:r w:rsidRPr="00A0751D">
        <w:t>IRS 50591 (Roller units for horizontal transhipment – Technical conditions governing their use in international traffic)* and 50592 (Intermodal Transport Units (other than semi-trailers) for vertical transhipment and suitable for carriage on wagons – Minimum requirements)** published by UIC</w:t>
      </w:r>
      <w:r>
        <w:t>”. At the end, replace “</w:t>
      </w:r>
      <w:r w:rsidRPr="00A0751D">
        <w:t>UIC leaflets 591, 592 and 592-2 to 592-4</w:t>
      </w:r>
      <w:r>
        <w:rPr>
          <w:lang w:val="en-US"/>
        </w:rPr>
        <w:t>” by “</w:t>
      </w:r>
      <w:r w:rsidRPr="00A0751D">
        <w:rPr>
          <w:lang w:val="en-US"/>
        </w:rPr>
        <w:t>IRS 50591 and 50592 of UIC</w:t>
      </w:r>
      <w:r>
        <w:rPr>
          <w:lang w:val="en-US"/>
        </w:rPr>
        <w:t>”.</w:t>
      </w:r>
    </w:p>
    <w:p w14:paraId="4CC570B8" w14:textId="77777777" w:rsidR="001D6BCF" w:rsidRDefault="001D6BCF" w:rsidP="001D6BCF">
      <w:pPr>
        <w:pStyle w:val="SingleTxtG"/>
      </w:pPr>
      <w:r>
        <w:tab/>
      </w:r>
      <w:r>
        <w:tab/>
      </w:r>
      <w:r>
        <w:tab/>
        <w:t>Footnotes * and ** read as follows (numbering to be adapted):</w:t>
      </w:r>
    </w:p>
    <w:p w14:paraId="4D8228E5" w14:textId="77777777" w:rsidR="001D6BCF" w:rsidRDefault="001D6BCF" w:rsidP="001D6BCF">
      <w:pPr>
        <w:pStyle w:val="SingleTxtG"/>
      </w:pPr>
      <w:r>
        <w:t>“*</w:t>
      </w:r>
      <w:r>
        <w:tab/>
        <w:t>1st edition of IRS (International Railway Solution) applicable as from 1 January 2020.</w:t>
      </w:r>
    </w:p>
    <w:p w14:paraId="1567C22B" w14:textId="77777777" w:rsidR="001D6BCF" w:rsidRPr="002B7E74" w:rsidRDefault="001D6BCF" w:rsidP="001D6BCF">
      <w:pPr>
        <w:pStyle w:val="SingleTxtG"/>
      </w:pPr>
      <w:r>
        <w:t>**</w:t>
      </w:r>
      <w:r>
        <w:tab/>
        <w:t>1st edition of IRS (International Railway Solution) applicable as from 1 January 2019.”</w:t>
      </w:r>
    </w:p>
    <w:p w14:paraId="4890B174" w14:textId="77777777" w:rsidR="001D6BCF" w:rsidRDefault="001D6BCF" w:rsidP="001D6BCF">
      <w:pPr>
        <w:pStyle w:val="SingleTxtG"/>
        <w:rPr>
          <w:i/>
          <w:iCs/>
        </w:rPr>
      </w:pPr>
      <w:r w:rsidRPr="002B7E74">
        <w:rPr>
          <w:i/>
          <w:iCs/>
        </w:rPr>
        <w:t xml:space="preserve">(Reference document: </w:t>
      </w:r>
      <w:r w:rsidRPr="002E7E29">
        <w:rPr>
          <w:i/>
          <w:iCs/>
        </w:rPr>
        <w:t>ECE/TRANS/WP.15/AC.1/2019/</w:t>
      </w:r>
      <w:r>
        <w:rPr>
          <w:i/>
          <w:iCs/>
        </w:rPr>
        <w:t>48</w:t>
      </w:r>
      <w:r w:rsidRPr="002B7E74">
        <w:rPr>
          <w:i/>
          <w:iCs/>
        </w:rPr>
        <w:t>)</w:t>
      </w:r>
    </w:p>
    <w:p w14:paraId="71F49411" w14:textId="77777777" w:rsidR="001D6BCF" w:rsidRPr="00F91AD0" w:rsidRDefault="001D6BCF" w:rsidP="001D6BCF">
      <w:pPr>
        <w:pStyle w:val="H23G"/>
      </w:pPr>
      <w:r w:rsidRPr="00F91AD0">
        <w:tab/>
      </w:r>
      <w:r w:rsidRPr="00F91AD0">
        <w:tab/>
        <w:t xml:space="preserve">Document ECE/TRANS/WP.15/AC.1/2019/22/Add.1 </w:t>
      </w:r>
      <w:r>
        <w:t>adopted with the following modifications:</w:t>
      </w:r>
    </w:p>
    <w:p w14:paraId="4EE143B7" w14:textId="77777777" w:rsidR="001D6BCF" w:rsidRPr="00C12A2D" w:rsidRDefault="001D6BCF" w:rsidP="001D6BCF">
      <w:pPr>
        <w:pStyle w:val="SingleTxtG"/>
      </w:pPr>
      <w:r w:rsidRPr="00C12A2D">
        <w:t>Chapter 1.2, 1.2.1, definition of “</w:t>
      </w:r>
      <w:r w:rsidRPr="00C12A2D">
        <w:rPr>
          <w:i/>
          <w:iCs/>
        </w:rPr>
        <w:t>Self-accelerating decomposition temperature (SADT)</w:t>
      </w:r>
      <w:r w:rsidRPr="00C12A2D">
        <w:t>”:</w:t>
      </w:r>
    </w:p>
    <w:p w14:paraId="32EFA0EB" w14:textId="77777777" w:rsidR="001D6BCF" w:rsidRPr="00C12A2D" w:rsidRDefault="001D6BCF" w:rsidP="001D6BCF">
      <w:pPr>
        <w:pStyle w:val="SingleTxtG"/>
        <w:numPr>
          <w:ilvl w:val="0"/>
          <w:numId w:val="44"/>
        </w:numPr>
        <w:ind w:left="2268"/>
      </w:pPr>
      <w:r w:rsidRPr="00C12A2D">
        <w:lastRenderedPageBreak/>
        <w:t>The first modification does not apply to the English text.</w:t>
      </w:r>
    </w:p>
    <w:p w14:paraId="2DFD1E41" w14:textId="77777777" w:rsidR="001D6BCF" w:rsidRPr="00C12A2D" w:rsidRDefault="001D6BCF" w:rsidP="001D6BCF">
      <w:pPr>
        <w:pStyle w:val="SingleTxtG"/>
        <w:numPr>
          <w:ilvl w:val="0"/>
          <w:numId w:val="44"/>
        </w:numPr>
        <w:ind w:left="2268"/>
        <w:rPr>
          <w:i/>
          <w:iCs/>
        </w:rPr>
      </w:pPr>
      <w:r>
        <w:t>Replace “, tank or portable tank” by “or tank”.</w:t>
      </w:r>
    </w:p>
    <w:p w14:paraId="627E7702" w14:textId="77777777" w:rsidR="001D6BCF" w:rsidRPr="00C12A2D" w:rsidRDefault="001D6BCF" w:rsidP="001D6BCF">
      <w:pPr>
        <w:pStyle w:val="SingleTxtG"/>
        <w:rPr>
          <w:i/>
          <w:iCs/>
        </w:rPr>
      </w:pPr>
      <w:r w:rsidRPr="00C12A2D">
        <w:rPr>
          <w:i/>
          <w:iCs/>
        </w:rPr>
        <w:t>(Reference documents: informal documents INF.20 and INF.31)</w:t>
      </w:r>
    </w:p>
    <w:p w14:paraId="28A867F0" w14:textId="77777777" w:rsidR="001D6BCF" w:rsidRDefault="001D6BCF" w:rsidP="001D6BCF">
      <w:pPr>
        <w:pStyle w:val="SingleTxtG"/>
        <w:ind w:left="2268" w:hanging="1134"/>
        <w:rPr>
          <w:lang w:val="en-US"/>
        </w:rPr>
      </w:pPr>
      <w:r>
        <w:rPr>
          <w:lang w:val="en-US"/>
        </w:rPr>
        <w:t>1.6.6.1</w:t>
      </w:r>
      <w:r>
        <w:rPr>
          <w:lang w:val="en-US"/>
        </w:rPr>
        <w:tab/>
        <w:t>Amend the title to read: “</w:t>
      </w:r>
      <w:r w:rsidRPr="00196E20">
        <w:rPr>
          <w:lang w:val="en-US"/>
        </w:rPr>
        <w:t xml:space="preserve">Packages not requiring competent authority approval of design under the </w:t>
      </w:r>
      <w:r w:rsidRPr="005C2D0D">
        <w:rPr>
          <w:lang w:val="en-US"/>
        </w:rPr>
        <w:t xml:space="preserve">1985, 1985 (as amended 1990), 1996, 1996 (revised), 1996 (as amended 2003), 2005, 2009 and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5FA81E5A"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4FA15D6D" w14:textId="77777777" w:rsidR="001D6BCF" w:rsidRDefault="001D6BCF" w:rsidP="001D6BCF">
      <w:pPr>
        <w:pStyle w:val="SingleTxtG"/>
        <w:ind w:left="2268" w:hanging="1134"/>
        <w:rPr>
          <w:lang w:val="en-US"/>
        </w:rPr>
      </w:pPr>
      <w:r>
        <w:rPr>
          <w:lang w:val="en-US"/>
        </w:rPr>
        <w:t>1.6.6.1 (a)</w:t>
      </w:r>
      <w:r>
        <w:rPr>
          <w:lang w:val="en-US"/>
        </w:rPr>
        <w:tab/>
        <w:t xml:space="preserve">Amend to read: “(a) </w:t>
      </w:r>
      <w:r w:rsidRPr="005C2D0D">
        <w:rPr>
          <w:lang w:val="en-US"/>
        </w:rPr>
        <w:t xml:space="preserve">Packages that meet the requirements of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7C8A0CAA"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5714CF71" w14:textId="77777777" w:rsidR="001D6BCF" w:rsidRDefault="001D6BCF" w:rsidP="001D6BCF">
      <w:pPr>
        <w:pStyle w:val="SingleTxtG"/>
        <w:ind w:left="2268" w:hanging="1134"/>
        <w:rPr>
          <w:lang w:val="en-US"/>
        </w:rPr>
      </w:pPr>
      <w:r>
        <w:rPr>
          <w:lang w:val="en-US"/>
        </w:rPr>
        <w:t>1.6.6.1 (b)</w:t>
      </w:r>
      <w:r>
        <w:rPr>
          <w:lang w:val="en-US"/>
        </w:rPr>
        <w:tab/>
        <w:t xml:space="preserve">Amend to read: “(b) </w:t>
      </w:r>
      <w:r w:rsidRPr="003B758F">
        <w:t>Packages that meet the requirements of the 1996, 1996 (revised), 1996 (as amended 2003), 2005</w:t>
      </w:r>
      <w:r>
        <w:t xml:space="preserve">, </w:t>
      </w:r>
      <w:r w:rsidRPr="003B758F">
        <w:t xml:space="preserve">2009 or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5466FB4A"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0DC32C8A" w14:textId="77777777" w:rsidR="001D6BCF" w:rsidRDefault="001D6BCF" w:rsidP="001D6BCF">
      <w:pPr>
        <w:pStyle w:val="SingleTxtG"/>
        <w:ind w:left="2268" w:hanging="1134"/>
        <w:rPr>
          <w:lang w:val="en-US"/>
        </w:rPr>
      </w:pPr>
      <w:r>
        <w:rPr>
          <w:lang w:val="en-US"/>
        </w:rPr>
        <w:t>1.6.6.2</w:t>
      </w:r>
      <w:r>
        <w:rPr>
          <w:lang w:val="en-US"/>
        </w:rPr>
        <w:tab/>
        <w:t>Amend the title to read: “</w:t>
      </w:r>
      <w:r w:rsidRPr="004975A5">
        <w:t>Package designs approved under the 1985, 1985 (as amended 1990), 1996, 1996 (revised), 1996 (as amended 2003), 2005</w:t>
      </w:r>
      <w:r>
        <w:t>,</w:t>
      </w:r>
      <w:r w:rsidRPr="004975A5">
        <w:t xml:space="preserve"> 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139057C4"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2383C56F" w14:textId="77777777" w:rsidR="001D6BCF" w:rsidRDefault="001D6BCF" w:rsidP="001D6BCF">
      <w:pPr>
        <w:pStyle w:val="SingleTxtG"/>
        <w:ind w:left="2268" w:hanging="1134"/>
        <w:rPr>
          <w:lang w:val="en-US"/>
        </w:rPr>
      </w:pPr>
      <w:r>
        <w:rPr>
          <w:lang w:val="en-US"/>
        </w:rPr>
        <w:t>1.6.6.2.1 (a)</w:t>
      </w:r>
      <w:r>
        <w:rPr>
          <w:lang w:val="en-US"/>
        </w:rPr>
        <w:tab/>
        <w:t xml:space="preserve">Amend to read: “(a) </w:t>
      </w:r>
      <w:proofErr w:type="spellStart"/>
      <w:r w:rsidRPr="00FD00FA">
        <w:rPr>
          <w:lang w:val="en-US"/>
        </w:rPr>
        <w:t>Packagings</w:t>
      </w:r>
      <w:proofErr w:type="spellEnd"/>
      <w:r w:rsidRPr="00FD00FA">
        <w:rPr>
          <w:lang w:val="en-US"/>
        </w:rPr>
        <w:t xml:space="preserve"> that were manufactured to a package design approved by the competent authority under the provisions of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FD00FA">
        <w:rPr>
          <w:lang w:val="en-US"/>
        </w:rPr>
        <w:t xml:space="preserve"> may continue to be used provided that all of the following conditions are met:</w:t>
      </w:r>
      <w:r>
        <w:rPr>
          <w:lang w:val="en-US"/>
        </w:rPr>
        <w:t>”.</w:t>
      </w:r>
    </w:p>
    <w:p w14:paraId="1139F4E4"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77747FD4" w14:textId="77777777" w:rsidR="001D6BCF" w:rsidRDefault="001D6BCF" w:rsidP="001D6BCF">
      <w:pPr>
        <w:pStyle w:val="SingleTxtG"/>
        <w:ind w:left="2268" w:hanging="1134"/>
        <w:rPr>
          <w:lang w:val="en-US"/>
        </w:rPr>
      </w:pPr>
      <w:r>
        <w:rPr>
          <w:lang w:val="en-US"/>
        </w:rPr>
        <w:t>1.6.6.2.1 (b)</w:t>
      </w:r>
      <w:r>
        <w:rPr>
          <w:lang w:val="en-US"/>
        </w:rPr>
        <w:tab/>
        <w:t xml:space="preserve">Amend to read: “(b) </w:t>
      </w:r>
      <w:proofErr w:type="spellStart"/>
      <w:r w:rsidRPr="003B758F">
        <w:t>Packagings</w:t>
      </w:r>
      <w:proofErr w:type="spellEnd"/>
      <w:r w:rsidRPr="003B758F">
        <w:t xml:space="preserve"> that were manufactured to a package design approved by the competent authority under the provisions of the 1996, 1996 (revised), 1996 (</w:t>
      </w:r>
      <w:bookmarkStart w:id="9" w:name="_Hlk536709372"/>
      <w:r w:rsidRPr="003B758F">
        <w:t>as amended</w:t>
      </w:r>
      <w:bookmarkEnd w:id="9"/>
      <w:r w:rsidRPr="003B758F">
        <w:t xml:space="preserve"> 2003), 2005</w:t>
      </w:r>
      <w:r>
        <w:t>,</w:t>
      </w:r>
      <w:r w:rsidRPr="003B758F">
        <w:t xml:space="preserve"> 2009 or 2012</w:t>
      </w:r>
      <w:r w:rsidRPr="00FD00FA">
        <w:rPr>
          <w:lang w:val="en-US"/>
        </w:rPr>
        <w:t xml:space="preserve">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FD00FA">
        <w:rPr>
          <w:lang w:val="en-US"/>
        </w:rPr>
        <w:t xml:space="preserve"> may continue to be used provided that all of the following conditions are met:</w:t>
      </w:r>
      <w:r>
        <w:rPr>
          <w:lang w:val="en-US"/>
        </w:rPr>
        <w:t>”.</w:t>
      </w:r>
    </w:p>
    <w:p w14:paraId="4B58E046"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2BA0CBCD" w14:textId="77777777" w:rsidR="001D6BCF" w:rsidRDefault="001D6BCF" w:rsidP="001D6BCF">
      <w:pPr>
        <w:pStyle w:val="SingleTxtG"/>
        <w:ind w:left="2268" w:hanging="1134"/>
        <w:rPr>
          <w:lang w:val="en-US"/>
        </w:rPr>
      </w:pPr>
      <w:r w:rsidRPr="00D03FBC">
        <w:rPr>
          <w:lang w:val="en-US"/>
        </w:rPr>
        <w:t>1.6.6.2.3</w:t>
      </w:r>
      <w:r w:rsidRPr="00D03FBC">
        <w:rPr>
          <w:lang w:val="en-US"/>
        </w:rPr>
        <w:tab/>
      </w:r>
      <w:r>
        <w:rPr>
          <w:lang w:val="en-US"/>
        </w:rPr>
        <w:t xml:space="preserve">Amend to read: “1.6.6.2.3 </w:t>
      </w:r>
      <w:r w:rsidRPr="00D03FBC">
        <w:rPr>
          <w:lang w:val="en-US"/>
        </w:rPr>
        <w:t xml:space="preserve">No new manufacture of </w:t>
      </w:r>
      <w:proofErr w:type="spellStart"/>
      <w:r w:rsidRPr="00D03FBC">
        <w:rPr>
          <w:lang w:val="en-US"/>
        </w:rPr>
        <w:t>packagings</w:t>
      </w:r>
      <w:proofErr w:type="spellEnd"/>
      <w:r w:rsidRPr="00D03FBC">
        <w:rPr>
          <w:lang w:val="en-US"/>
        </w:rPr>
        <w:t xml:space="preserve"> of a package design meeting the provisions of the 1996, 1996 (revised), 1996 (as amended 2003), 2005</w:t>
      </w:r>
      <w:r>
        <w:rPr>
          <w:lang w:val="en-US"/>
        </w:rPr>
        <w:t>,</w:t>
      </w:r>
      <w:r w:rsidRPr="00D03FBC">
        <w:rPr>
          <w:lang w:val="en-US"/>
        </w:rPr>
        <w:t xml:space="preserve"> 2009 or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shall be permitted to commence after 31 December 2028.”</w:t>
      </w:r>
      <w:r>
        <w:rPr>
          <w:lang w:val="en-US"/>
        </w:rPr>
        <w:t>.</w:t>
      </w:r>
    </w:p>
    <w:p w14:paraId="52B7404D"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5B2AB917" w14:textId="77777777" w:rsidR="001D6BCF" w:rsidRDefault="001D6BCF" w:rsidP="001D6BCF">
      <w:pPr>
        <w:pStyle w:val="SingleTxtG"/>
        <w:ind w:left="2268" w:hanging="1134"/>
        <w:rPr>
          <w:lang w:val="en-US"/>
        </w:rPr>
      </w:pPr>
      <w:r w:rsidRPr="00D03FBC">
        <w:rPr>
          <w:lang w:val="en-US"/>
        </w:rPr>
        <w:t xml:space="preserve">1.6.6.4 </w:t>
      </w:r>
      <w:r w:rsidRPr="00D03FBC">
        <w:rPr>
          <w:lang w:val="en-US"/>
        </w:rPr>
        <w:tab/>
        <w:t>Amend the title to read: “Special form radioactive material approved under the 1985, 1985 (as amended 1990), 1996, 1996 (revised), 1996 (as amended 2003), 2005</w:t>
      </w:r>
      <w:r>
        <w:rPr>
          <w:lang w:val="en-US"/>
        </w:rPr>
        <w:t>,</w:t>
      </w:r>
      <w:r w:rsidRPr="00D03FBC">
        <w:rPr>
          <w:lang w:val="en-US"/>
        </w:rPr>
        <w:t xml:space="preserve"> 2009 </w:t>
      </w:r>
      <w:r>
        <w:rPr>
          <w:lang w:val="en-US"/>
        </w:rPr>
        <w:t>and</w:t>
      </w:r>
      <w:r w:rsidRPr="00D03FBC">
        <w:rPr>
          <w:lang w:val="en-US"/>
        </w:rPr>
        <w:t xml:space="preserve">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w:t>
      </w:r>
    </w:p>
    <w:p w14:paraId="110B8F82"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038D3424" w14:textId="77777777" w:rsidR="001D6BCF" w:rsidRDefault="001D6BCF" w:rsidP="001D6BCF">
      <w:pPr>
        <w:pStyle w:val="SingleTxtG"/>
        <w:ind w:left="2268" w:hanging="1134"/>
        <w:rPr>
          <w:lang w:val="en-US"/>
        </w:rPr>
      </w:pPr>
      <w:r w:rsidRPr="00D03FBC">
        <w:rPr>
          <w:lang w:val="en-US"/>
        </w:rPr>
        <w:lastRenderedPageBreak/>
        <w:t>1.6.6.4</w:t>
      </w:r>
      <w:r w:rsidRPr="00D03FBC">
        <w:rPr>
          <w:lang w:val="en-US"/>
        </w:rPr>
        <w:tab/>
        <w:t>Amend the paragraph under the title to read:</w:t>
      </w:r>
      <w:r>
        <w:rPr>
          <w:lang w:val="en-US"/>
        </w:rPr>
        <w:t xml:space="preserve"> </w:t>
      </w:r>
      <w:r w:rsidRPr="00D03FBC">
        <w:rPr>
          <w:lang w:val="en-US"/>
        </w:rPr>
        <w:t>“Special form radioactive material manufactured to a design that had received unilateral approval by the competent authority under the 1985, 1985 (as amended 1990), 1996, 1996 (revised), 1996 (as amended 2003), 2005</w:t>
      </w:r>
      <w:r>
        <w:rPr>
          <w:lang w:val="en-US"/>
        </w:rPr>
        <w:t xml:space="preserve">, </w:t>
      </w:r>
      <w:r w:rsidRPr="00D03FBC">
        <w:rPr>
          <w:lang w:val="en-US"/>
        </w:rPr>
        <w:t xml:space="preserve">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may continue to be used when in compliance with the mandatory management system in accordance with the applicable requirements of 1.7.3. There shall be no new manufacture of special form radioactive material to a design that had received unilateral approval by the competent authority under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No new manufacture of special form radioactive material to a design that had received unilateral approval by the competent authority under the 1996, 1996 (revised), 1996 (as amended 2003), 2005</w:t>
      </w:r>
      <w:r>
        <w:rPr>
          <w:lang w:val="en-US"/>
        </w:rPr>
        <w:t>,</w:t>
      </w:r>
      <w:r w:rsidRPr="00D03FBC">
        <w:rPr>
          <w:lang w:val="en-US"/>
        </w:rPr>
        <w:t xml:space="preserve"> 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shall be permitted to commence after 31 December 2025.”</w:t>
      </w:r>
      <w:r>
        <w:rPr>
          <w:lang w:val="en-US"/>
        </w:rPr>
        <w:t>.</w:t>
      </w:r>
    </w:p>
    <w:p w14:paraId="5B15E83F" w14:textId="77777777" w:rsidR="001D6BCF" w:rsidRPr="002B7E74" w:rsidRDefault="001D6BCF" w:rsidP="001D6BCF">
      <w:pPr>
        <w:pStyle w:val="SingleTxtG"/>
        <w:rPr>
          <w:i/>
          <w:iCs/>
        </w:rPr>
      </w:pPr>
      <w:r w:rsidRPr="002B7E74">
        <w:rPr>
          <w:i/>
          <w:iCs/>
        </w:rPr>
        <w:t xml:space="preserve">(Reference document: </w:t>
      </w:r>
      <w:r>
        <w:rPr>
          <w:i/>
          <w:iCs/>
        </w:rPr>
        <w:t xml:space="preserve">informal </w:t>
      </w:r>
      <w:r w:rsidRPr="002B7E74">
        <w:rPr>
          <w:i/>
          <w:iCs/>
        </w:rPr>
        <w:t xml:space="preserve">document </w:t>
      </w:r>
      <w:r>
        <w:rPr>
          <w:i/>
          <w:iCs/>
        </w:rPr>
        <w:t>INF.49</w:t>
      </w:r>
      <w:r w:rsidRPr="002B7E74">
        <w:rPr>
          <w:i/>
          <w:iCs/>
        </w:rPr>
        <w:t>)</w:t>
      </w:r>
    </w:p>
    <w:p w14:paraId="727BA84D" w14:textId="77777777" w:rsidR="001D6BCF" w:rsidRPr="00C12A2D" w:rsidRDefault="001D6BCF" w:rsidP="001D6BCF">
      <w:pPr>
        <w:pStyle w:val="SingleTxtG"/>
      </w:pPr>
      <w:r w:rsidRPr="00C12A2D">
        <w:t xml:space="preserve">Chapter 1.10, table 1.10.3.1.2: </w:t>
      </w:r>
      <w:r>
        <w:t>In the last amendment</w:t>
      </w:r>
      <w:r w:rsidRPr="00C12A2D">
        <w:t xml:space="preserve">, </w:t>
      </w:r>
      <w:r>
        <w:t>remove the square brackets</w:t>
      </w:r>
      <w:r w:rsidRPr="00C12A2D">
        <w:t>.</w:t>
      </w:r>
    </w:p>
    <w:p w14:paraId="0CF49600" w14:textId="77777777" w:rsidR="001D6BCF" w:rsidRPr="00C12A2D" w:rsidRDefault="001D6BCF" w:rsidP="001D6BCF">
      <w:pPr>
        <w:pStyle w:val="SingleTxtG"/>
      </w:pPr>
      <w:r w:rsidRPr="00C12A2D">
        <w:t xml:space="preserve">Chapter 2.2, 2.2.1.1.7.2: </w:t>
      </w:r>
      <w:r>
        <w:t>Remove the square brackets</w:t>
      </w:r>
      <w:r w:rsidRPr="00C12A2D">
        <w:t>.</w:t>
      </w:r>
    </w:p>
    <w:p w14:paraId="1E2B3393" w14:textId="77777777" w:rsidR="001D6BCF" w:rsidRPr="00C12A2D" w:rsidRDefault="001D6BCF" w:rsidP="001D6BCF">
      <w:pPr>
        <w:pStyle w:val="SingleTxtG"/>
        <w:rPr>
          <w:szCs w:val="24"/>
        </w:rPr>
      </w:pPr>
      <w:r w:rsidRPr="00C12A2D">
        <w:t xml:space="preserve">Chapter 2.2, 2.2.7.2.4.1.3 </w:t>
      </w:r>
      <w:r>
        <w:t>(</w:t>
      </w:r>
      <w:r w:rsidRPr="00C12A2D">
        <w:t xml:space="preserve">f): </w:t>
      </w:r>
      <w:r>
        <w:t xml:space="preserve">Replace “shall apply” by “applies”. </w:t>
      </w:r>
    </w:p>
    <w:p w14:paraId="7A66635E" w14:textId="77777777" w:rsidR="001D6BCF" w:rsidRPr="00C12A2D" w:rsidRDefault="001D6BCF" w:rsidP="001D6BCF">
      <w:pPr>
        <w:pStyle w:val="SingleTxtG"/>
        <w:rPr>
          <w:i/>
          <w:iCs/>
        </w:rPr>
      </w:pPr>
      <w:r w:rsidRPr="00C12A2D">
        <w:rPr>
          <w:i/>
          <w:iCs/>
        </w:rPr>
        <w:t>(Reference document: informal document INF.20)</w:t>
      </w:r>
    </w:p>
    <w:p w14:paraId="44FF0C9A" w14:textId="77777777" w:rsidR="001D6BCF" w:rsidRPr="00C12A2D" w:rsidRDefault="001D6BCF" w:rsidP="001D6BCF">
      <w:pPr>
        <w:pStyle w:val="SingleTxtG"/>
        <w:rPr>
          <w:szCs w:val="24"/>
        </w:rPr>
      </w:pPr>
      <w:r w:rsidRPr="00C12A2D">
        <w:t xml:space="preserve">Chapter 2.2, 2.2.7.2.4.1.4 </w:t>
      </w:r>
      <w:r>
        <w:t>(</w:t>
      </w:r>
      <w:r w:rsidRPr="00C12A2D">
        <w:t xml:space="preserve">c): </w:t>
      </w:r>
      <w:r>
        <w:t>Replace “shall apply” by “applies”.</w:t>
      </w:r>
    </w:p>
    <w:p w14:paraId="079348BD" w14:textId="77777777" w:rsidR="001D6BCF" w:rsidRPr="00C12A2D" w:rsidRDefault="001D6BCF" w:rsidP="001D6BCF">
      <w:pPr>
        <w:pStyle w:val="SingleTxtG"/>
        <w:rPr>
          <w:i/>
          <w:iCs/>
        </w:rPr>
      </w:pPr>
      <w:r w:rsidRPr="00C12A2D">
        <w:rPr>
          <w:i/>
          <w:iCs/>
        </w:rPr>
        <w:t>(Reference document: informal document INF.20)</w:t>
      </w:r>
    </w:p>
    <w:p w14:paraId="385A3781" w14:textId="77777777" w:rsidR="001D6BCF" w:rsidRPr="00C12A2D" w:rsidRDefault="001D6BCF" w:rsidP="001D6BCF">
      <w:pPr>
        <w:pStyle w:val="SingleTxtG"/>
      </w:pPr>
      <w:r w:rsidRPr="00C12A2D">
        <w:t xml:space="preserve">Chapter 2.2, 2.2.7.2.4.1.7 </w:t>
      </w:r>
      <w:r>
        <w:t>(</w:t>
      </w:r>
      <w:r w:rsidRPr="00C12A2D">
        <w:t xml:space="preserve">e): </w:t>
      </w:r>
      <w:r>
        <w:t>Replace “shall apply” by “applies”.</w:t>
      </w:r>
    </w:p>
    <w:p w14:paraId="78101638" w14:textId="77777777" w:rsidR="001D6BCF" w:rsidRPr="00C12A2D" w:rsidRDefault="001D6BCF" w:rsidP="001D6BCF">
      <w:pPr>
        <w:pStyle w:val="SingleTxtG"/>
        <w:rPr>
          <w:i/>
          <w:iCs/>
        </w:rPr>
      </w:pPr>
      <w:r w:rsidRPr="00C12A2D">
        <w:rPr>
          <w:i/>
          <w:iCs/>
        </w:rPr>
        <w:t>(Reference document: informal document INF.20)</w:t>
      </w:r>
    </w:p>
    <w:p w14:paraId="1C3151B1" w14:textId="77777777" w:rsidR="001D6BCF" w:rsidRPr="00C12A2D" w:rsidRDefault="001D6BCF" w:rsidP="001D6BCF">
      <w:pPr>
        <w:pStyle w:val="SingleTxtG"/>
      </w:pPr>
      <w:r w:rsidRPr="00C12A2D">
        <w:t>Chapter 3.1, 3.1.2.8.1.4</w:t>
      </w:r>
      <w:r w:rsidRPr="00C12A2D">
        <w:tab/>
      </w:r>
      <w:r>
        <w:t>Delete the text in square brackets.</w:t>
      </w:r>
    </w:p>
    <w:p w14:paraId="2B17A3C8" w14:textId="77777777" w:rsidR="001D6BCF" w:rsidRPr="00C12A2D" w:rsidRDefault="001D6BCF" w:rsidP="001D6BCF">
      <w:pPr>
        <w:pStyle w:val="SingleTxtG"/>
      </w:pPr>
      <w:r w:rsidRPr="00C12A2D">
        <w:t xml:space="preserve">Chapter 3.2, table A, </w:t>
      </w:r>
      <w:r>
        <w:t>new entries</w:t>
      </w:r>
      <w:r w:rsidRPr="00C12A2D">
        <w:t>:</w:t>
      </w:r>
    </w:p>
    <w:p w14:paraId="44F2F723" w14:textId="77777777" w:rsidR="001D6BCF" w:rsidRPr="00C12A2D" w:rsidRDefault="001D6BCF" w:rsidP="001D6BCF">
      <w:pPr>
        <w:pStyle w:val="SingleTxtG"/>
        <w:numPr>
          <w:ilvl w:val="0"/>
          <w:numId w:val="45"/>
        </w:numPr>
        <w:ind w:left="2268"/>
      </w:pPr>
      <w:r>
        <w:t>For UN</w:t>
      </w:r>
      <w:r w:rsidRPr="00C12A2D">
        <w:t xml:space="preserve"> 3549, </w:t>
      </w:r>
      <w:r>
        <w:t>first entry</w:t>
      </w:r>
      <w:r w:rsidRPr="00C12A2D">
        <w:t xml:space="preserve">: </w:t>
      </w:r>
      <w:r>
        <w:t>Delete</w:t>
      </w:r>
      <w:r w:rsidRPr="00C12A2D">
        <w:t xml:space="preserve"> </w:t>
      </w:r>
      <w:r>
        <w:t>“</w:t>
      </w:r>
      <w:r w:rsidRPr="00C12A2D">
        <w:t>[6XX]</w:t>
      </w:r>
      <w:r>
        <w:t>”</w:t>
      </w:r>
      <w:r w:rsidRPr="00C12A2D">
        <w:t xml:space="preserve"> </w:t>
      </w:r>
      <w:r>
        <w:t>in column</w:t>
      </w:r>
      <w:r w:rsidRPr="00C12A2D">
        <w:t xml:space="preserve"> (6) </w:t>
      </w:r>
      <w:r>
        <w:t>and</w:t>
      </w:r>
      <w:r w:rsidRPr="00C12A2D">
        <w:t xml:space="preserve">, </w:t>
      </w:r>
      <w:r>
        <w:t>for RID and ADR</w:t>
      </w:r>
      <w:r w:rsidRPr="00C12A2D">
        <w:t xml:space="preserve">, </w:t>
      </w:r>
      <w:r>
        <w:t>replace “M</w:t>
      </w:r>
      <w:r w:rsidRPr="00C12A2D">
        <w:t>P6</w:t>
      </w:r>
      <w:r>
        <w:t>” by “</w:t>
      </w:r>
      <w:r w:rsidRPr="00C12A2D">
        <w:t>MP2</w:t>
      </w:r>
      <w:r>
        <w:t>”</w:t>
      </w:r>
      <w:r w:rsidRPr="00C12A2D">
        <w:t xml:space="preserve"> </w:t>
      </w:r>
      <w:r>
        <w:t>in column</w:t>
      </w:r>
      <w:r w:rsidRPr="00C12A2D">
        <w:t xml:space="preserve"> (9b).</w:t>
      </w:r>
    </w:p>
    <w:p w14:paraId="37FFDE7F" w14:textId="77777777" w:rsidR="001D6BCF" w:rsidRPr="00C12A2D" w:rsidRDefault="001D6BCF" w:rsidP="001D6BCF">
      <w:pPr>
        <w:pStyle w:val="SingleTxtG"/>
        <w:numPr>
          <w:ilvl w:val="0"/>
          <w:numId w:val="45"/>
        </w:numPr>
        <w:ind w:left="2268"/>
      </w:pPr>
      <w:r>
        <w:t>Delete the second entry for UN</w:t>
      </w:r>
      <w:r w:rsidRPr="00C12A2D">
        <w:t xml:space="preserve"> 3549. </w:t>
      </w:r>
    </w:p>
    <w:p w14:paraId="6E076D60" w14:textId="77777777" w:rsidR="001D6BCF" w:rsidRDefault="001D6BCF" w:rsidP="001D6BCF">
      <w:pPr>
        <w:pStyle w:val="SingleTxtG"/>
        <w:ind w:left="2268" w:hanging="1134"/>
      </w:pPr>
      <w:r w:rsidRPr="00C12A2D">
        <w:t xml:space="preserve">Chapter 3.3, </w:t>
      </w:r>
      <w:r>
        <w:t>SP</w:t>
      </w:r>
      <w:r w:rsidRPr="00C12A2D">
        <w:t xml:space="preserve"> 309: </w:t>
      </w:r>
      <w:r>
        <w:t xml:space="preserve">Replace “an ANE” by “an </w:t>
      </w:r>
      <w:r w:rsidRPr="00651276">
        <w:rPr>
          <w:rFonts w:asciiTheme="majorBidi" w:hAnsiTheme="majorBidi" w:cstheme="majorBidi"/>
        </w:rPr>
        <w:t>ammonium nitrate emulsion, suspension or gel, intermediate for blasting explosives (ANE)</w:t>
      </w:r>
      <w:r>
        <w:rPr>
          <w:rFonts w:asciiTheme="majorBidi" w:hAnsiTheme="majorBidi" w:cstheme="majorBidi"/>
        </w:rPr>
        <w:t>”.</w:t>
      </w:r>
    </w:p>
    <w:p w14:paraId="2DFBE167" w14:textId="77777777" w:rsidR="001D6BCF" w:rsidRPr="00C12A2D" w:rsidRDefault="001D6BCF" w:rsidP="001D6BCF">
      <w:pPr>
        <w:pStyle w:val="SingleTxtG"/>
        <w:rPr>
          <w:i/>
          <w:iCs/>
        </w:rPr>
      </w:pPr>
      <w:r w:rsidRPr="00C12A2D">
        <w:rPr>
          <w:i/>
          <w:iCs/>
        </w:rPr>
        <w:t>(Reference document: informal document INF.20)</w:t>
      </w:r>
    </w:p>
    <w:p w14:paraId="33030B0E" w14:textId="77777777" w:rsidR="001D6BCF" w:rsidRPr="00C12A2D" w:rsidRDefault="001D6BCF" w:rsidP="001D6BCF">
      <w:pPr>
        <w:pStyle w:val="SingleTxtG"/>
      </w:pPr>
      <w:r w:rsidRPr="00C12A2D">
        <w:t xml:space="preserve">Chapter 3.3, </w:t>
      </w:r>
      <w:r>
        <w:t>SP</w:t>
      </w:r>
      <w:r w:rsidRPr="00C12A2D">
        <w:t xml:space="preserve"> 360: </w:t>
      </w:r>
      <w:r>
        <w:t>Remove the square brackets.</w:t>
      </w:r>
    </w:p>
    <w:p w14:paraId="16CBDB60" w14:textId="77777777" w:rsidR="001D6BCF" w:rsidRPr="00C12A2D" w:rsidRDefault="001D6BCF" w:rsidP="001D6BCF">
      <w:pPr>
        <w:pStyle w:val="SingleTxtG"/>
      </w:pPr>
      <w:r w:rsidRPr="00C12A2D">
        <w:t xml:space="preserve">Chapter </w:t>
      </w:r>
      <w:r>
        <w:t>3</w:t>
      </w:r>
      <w:r w:rsidRPr="00C12A2D">
        <w:t>.</w:t>
      </w:r>
      <w:r>
        <w:t>3</w:t>
      </w:r>
      <w:r w:rsidRPr="00C12A2D">
        <w:t xml:space="preserve">, </w:t>
      </w:r>
      <w:r>
        <w:t>SP 376, Note:</w:t>
      </w:r>
      <w:r w:rsidRPr="00C12A2D">
        <w:t xml:space="preserve"> </w:t>
      </w:r>
      <w:r>
        <w:t>The modification does not apply to the English text.</w:t>
      </w:r>
    </w:p>
    <w:p w14:paraId="25ABA9B3" w14:textId="77777777" w:rsidR="001D6BCF" w:rsidRPr="00C12A2D" w:rsidRDefault="001D6BCF" w:rsidP="001D6BCF">
      <w:pPr>
        <w:pStyle w:val="SingleTxtG"/>
        <w:rPr>
          <w:i/>
          <w:iCs/>
        </w:rPr>
      </w:pPr>
      <w:r w:rsidRPr="00C12A2D">
        <w:rPr>
          <w:i/>
          <w:iCs/>
        </w:rPr>
        <w:t>(Reference document: informal document INF.31</w:t>
      </w:r>
      <w:r>
        <w:rPr>
          <w:i/>
          <w:iCs/>
        </w:rPr>
        <w:t>, as amended</w:t>
      </w:r>
      <w:r w:rsidRPr="00C12A2D">
        <w:rPr>
          <w:i/>
          <w:iCs/>
        </w:rPr>
        <w:t>)</w:t>
      </w:r>
    </w:p>
    <w:p w14:paraId="4599F7DE" w14:textId="77777777" w:rsidR="001D6BCF" w:rsidRPr="00C12A2D" w:rsidRDefault="001D6BCF" w:rsidP="001D6BCF">
      <w:pPr>
        <w:pStyle w:val="SingleTxtG"/>
      </w:pPr>
      <w:r w:rsidRPr="00C12A2D">
        <w:t xml:space="preserve">Chapter 3.3, </w:t>
      </w:r>
      <w:r>
        <w:t xml:space="preserve">SP </w:t>
      </w:r>
      <w:r w:rsidRPr="00C12A2D">
        <w:t xml:space="preserve">376 </w:t>
      </w:r>
      <w:r>
        <w:t>(</w:t>
      </w:r>
      <w:r w:rsidRPr="00C12A2D">
        <w:t xml:space="preserve">b): </w:t>
      </w:r>
      <w:r>
        <w:t>The modification does not apply to the English text.</w:t>
      </w:r>
    </w:p>
    <w:p w14:paraId="3EC6D032" w14:textId="77777777" w:rsidR="001D6BCF" w:rsidRPr="00C12A2D" w:rsidRDefault="001D6BCF" w:rsidP="001D6BCF">
      <w:pPr>
        <w:pStyle w:val="SingleTxtG"/>
        <w:rPr>
          <w:i/>
          <w:iCs/>
        </w:rPr>
      </w:pPr>
      <w:r w:rsidRPr="00C12A2D">
        <w:rPr>
          <w:i/>
          <w:iCs/>
        </w:rPr>
        <w:t>(Reference document: informal document INF.31)</w:t>
      </w:r>
    </w:p>
    <w:p w14:paraId="6C2DF21E" w14:textId="77777777" w:rsidR="001D6BCF" w:rsidRPr="00C12A2D" w:rsidRDefault="001D6BCF" w:rsidP="001D6BCF">
      <w:pPr>
        <w:pStyle w:val="SingleTxtG"/>
      </w:pPr>
      <w:r w:rsidRPr="00C12A2D">
        <w:t xml:space="preserve">Chapter </w:t>
      </w:r>
      <w:r>
        <w:t>3</w:t>
      </w:r>
      <w:r w:rsidRPr="00C12A2D">
        <w:t>.</w:t>
      </w:r>
      <w:r>
        <w:t>3</w:t>
      </w:r>
      <w:r w:rsidRPr="00C12A2D">
        <w:t xml:space="preserve">, </w:t>
      </w:r>
      <w:r>
        <w:t>SP 388:</w:t>
      </w:r>
      <w:r w:rsidRPr="00C12A2D">
        <w:t xml:space="preserve"> </w:t>
      </w:r>
      <w:r>
        <w:t>Remove the square brackets</w:t>
      </w:r>
      <w:r w:rsidRPr="00C12A2D">
        <w:t>.</w:t>
      </w:r>
    </w:p>
    <w:p w14:paraId="39AE4E94" w14:textId="77777777" w:rsidR="001D6BCF" w:rsidRPr="00C12A2D" w:rsidRDefault="001D6BCF" w:rsidP="001D6BCF">
      <w:pPr>
        <w:pStyle w:val="SingleTxtG"/>
      </w:pPr>
      <w:r w:rsidRPr="00C12A2D">
        <w:t xml:space="preserve">Chapter </w:t>
      </w:r>
      <w:r>
        <w:t>3</w:t>
      </w:r>
      <w:r w:rsidRPr="00C12A2D">
        <w:t>.</w:t>
      </w:r>
      <w:r>
        <w:t>3</w:t>
      </w:r>
      <w:r w:rsidRPr="00C12A2D">
        <w:t xml:space="preserve">, </w:t>
      </w:r>
      <w:r>
        <w:t>SP 393 and 394:</w:t>
      </w:r>
      <w:r w:rsidRPr="00C12A2D">
        <w:t xml:space="preserve"> </w:t>
      </w:r>
      <w:r>
        <w:t>Remove the square brackets</w:t>
      </w:r>
      <w:r w:rsidRPr="00C12A2D">
        <w:t>.</w:t>
      </w:r>
    </w:p>
    <w:p w14:paraId="6F0949F9" w14:textId="77777777" w:rsidR="001D6BCF" w:rsidRPr="00C12A2D" w:rsidRDefault="001D6BCF" w:rsidP="001D6BCF">
      <w:pPr>
        <w:pStyle w:val="SingleTxtG"/>
      </w:pPr>
      <w:r w:rsidRPr="00C12A2D">
        <w:t xml:space="preserve">Chapter 3.3, </w:t>
      </w:r>
      <w:r>
        <w:t>SP</w:t>
      </w:r>
      <w:r w:rsidRPr="00C12A2D">
        <w:t xml:space="preserve"> 6XX: </w:t>
      </w:r>
      <w:r>
        <w:t>Delete</w:t>
      </w:r>
      <w:r w:rsidRPr="00C12A2D">
        <w:t>.</w:t>
      </w:r>
    </w:p>
    <w:p w14:paraId="5267B6DD" w14:textId="77777777" w:rsidR="001D6BCF" w:rsidRPr="00C12A2D" w:rsidRDefault="001D6BCF" w:rsidP="001D6BCF">
      <w:pPr>
        <w:pStyle w:val="SingleTxtG"/>
      </w:pPr>
      <w:r w:rsidRPr="00C12A2D">
        <w:lastRenderedPageBreak/>
        <w:t xml:space="preserve">Chapter </w:t>
      </w:r>
      <w:r>
        <w:t>4.1</w:t>
      </w:r>
      <w:r w:rsidRPr="00C12A2D">
        <w:t xml:space="preserve">, </w:t>
      </w:r>
      <w:r>
        <w:t>4.1.4.1, P400 (2) and (3):</w:t>
      </w:r>
      <w:r w:rsidRPr="00C12A2D">
        <w:t xml:space="preserve"> </w:t>
      </w:r>
      <w:r>
        <w:t>The modification does not apply to the English text.</w:t>
      </w:r>
    </w:p>
    <w:p w14:paraId="6FDF1B37" w14:textId="77777777" w:rsidR="001D6BCF" w:rsidRPr="00C12A2D" w:rsidRDefault="001D6BCF" w:rsidP="001D6BCF">
      <w:pPr>
        <w:pStyle w:val="SingleTxtG"/>
        <w:rPr>
          <w:i/>
          <w:iCs/>
        </w:rPr>
      </w:pPr>
      <w:r w:rsidRPr="00C12A2D">
        <w:rPr>
          <w:i/>
          <w:iCs/>
        </w:rPr>
        <w:t>(Reference document: informal document INF.31)</w:t>
      </w:r>
    </w:p>
    <w:p w14:paraId="5D241280" w14:textId="77777777" w:rsidR="001D6BCF" w:rsidRPr="00C12A2D" w:rsidRDefault="001D6BCF" w:rsidP="001D6BCF">
      <w:pPr>
        <w:pStyle w:val="SingleTxtG"/>
        <w:ind w:left="2268" w:hanging="1134"/>
      </w:pPr>
      <w:r w:rsidRPr="00C12A2D">
        <w:t xml:space="preserve">Chapter </w:t>
      </w:r>
      <w:r>
        <w:t>4.1</w:t>
      </w:r>
      <w:r w:rsidRPr="00C12A2D">
        <w:t xml:space="preserve">, </w:t>
      </w:r>
      <w:r>
        <w:t>4.1.4.1, P622, additional requirement 4:</w:t>
      </w:r>
      <w:r w:rsidRPr="00C12A2D">
        <w:t xml:space="preserve"> </w:t>
      </w:r>
      <w:r>
        <w:t>Replace “to at least 165 g” by “of at least 165 g” and “to at least 480 g” by “of at least 480 g”.</w:t>
      </w:r>
    </w:p>
    <w:p w14:paraId="4BE6ACB7"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6B7CB7C1" w14:textId="77777777" w:rsidR="001D6BCF" w:rsidRPr="00C12A2D" w:rsidRDefault="001D6BCF" w:rsidP="001D6BCF">
      <w:pPr>
        <w:pStyle w:val="SingleTxtG"/>
        <w:ind w:left="2268" w:hanging="1134"/>
      </w:pPr>
      <w:r w:rsidRPr="00C12A2D">
        <w:t xml:space="preserve">Chapter </w:t>
      </w:r>
      <w:r>
        <w:t>4.1</w:t>
      </w:r>
      <w:r w:rsidRPr="00C12A2D">
        <w:t xml:space="preserve">, </w:t>
      </w:r>
      <w:r>
        <w:t>4.1.4.1, P622, additional requirement 7:</w:t>
      </w:r>
      <w:r w:rsidRPr="00C12A2D">
        <w:t xml:space="preserve"> </w:t>
      </w:r>
      <w:r>
        <w:t>The modification does not apply to the English text.</w:t>
      </w:r>
    </w:p>
    <w:p w14:paraId="2AA247B3" w14:textId="77777777" w:rsidR="001D6BCF" w:rsidRPr="00C12A2D" w:rsidRDefault="001D6BCF" w:rsidP="001D6BCF">
      <w:pPr>
        <w:pStyle w:val="SingleTxtG"/>
        <w:rPr>
          <w:i/>
          <w:iCs/>
        </w:rPr>
      </w:pPr>
      <w:r w:rsidRPr="00C12A2D">
        <w:rPr>
          <w:i/>
          <w:iCs/>
        </w:rPr>
        <w:t>(Reference document: informal document INF.31)</w:t>
      </w:r>
    </w:p>
    <w:p w14:paraId="2EA556C0" w14:textId="77777777" w:rsidR="001D6BCF" w:rsidRPr="00C12A2D" w:rsidRDefault="001D6BCF" w:rsidP="001D6BCF">
      <w:pPr>
        <w:pStyle w:val="SingleTxtG"/>
      </w:pPr>
      <w:r w:rsidRPr="00C12A2D">
        <w:t xml:space="preserve">Chapter </w:t>
      </w:r>
      <w:r>
        <w:t>4.1</w:t>
      </w:r>
      <w:r w:rsidRPr="00C12A2D">
        <w:t xml:space="preserve">, </w:t>
      </w:r>
      <w:r>
        <w:t>4.1.4.1, P801 (2) (a) and (c):</w:t>
      </w:r>
      <w:r w:rsidRPr="00C12A2D">
        <w:t xml:space="preserve"> </w:t>
      </w:r>
      <w:r>
        <w:t>Remove the square brackets</w:t>
      </w:r>
      <w:r w:rsidRPr="00C12A2D">
        <w:t>.</w:t>
      </w:r>
    </w:p>
    <w:p w14:paraId="17FDCA7C" w14:textId="77777777" w:rsidR="001D6BCF" w:rsidRPr="00C12A2D" w:rsidRDefault="001D6BCF" w:rsidP="001D6BCF">
      <w:pPr>
        <w:pStyle w:val="SingleTxtG"/>
        <w:ind w:left="2268" w:hanging="1134"/>
      </w:pPr>
      <w:r w:rsidRPr="00C12A2D">
        <w:t xml:space="preserve">Chapter </w:t>
      </w:r>
      <w:r>
        <w:t>4.1</w:t>
      </w:r>
      <w:r w:rsidRPr="00C12A2D">
        <w:t xml:space="preserve">, </w:t>
      </w:r>
      <w:r>
        <w:t>4.1.4.3, LP622, additional requirement 4:</w:t>
      </w:r>
      <w:r w:rsidRPr="00C12A2D">
        <w:t xml:space="preserve"> </w:t>
      </w:r>
      <w:r>
        <w:t>Replace “to at least 165 g” by “of at least 165 g” and “to at least 480 g” by “of at least 480 g”.</w:t>
      </w:r>
    </w:p>
    <w:p w14:paraId="7E4DBC80" w14:textId="77777777" w:rsidR="001D6BCF" w:rsidRPr="00C12A2D" w:rsidRDefault="001D6BCF" w:rsidP="001D6BCF">
      <w:pPr>
        <w:pStyle w:val="SingleTxtG"/>
        <w:rPr>
          <w:i/>
          <w:iCs/>
        </w:rPr>
      </w:pPr>
      <w:r w:rsidRPr="00C12A2D">
        <w:rPr>
          <w:i/>
          <w:iCs/>
        </w:rPr>
        <w:t>(Reference document: informal document INF.</w:t>
      </w:r>
      <w:r>
        <w:rPr>
          <w:i/>
          <w:iCs/>
        </w:rPr>
        <w:t>20, consequential amendment</w:t>
      </w:r>
      <w:r w:rsidRPr="00C12A2D">
        <w:rPr>
          <w:i/>
          <w:iCs/>
        </w:rPr>
        <w:t>)</w:t>
      </w:r>
    </w:p>
    <w:p w14:paraId="07458951" w14:textId="77777777" w:rsidR="001D6BCF" w:rsidRPr="00C12A2D" w:rsidRDefault="001D6BCF" w:rsidP="001D6BCF">
      <w:pPr>
        <w:pStyle w:val="SingleTxtG"/>
        <w:ind w:left="2268" w:hanging="1134"/>
      </w:pPr>
      <w:r w:rsidRPr="00C12A2D">
        <w:t xml:space="preserve">Chapter </w:t>
      </w:r>
      <w:r>
        <w:t>4.1</w:t>
      </w:r>
      <w:r w:rsidRPr="00C12A2D">
        <w:t xml:space="preserve">, </w:t>
      </w:r>
      <w:r>
        <w:t>4.1.4.3, LP622, additional requirement 7:</w:t>
      </w:r>
      <w:r w:rsidRPr="00C12A2D">
        <w:t xml:space="preserve"> </w:t>
      </w:r>
      <w:r>
        <w:t>The modification does not apply to the English text.</w:t>
      </w:r>
    </w:p>
    <w:p w14:paraId="11B1A3FF" w14:textId="77777777" w:rsidR="001D6BCF" w:rsidRPr="00C12A2D" w:rsidRDefault="001D6BCF" w:rsidP="001D6BCF">
      <w:pPr>
        <w:pStyle w:val="SingleTxtG"/>
        <w:rPr>
          <w:i/>
          <w:iCs/>
        </w:rPr>
      </w:pPr>
      <w:r w:rsidRPr="00C12A2D">
        <w:rPr>
          <w:i/>
          <w:iCs/>
        </w:rPr>
        <w:t>(Reference document: informal document INF.31)</w:t>
      </w:r>
    </w:p>
    <w:p w14:paraId="66ED309F" w14:textId="77777777" w:rsidR="001D6BCF" w:rsidRDefault="001D6BCF" w:rsidP="001D6BCF">
      <w:pPr>
        <w:pStyle w:val="SingleTxtG"/>
        <w:ind w:left="2268" w:hanging="1134"/>
      </w:pPr>
      <w:r w:rsidRPr="00BE3493">
        <w:t>Delete the amendments to 4.1.6.15.</w:t>
      </w:r>
    </w:p>
    <w:p w14:paraId="346F2C70" w14:textId="77777777" w:rsidR="001D6BCF" w:rsidRPr="00177194" w:rsidRDefault="001D6BCF" w:rsidP="001D6BCF">
      <w:pPr>
        <w:pStyle w:val="SingleTxtG"/>
        <w:spacing w:before="120"/>
        <w:rPr>
          <w:i/>
          <w:iCs/>
        </w:rPr>
      </w:pPr>
      <w:r w:rsidRPr="00177194">
        <w:rPr>
          <w:i/>
          <w:iCs/>
        </w:rPr>
        <w:t>(Reference document: informal document INF.50)</w:t>
      </w:r>
    </w:p>
    <w:p w14:paraId="28089503" w14:textId="77777777" w:rsidR="001D6BCF" w:rsidRPr="00C12A2D" w:rsidRDefault="001D6BCF" w:rsidP="001D6BCF">
      <w:pPr>
        <w:pStyle w:val="SingleTxtG"/>
      </w:pPr>
      <w:r>
        <w:t xml:space="preserve">(RID/ADR:) </w:t>
      </w:r>
      <w:r w:rsidRPr="00C12A2D">
        <w:t xml:space="preserve">Chapter </w:t>
      </w:r>
      <w:r>
        <w:t>5.1</w:t>
      </w:r>
      <w:r w:rsidRPr="00C12A2D">
        <w:t xml:space="preserve">, </w:t>
      </w:r>
      <w:r>
        <w:t>5.1.5.3.2:</w:t>
      </w:r>
      <w:r w:rsidRPr="00C12A2D">
        <w:t xml:space="preserve"> </w:t>
      </w:r>
      <w:r>
        <w:t>Replace “conveyance” by “wagon”</w:t>
      </w:r>
      <w:proofErr w:type="gramStart"/>
      <w:r>
        <w:t>/“</w:t>
      </w:r>
      <w:proofErr w:type="gramEnd"/>
      <w:r>
        <w:t>vehicle”.</w:t>
      </w:r>
    </w:p>
    <w:p w14:paraId="6C496323" w14:textId="77777777" w:rsidR="001D6BCF" w:rsidRDefault="001D6BCF" w:rsidP="001D6BCF">
      <w:pPr>
        <w:pStyle w:val="SingleTxtG"/>
        <w:rPr>
          <w:i/>
          <w:iCs/>
        </w:rPr>
      </w:pPr>
      <w:r w:rsidRPr="00C12A2D">
        <w:rPr>
          <w:i/>
          <w:iCs/>
        </w:rPr>
        <w:t xml:space="preserve">(Reference document: </w:t>
      </w:r>
      <w:r w:rsidRPr="002E7E29">
        <w:rPr>
          <w:i/>
          <w:iCs/>
        </w:rPr>
        <w:t>ECE/TRANS/WP.15/AC.1/2019/</w:t>
      </w:r>
      <w:r w:rsidRPr="00C12A2D">
        <w:rPr>
          <w:i/>
          <w:iCs/>
        </w:rPr>
        <w:t>31)</w:t>
      </w:r>
    </w:p>
    <w:p w14:paraId="566D27C1" w14:textId="77777777" w:rsidR="001D6BCF" w:rsidRPr="00C12A2D" w:rsidRDefault="001D6BCF" w:rsidP="001D6BCF">
      <w:pPr>
        <w:pStyle w:val="SingleTxtG"/>
      </w:pPr>
      <w:r w:rsidRPr="00C12A2D">
        <w:t xml:space="preserve">Chapter </w:t>
      </w:r>
      <w:r>
        <w:t>5.1</w:t>
      </w:r>
      <w:r w:rsidRPr="00C12A2D">
        <w:t xml:space="preserve">, </w:t>
      </w:r>
      <w:r>
        <w:t>5.1.5.3.2:</w:t>
      </w:r>
      <w:r w:rsidRPr="00C12A2D">
        <w:t xml:space="preserve"> </w:t>
      </w:r>
      <w:r>
        <w:t>The modification does not apply to the English text.</w:t>
      </w:r>
    </w:p>
    <w:p w14:paraId="349B02A3" w14:textId="77777777" w:rsidR="001D6BCF" w:rsidRDefault="001D6BCF" w:rsidP="001D6BCF">
      <w:pPr>
        <w:pStyle w:val="SingleTxtG"/>
        <w:rPr>
          <w:i/>
          <w:iCs/>
        </w:rPr>
      </w:pPr>
      <w:r w:rsidRPr="00C12A2D">
        <w:rPr>
          <w:i/>
          <w:iCs/>
        </w:rPr>
        <w:t>(Reference document: informal document INF.31)</w:t>
      </w:r>
    </w:p>
    <w:p w14:paraId="39C0F3CB" w14:textId="77777777" w:rsidR="001D6BCF" w:rsidRDefault="001D6BCF" w:rsidP="001D6BCF">
      <w:pPr>
        <w:pStyle w:val="SingleTxtG"/>
        <w:ind w:left="2268" w:hanging="1134"/>
        <w:rPr>
          <w:lang w:val="en-US"/>
        </w:rPr>
      </w:pPr>
      <w:r>
        <w:rPr>
          <w:lang w:val="en-US"/>
        </w:rPr>
        <w:t>Delete the amendments to Chapter 5.3</w:t>
      </w:r>
    </w:p>
    <w:p w14:paraId="3A557EA6" w14:textId="77777777" w:rsidR="001D6BCF" w:rsidRPr="00C12A2D" w:rsidRDefault="001D6BCF" w:rsidP="001D6BCF">
      <w:pPr>
        <w:pStyle w:val="SingleTxtG"/>
      </w:pPr>
      <w:r w:rsidRPr="00B4377F">
        <w:t>(ADN:) Chapter 5.4, 5.4.1.2.2: Remove the square brackets.</w:t>
      </w:r>
    </w:p>
    <w:p w14:paraId="7CE88037" w14:textId="77777777" w:rsidR="001D6BCF" w:rsidRDefault="001D6BCF" w:rsidP="001D6BCF">
      <w:pPr>
        <w:pStyle w:val="SingleTxtG"/>
      </w:pPr>
      <w:r w:rsidRPr="00C12A2D">
        <w:t xml:space="preserve">Chapter </w:t>
      </w:r>
      <w:r>
        <w:t>6.1, 6.1.1.1 (b):</w:t>
      </w:r>
      <w:r w:rsidRPr="00C12A2D">
        <w:t xml:space="preserve"> </w:t>
      </w:r>
      <w:r>
        <w:t>Amend the amendment to read as follows:</w:t>
      </w:r>
    </w:p>
    <w:p w14:paraId="7E8BBCFB" w14:textId="77777777" w:rsidR="001D6BCF" w:rsidRPr="00C12A2D" w:rsidRDefault="001D6BCF" w:rsidP="001D6BCF">
      <w:pPr>
        <w:pStyle w:val="SingleTxtG"/>
      </w:pPr>
      <w:r>
        <w:rPr>
          <w:lang w:val="en-US"/>
        </w:rPr>
        <w:tab/>
        <w:t>“</w:t>
      </w:r>
      <w:r>
        <w:t>6.1.1.1 (b)</w:t>
      </w:r>
      <w:r>
        <w:tab/>
        <w:t>Replace “packing instruction P621” by “packing instructions P621 and P622”.”</w:t>
      </w:r>
    </w:p>
    <w:p w14:paraId="51DDE4E4"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48A2D479" w14:textId="77777777" w:rsidR="001D6BCF" w:rsidRPr="00C12A2D" w:rsidRDefault="001D6BCF" w:rsidP="001D6BCF">
      <w:pPr>
        <w:pStyle w:val="SingleTxtG"/>
      </w:pPr>
      <w:r w:rsidRPr="00C12A2D">
        <w:t xml:space="preserve">Chapter </w:t>
      </w:r>
      <w:r>
        <w:t>6.1</w:t>
      </w:r>
      <w:r w:rsidRPr="00C12A2D">
        <w:t xml:space="preserve">, </w:t>
      </w:r>
      <w:r>
        <w:t>6.1.3.14:</w:t>
      </w:r>
      <w:r w:rsidRPr="00C12A2D">
        <w:t xml:space="preserve"> </w:t>
      </w:r>
      <w:r>
        <w:t>The modification does not apply to the English text.</w:t>
      </w:r>
    </w:p>
    <w:p w14:paraId="29BDF109" w14:textId="77777777" w:rsidR="001D6BCF" w:rsidRDefault="001D6BCF" w:rsidP="001D6BCF">
      <w:pPr>
        <w:pStyle w:val="SingleTxtG"/>
        <w:rPr>
          <w:i/>
          <w:iCs/>
        </w:rPr>
      </w:pPr>
      <w:r w:rsidRPr="00C12A2D">
        <w:rPr>
          <w:i/>
          <w:iCs/>
        </w:rPr>
        <w:t>(Reference document: informal document INF.31)</w:t>
      </w:r>
    </w:p>
    <w:p w14:paraId="76D4C041" w14:textId="77777777" w:rsidR="001D6BCF" w:rsidRPr="00C12A2D" w:rsidRDefault="001D6BCF" w:rsidP="001D6BCF">
      <w:pPr>
        <w:pStyle w:val="SingleTxtG"/>
      </w:pPr>
      <w:r w:rsidRPr="00C12A2D">
        <w:t xml:space="preserve">Chapter </w:t>
      </w:r>
      <w:r>
        <w:t>6.5</w:t>
      </w:r>
      <w:r w:rsidRPr="00C12A2D">
        <w:t xml:space="preserve">, </w:t>
      </w:r>
      <w:r>
        <w:t>6.5.2.1.3:</w:t>
      </w:r>
      <w:r w:rsidRPr="00C12A2D">
        <w:t xml:space="preserve"> </w:t>
      </w:r>
      <w:r>
        <w:t>The modification does not apply to the English text.</w:t>
      </w:r>
    </w:p>
    <w:p w14:paraId="5AE08395" w14:textId="77777777" w:rsidR="001D6BCF" w:rsidRDefault="001D6BCF" w:rsidP="001D6BCF">
      <w:pPr>
        <w:pStyle w:val="SingleTxtG"/>
        <w:rPr>
          <w:i/>
          <w:iCs/>
        </w:rPr>
      </w:pPr>
      <w:r w:rsidRPr="00C12A2D">
        <w:rPr>
          <w:i/>
          <w:iCs/>
        </w:rPr>
        <w:t>(Reference document: informal document INF.31)</w:t>
      </w:r>
    </w:p>
    <w:p w14:paraId="7224E2A3" w14:textId="77777777" w:rsidR="001D6BCF" w:rsidRPr="00C12A2D" w:rsidRDefault="001D6BCF" w:rsidP="001D6BCF">
      <w:pPr>
        <w:pStyle w:val="SingleTxtG"/>
      </w:pPr>
      <w:r w:rsidRPr="00C12A2D">
        <w:t xml:space="preserve">Chapter </w:t>
      </w:r>
      <w:r>
        <w:t>6.6</w:t>
      </w:r>
      <w:r w:rsidRPr="00C12A2D">
        <w:t xml:space="preserve">, </w:t>
      </w:r>
      <w:r>
        <w:t>6.6.3.4:</w:t>
      </w:r>
      <w:r w:rsidRPr="00C12A2D">
        <w:t xml:space="preserve"> </w:t>
      </w:r>
      <w:r>
        <w:t>The modification does not apply to the English text.</w:t>
      </w:r>
    </w:p>
    <w:p w14:paraId="0C177C8E" w14:textId="77777777" w:rsidR="001D6BCF" w:rsidRDefault="001D6BCF" w:rsidP="001D6BCF">
      <w:pPr>
        <w:pStyle w:val="SingleTxtG"/>
        <w:rPr>
          <w:i/>
          <w:iCs/>
        </w:rPr>
      </w:pPr>
      <w:r w:rsidRPr="00C12A2D">
        <w:rPr>
          <w:i/>
          <w:iCs/>
        </w:rPr>
        <w:t>(Reference document: informal document INF.31)</w:t>
      </w:r>
    </w:p>
    <w:p w14:paraId="7C121871" w14:textId="77777777" w:rsidR="001D6BCF" w:rsidRPr="00C12A2D" w:rsidRDefault="001D6BCF" w:rsidP="001D6BCF">
      <w:pPr>
        <w:pStyle w:val="SingleTxtG"/>
      </w:pPr>
      <w:r w:rsidRPr="00C12A2D">
        <w:t xml:space="preserve">Chapter </w:t>
      </w:r>
      <w:r>
        <w:t>6.7</w:t>
      </w:r>
      <w:r w:rsidRPr="00C12A2D">
        <w:t xml:space="preserve">, </w:t>
      </w:r>
      <w:r>
        <w:t>6.7.2.19.6:</w:t>
      </w:r>
      <w:r w:rsidRPr="00C12A2D">
        <w:t xml:space="preserve"> </w:t>
      </w:r>
      <w:r>
        <w:t>In the heading, replace “Filling” by “Inspection and filling”.</w:t>
      </w:r>
    </w:p>
    <w:p w14:paraId="5D40A47B"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13F2DF39" w14:textId="77777777" w:rsidR="001D6BCF" w:rsidRPr="00C12A2D" w:rsidRDefault="001D6BCF" w:rsidP="001D6BCF">
      <w:pPr>
        <w:pStyle w:val="SingleTxtG"/>
      </w:pPr>
      <w:r w:rsidRPr="00C12A2D">
        <w:t xml:space="preserve">Chapter </w:t>
      </w:r>
      <w:r>
        <w:t>6.7</w:t>
      </w:r>
      <w:r w:rsidRPr="00C12A2D">
        <w:t xml:space="preserve">, </w:t>
      </w:r>
      <w:r>
        <w:t>6.7.3.15.6:</w:t>
      </w:r>
      <w:r w:rsidRPr="00C12A2D">
        <w:t xml:space="preserve"> </w:t>
      </w:r>
      <w:r>
        <w:t>The modification does not apply to the English text.</w:t>
      </w:r>
    </w:p>
    <w:p w14:paraId="676A4DB2"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74338425" w14:textId="77777777" w:rsidR="001D6BCF" w:rsidRPr="00C12A2D" w:rsidRDefault="001D6BCF" w:rsidP="001D6BCF">
      <w:pPr>
        <w:pStyle w:val="SingleTxtG"/>
      </w:pPr>
      <w:r w:rsidRPr="00C12A2D">
        <w:lastRenderedPageBreak/>
        <w:t xml:space="preserve">Chapter </w:t>
      </w:r>
      <w:r>
        <w:t>6.7</w:t>
      </w:r>
      <w:r w:rsidRPr="00C12A2D">
        <w:t xml:space="preserve">, </w:t>
      </w:r>
      <w:r>
        <w:t>6.7.4.14.6:</w:t>
      </w:r>
      <w:r w:rsidRPr="00C12A2D">
        <w:t xml:space="preserve"> </w:t>
      </w:r>
      <w:r>
        <w:t>The modification does not apply to the English text.</w:t>
      </w:r>
    </w:p>
    <w:p w14:paraId="77618184"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72B28B61" w14:textId="77777777" w:rsidR="001D6BCF" w:rsidRPr="00C12A2D" w:rsidRDefault="001D6BCF" w:rsidP="001D6BCF">
      <w:pPr>
        <w:pStyle w:val="SingleTxtG"/>
      </w:pPr>
      <w:r>
        <w:t xml:space="preserve">(ADN:) </w:t>
      </w:r>
      <w:r w:rsidRPr="00C12A2D">
        <w:t xml:space="preserve">Chapter </w:t>
      </w:r>
      <w:r>
        <w:t>7.1</w:t>
      </w:r>
      <w:r w:rsidRPr="00C12A2D">
        <w:t xml:space="preserve">, </w:t>
      </w:r>
      <w:r>
        <w:t>7.1.4.14.7.3.3 (b):</w:t>
      </w:r>
      <w:r w:rsidRPr="00C12A2D">
        <w:t xml:space="preserve"> </w:t>
      </w:r>
      <w:r>
        <w:t>Replace “radiation limits” by “dose rate limits”.</w:t>
      </w:r>
    </w:p>
    <w:p w14:paraId="4699EDC4" w14:textId="77777777" w:rsidR="001D6BCF" w:rsidRPr="00C12A2D" w:rsidRDefault="001D6BCF" w:rsidP="001D6BCF">
      <w:pPr>
        <w:pStyle w:val="SingleTxtG"/>
        <w:rPr>
          <w:i/>
          <w:iCs/>
        </w:rPr>
      </w:pPr>
      <w:r w:rsidRPr="00C12A2D">
        <w:rPr>
          <w:i/>
          <w:iCs/>
        </w:rPr>
        <w:t>(Reference document: informal document INF.</w:t>
      </w:r>
      <w:r>
        <w:rPr>
          <w:i/>
          <w:iCs/>
        </w:rPr>
        <w:t>20</w:t>
      </w:r>
      <w:r w:rsidRPr="00C12A2D">
        <w:rPr>
          <w:i/>
          <w:iCs/>
        </w:rPr>
        <w:t>)</w:t>
      </w:r>
    </w:p>
    <w:p w14:paraId="1A4356D7" w14:textId="77777777" w:rsidR="001D6BCF" w:rsidRPr="00B4377F" w:rsidRDefault="001D6BCF" w:rsidP="001D6BCF">
      <w:pPr>
        <w:pStyle w:val="SingleTxtG"/>
      </w:pPr>
      <w:r w:rsidRPr="00B4377F">
        <w:t>(RID/ADR:) Chapter 7.5, 7.5.11, CW33/CV33 (3) (3.3) (b): Replace “radiation limits” by “dose rate limits”.</w:t>
      </w:r>
    </w:p>
    <w:p w14:paraId="24673965" w14:textId="77777777" w:rsidR="001D6BCF" w:rsidRPr="00C12A2D" w:rsidRDefault="001D6BCF" w:rsidP="001D6BCF">
      <w:pPr>
        <w:pStyle w:val="SingleTxtG"/>
        <w:rPr>
          <w:i/>
          <w:iCs/>
        </w:rPr>
      </w:pPr>
      <w:r w:rsidRPr="00B4377F">
        <w:rPr>
          <w:i/>
          <w:iCs/>
        </w:rPr>
        <w:t>(Reference document: informal document INF.20)</w:t>
      </w:r>
    </w:p>
    <w:p w14:paraId="31A71868" w14:textId="77777777" w:rsidR="001D6BCF" w:rsidRDefault="001D6BCF">
      <w:pPr>
        <w:suppressAutoHyphens w:val="0"/>
        <w:spacing w:line="240" w:lineRule="auto"/>
        <w:rPr>
          <w:b/>
          <w:sz w:val="28"/>
          <w:lang w:val="x-none"/>
        </w:rPr>
      </w:pPr>
      <w:r>
        <w:br w:type="page"/>
      </w:r>
    </w:p>
    <w:p w14:paraId="00469446" w14:textId="54328863" w:rsidR="00A4768D" w:rsidRPr="00A4768D" w:rsidRDefault="00A4768D" w:rsidP="00A4768D">
      <w:pPr>
        <w:pStyle w:val="HChG"/>
        <w:rPr>
          <w:lang w:val="fr-CH"/>
        </w:rPr>
      </w:pPr>
      <w:r w:rsidRPr="00AA5051">
        <w:lastRenderedPageBreak/>
        <w:tab/>
      </w:r>
      <w:r w:rsidRPr="00AA5051">
        <w:tab/>
        <w:t>Annex II</w:t>
      </w:r>
      <w:r>
        <w:rPr>
          <w:lang w:val="fr-CH"/>
        </w:rPr>
        <w:t>I</w:t>
      </w:r>
    </w:p>
    <w:p w14:paraId="1212FC33" w14:textId="77777777" w:rsidR="007217F5" w:rsidRDefault="00A4768D" w:rsidP="00B57AA7">
      <w:pPr>
        <w:pStyle w:val="HChG"/>
        <w:rPr>
          <w:lang w:val="fr-CH"/>
        </w:rPr>
      </w:pPr>
      <w:r w:rsidRPr="00AA5051">
        <w:tab/>
      </w:r>
      <w:r w:rsidRPr="00AA5051">
        <w:tab/>
      </w:r>
      <w:r w:rsidR="00B57AA7">
        <w:t>Guidelines for the use of 5.4.0.2 in RID/ADR/A</w:t>
      </w:r>
      <w:r w:rsidR="00317101">
        <w:rPr>
          <w:lang w:val="fr-CH"/>
        </w:rPr>
        <w:t>D</w:t>
      </w:r>
      <w:r w:rsidR="00B57AA7">
        <w:t>N</w:t>
      </w:r>
      <w:r w:rsidR="007217F5">
        <w:rPr>
          <w:lang w:val="fr-CH"/>
        </w:rPr>
        <w:t xml:space="preserve"> </w:t>
      </w:r>
    </w:p>
    <w:p w14:paraId="3DD08EA5" w14:textId="79595230" w:rsidR="00B57AA7" w:rsidRPr="007217F5" w:rsidRDefault="007217F5" w:rsidP="007217F5">
      <w:pPr>
        <w:pStyle w:val="SingleTxtG"/>
        <w:rPr>
          <w:lang w:val="fr-CH"/>
        </w:rPr>
      </w:pPr>
      <w:r>
        <w:rPr>
          <w:lang w:val="fr-CH"/>
        </w:rPr>
        <w:tab/>
      </w:r>
      <w:r w:rsidRPr="007217F5">
        <w:rPr>
          <w:lang w:val="fr-CH"/>
        </w:rPr>
        <w:t>(</w:t>
      </w:r>
      <w:proofErr w:type="spellStart"/>
      <w:r w:rsidRPr="007217F5">
        <w:rPr>
          <w:lang w:val="fr-CH"/>
        </w:rPr>
        <w:t>see</w:t>
      </w:r>
      <w:proofErr w:type="spellEnd"/>
      <w:r w:rsidRPr="007217F5">
        <w:rPr>
          <w:lang w:val="fr-CH"/>
        </w:rPr>
        <w:t xml:space="preserve"> </w:t>
      </w:r>
      <w:proofErr w:type="spellStart"/>
      <w:r w:rsidRPr="007217F5">
        <w:rPr>
          <w:lang w:val="fr-CH"/>
        </w:rPr>
        <w:t>paragraph</w:t>
      </w:r>
      <w:proofErr w:type="spellEnd"/>
      <w:r w:rsidRPr="007217F5">
        <w:rPr>
          <w:lang w:val="fr-CH"/>
        </w:rPr>
        <w:t xml:space="preserve"> 48)</w:t>
      </w:r>
    </w:p>
    <w:p w14:paraId="78D87D6B" w14:textId="5027E15F" w:rsidR="000F23E3" w:rsidRDefault="00B57AA7" w:rsidP="00B57AA7">
      <w:pPr>
        <w:pStyle w:val="SingleTxtG"/>
      </w:pPr>
      <w:r>
        <w:t>In ECE/TRANS/WP.15/AC.1/2019/44, annex B, replace the pictogram by:</w:t>
      </w:r>
    </w:p>
    <w:p w14:paraId="4795CC45" w14:textId="58CA573F" w:rsidR="00B57AA7" w:rsidRDefault="00B57AA7" w:rsidP="00B57AA7">
      <w:pPr>
        <w:pStyle w:val="SingleTxtG"/>
      </w:pPr>
    </w:p>
    <w:p w14:paraId="6581F71B" w14:textId="45F1C43D" w:rsidR="00B57AA7" w:rsidRDefault="00B57AA7" w:rsidP="00B57AA7">
      <w:pPr>
        <w:pStyle w:val="SingleTxtG"/>
      </w:pPr>
    </w:p>
    <w:p w14:paraId="6702348B" w14:textId="2AD8025A" w:rsidR="00B57AA7" w:rsidRDefault="00B57AA7" w:rsidP="00B57AA7">
      <w:pPr>
        <w:pStyle w:val="SingleTxtG"/>
      </w:pPr>
      <w:r>
        <w:rPr>
          <w:noProof/>
        </w:rPr>
        <w:drawing>
          <wp:anchor distT="0" distB="0" distL="114300" distR="114300" simplePos="0" relativeHeight="251658240" behindDoc="0" locked="0" layoutInCell="1" allowOverlap="1" wp14:anchorId="1A76E5EC" wp14:editId="5698A353">
            <wp:simplePos x="0" y="0"/>
            <wp:positionH relativeFrom="column">
              <wp:posOffset>1860245</wp:posOffset>
            </wp:positionH>
            <wp:positionV relativeFrom="paragraph">
              <wp:posOffset>52705</wp:posOffset>
            </wp:positionV>
            <wp:extent cx="2128520" cy="20332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_eDocument_ICON.jpg"/>
                    <pic:cNvPicPr/>
                  </pic:nvPicPr>
                  <pic:blipFill rotWithShape="1">
                    <a:blip r:embed="rId9">
                      <a:extLst>
                        <a:ext uri="{28A0092B-C50C-407E-A947-70E740481C1C}">
                          <a14:useLocalDpi xmlns:a14="http://schemas.microsoft.com/office/drawing/2010/main" val="0"/>
                        </a:ext>
                      </a:extLst>
                    </a:blip>
                    <a:srcRect l="33345" t="21035" r="31872" b="19891"/>
                    <a:stretch/>
                  </pic:blipFill>
                  <pic:spPr bwMode="auto">
                    <a:xfrm>
                      <a:off x="0" y="0"/>
                      <a:ext cx="2128520" cy="2033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D1DF28" w14:textId="0B67DEB8" w:rsidR="00B57AA7" w:rsidRDefault="00B57AA7" w:rsidP="00B57AA7">
      <w:pPr>
        <w:pStyle w:val="SingleTxtG"/>
      </w:pPr>
    </w:p>
    <w:p w14:paraId="3C99BB3F" w14:textId="60EC4F87" w:rsidR="00B57AA7" w:rsidRDefault="00B57AA7" w:rsidP="00B57AA7">
      <w:pPr>
        <w:pStyle w:val="SingleTxtG"/>
      </w:pPr>
    </w:p>
    <w:p w14:paraId="566B6F7F" w14:textId="72A13EDD" w:rsidR="00B57AA7" w:rsidRDefault="00B57AA7" w:rsidP="00B57AA7">
      <w:pPr>
        <w:pStyle w:val="SingleTxtG"/>
      </w:pPr>
    </w:p>
    <w:p w14:paraId="2EF59B6C" w14:textId="1F5850E2" w:rsidR="00B57AA7" w:rsidRDefault="00B57AA7" w:rsidP="00B57AA7">
      <w:pPr>
        <w:pStyle w:val="SingleTxtG"/>
      </w:pPr>
    </w:p>
    <w:p w14:paraId="1A23AEFE" w14:textId="65FD0549" w:rsidR="00B57AA7" w:rsidRDefault="00B57AA7" w:rsidP="00B57AA7">
      <w:pPr>
        <w:pStyle w:val="SingleTxtG"/>
      </w:pPr>
    </w:p>
    <w:p w14:paraId="36C0B882" w14:textId="1A7317CA" w:rsidR="00B57AA7" w:rsidRDefault="00B57AA7" w:rsidP="00B57AA7">
      <w:pPr>
        <w:pStyle w:val="SingleTxtG"/>
      </w:pPr>
    </w:p>
    <w:p w14:paraId="4C645B93" w14:textId="411A0346" w:rsidR="00B57AA7" w:rsidRDefault="00B57AA7" w:rsidP="00B57AA7">
      <w:pPr>
        <w:pStyle w:val="SingleTxtG"/>
      </w:pPr>
    </w:p>
    <w:p w14:paraId="1DFC6B59" w14:textId="77AF03C7" w:rsidR="00B57AA7" w:rsidRDefault="00B57AA7" w:rsidP="00B57AA7">
      <w:pPr>
        <w:pStyle w:val="SingleTxtG"/>
      </w:pPr>
    </w:p>
    <w:p w14:paraId="1030F051" w14:textId="40801331" w:rsidR="00B57AA7" w:rsidRDefault="00B57AA7" w:rsidP="00B57AA7">
      <w:pPr>
        <w:pStyle w:val="SingleTxtG"/>
      </w:pPr>
    </w:p>
    <w:p w14:paraId="0C6D0862" w14:textId="4DE75950" w:rsidR="00B57AA7" w:rsidRDefault="00B57AA7" w:rsidP="00B57AA7">
      <w:pPr>
        <w:pStyle w:val="SingleTxtG"/>
      </w:pPr>
    </w:p>
    <w:p w14:paraId="187161A5" w14:textId="77777777" w:rsidR="00B57AA7" w:rsidRPr="00445421" w:rsidRDefault="00B57AA7" w:rsidP="00B57AA7">
      <w:pPr>
        <w:spacing w:before="240"/>
        <w:ind w:left="1134" w:right="1134"/>
        <w:jc w:val="center"/>
        <w:rPr>
          <w:u w:val="single"/>
        </w:rPr>
      </w:pPr>
      <w:r>
        <w:rPr>
          <w:u w:val="single"/>
        </w:rPr>
        <w:tab/>
      </w:r>
      <w:r>
        <w:rPr>
          <w:u w:val="single"/>
        </w:rPr>
        <w:tab/>
      </w:r>
      <w:r>
        <w:rPr>
          <w:u w:val="single"/>
        </w:rPr>
        <w:tab/>
      </w:r>
    </w:p>
    <w:p w14:paraId="3F5A375E" w14:textId="77777777" w:rsidR="00B57AA7" w:rsidRDefault="00B57AA7" w:rsidP="00B57AA7">
      <w:pPr>
        <w:pStyle w:val="SingleTxtG"/>
      </w:pPr>
    </w:p>
    <w:sectPr w:rsidR="00B57AA7" w:rsidSect="00486BF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1E54" w14:textId="77777777" w:rsidR="00B77AB2" w:rsidRDefault="00B77AB2"/>
  </w:endnote>
  <w:endnote w:type="continuationSeparator" w:id="0">
    <w:p w14:paraId="67487DCB" w14:textId="77777777" w:rsidR="00B77AB2" w:rsidRDefault="00B77AB2"/>
  </w:endnote>
  <w:endnote w:type="continuationNotice" w:id="1">
    <w:p w14:paraId="49AAAFDB" w14:textId="77777777" w:rsidR="00B77AB2" w:rsidRDefault="00B77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8CCC" w14:textId="07866D2C" w:rsidR="00B77AB2" w:rsidRPr="00C34EE0" w:rsidRDefault="00B77AB2" w:rsidP="00C34EE0">
    <w:pPr>
      <w:pStyle w:val="Footer"/>
      <w:tabs>
        <w:tab w:val="right" w:pos="9638"/>
      </w:tabs>
    </w:pPr>
    <w:r w:rsidRPr="00C34EE0">
      <w:rPr>
        <w:b/>
        <w:sz w:val="18"/>
      </w:rPr>
      <w:fldChar w:fldCharType="begin"/>
    </w:r>
    <w:r w:rsidRPr="00C34EE0">
      <w:rPr>
        <w:b/>
        <w:sz w:val="18"/>
      </w:rPr>
      <w:instrText xml:space="preserve"> PAGE  \* MERGEFORMAT </w:instrText>
    </w:r>
    <w:r w:rsidRPr="00C34EE0">
      <w:rPr>
        <w:b/>
        <w:sz w:val="18"/>
      </w:rPr>
      <w:fldChar w:fldCharType="separate"/>
    </w:r>
    <w:r>
      <w:rPr>
        <w:b/>
        <w:noProof/>
        <w:sz w:val="18"/>
      </w:rPr>
      <w:t>22</w:t>
    </w:r>
    <w:r w:rsidRPr="00C34E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58DB" w14:textId="6DAF27E5" w:rsidR="00B77AB2" w:rsidRPr="00C34EE0" w:rsidRDefault="00B77AB2" w:rsidP="00C34EE0">
    <w:pPr>
      <w:pStyle w:val="Footer"/>
      <w:tabs>
        <w:tab w:val="right" w:pos="9638"/>
      </w:tabs>
      <w:rPr>
        <w:b/>
        <w:sz w:val="18"/>
      </w:rPr>
    </w:pPr>
    <w:r>
      <w:tab/>
    </w:r>
    <w:r w:rsidRPr="00C34EE0">
      <w:rPr>
        <w:b/>
        <w:sz w:val="18"/>
      </w:rPr>
      <w:fldChar w:fldCharType="begin"/>
    </w:r>
    <w:r w:rsidRPr="00C34EE0">
      <w:rPr>
        <w:b/>
        <w:sz w:val="18"/>
      </w:rPr>
      <w:instrText xml:space="preserve"> PAGE  \* MERGEFORMAT </w:instrText>
    </w:r>
    <w:r w:rsidRPr="00C34EE0">
      <w:rPr>
        <w:b/>
        <w:sz w:val="18"/>
      </w:rPr>
      <w:fldChar w:fldCharType="separate"/>
    </w:r>
    <w:r>
      <w:rPr>
        <w:b/>
        <w:noProof/>
        <w:sz w:val="18"/>
      </w:rPr>
      <w:t>21</w:t>
    </w:r>
    <w:r w:rsidRPr="00C34E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FF9A" w14:textId="77777777" w:rsidR="00B77AB2" w:rsidRPr="000B175B" w:rsidRDefault="00B77AB2" w:rsidP="000B175B">
      <w:pPr>
        <w:tabs>
          <w:tab w:val="right" w:pos="2155"/>
        </w:tabs>
        <w:spacing w:after="80"/>
        <w:ind w:left="680"/>
        <w:rPr>
          <w:u w:val="single"/>
        </w:rPr>
      </w:pPr>
      <w:r>
        <w:rPr>
          <w:u w:val="single"/>
        </w:rPr>
        <w:tab/>
      </w:r>
    </w:p>
  </w:footnote>
  <w:footnote w:type="continuationSeparator" w:id="0">
    <w:p w14:paraId="2DB13A5F" w14:textId="77777777" w:rsidR="00B77AB2" w:rsidRPr="00FC68B7" w:rsidRDefault="00B77AB2" w:rsidP="00FC68B7">
      <w:pPr>
        <w:tabs>
          <w:tab w:val="left" w:pos="2155"/>
        </w:tabs>
        <w:spacing w:after="80"/>
        <w:ind w:left="680"/>
        <w:rPr>
          <w:u w:val="single"/>
        </w:rPr>
      </w:pPr>
      <w:r>
        <w:rPr>
          <w:u w:val="single"/>
        </w:rPr>
        <w:tab/>
      </w:r>
    </w:p>
  </w:footnote>
  <w:footnote w:type="continuationNotice" w:id="1">
    <w:p w14:paraId="76987418" w14:textId="77777777" w:rsidR="00B77AB2" w:rsidRDefault="00B77AB2"/>
  </w:footnote>
  <w:footnote w:id="2">
    <w:p w14:paraId="1614BD78" w14:textId="4A8F5564" w:rsidR="00B77AB2" w:rsidRPr="005D5932" w:rsidRDefault="00B77AB2" w:rsidP="002A62C6">
      <w:pPr>
        <w:pStyle w:val="FootnoteText"/>
        <w:rPr>
          <w:sz w:val="20"/>
          <w:lang w:val="fr-CH"/>
        </w:rPr>
      </w:pPr>
      <w:r>
        <w:rPr>
          <w:rStyle w:val="FootnoteReference"/>
          <w:sz w:val="20"/>
        </w:rPr>
        <w:tab/>
      </w:r>
      <w:r w:rsidRPr="005D5932">
        <w:rPr>
          <w:rStyle w:val="FootnoteReference"/>
          <w:sz w:val="20"/>
        </w:rPr>
        <w:t>*</w:t>
      </w:r>
      <w:r>
        <w:rPr>
          <w:sz w:val="20"/>
        </w:rPr>
        <w:tab/>
      </w:r>
      <w:r w:rsidRPr="005D5932">
        <w:rPr>
          <w:szCs w:val="18"/>
        </w:rPr>
        <w:t xml:space="preserve">Circulated by the Intergovernmental Organization for International Carriage by Rail (OTIF) under the symbol </w:t>
      </w:r>
      <w:r w:rsidRPr="00386B02">
        <w:rPr>
          <w:szCs w:val="18"/>
        </w:rPr>
        <w:t>OTIF/RID/RC/201</w:t>
      </w:r>
      <w:r w:rsidRPr="00386B02">
        <w:rPr>
          <w:szCs w:val="18"/>
          <w:lang w:val="fr-CH"/>
        </w:rPr>
        <w:t>9</w:t>
      </w:r>
      <w:r w:rsidRPr="00386B02">
        <w:rPr>
          <w:szCs w:val="18"/>
        </w:rPr>
        <w:t>-B.</w:t>
      </w:r>
      <w:r w:rsidRPr="005D5932">
        <w:rPr>
          <w:szCs w:val="18"/>
        </w:rPr>
        <w:t xml:space="preserve">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4F4EEE3C" w14:textId="476343A5" w:rsidR="00B77AB2" w:rsidRPr="00D4632B" w:rsidRDefault="00B77AB2" w:rsidP="00631924">
      <w:pPr>
        <w:pStyle w:val="FootnoteText"/>
      </w:pPr>
      <w:r>
        <w:tab/>
      </w:r>
      <w:r w:rsidRPr="001B32E3">
        <w:rPr>
          <w:rStyle w:val="FootnoteReference"/>
          <w:sz w:val="20"/>
        </w:rPr>
        <w:t>**</w:t>
      </w:r>
      <w:r>
        <w:tab/>
        <w:t xml:space="preserve"> For practical reasons, annex I ha</w:t>
      </w:r>
      <w:r>
        <w:rPr>
          <w:lang w:val="fr-CH"/>
        </w:rPr>
        <w:t>s</w:t>
      </w:r>
      <w:r>
        <w:t xml:space="preserve"> been published as addend</w:t>
      </w:r>
      <w:r>
        <w:rPr>
          <w:lang w:val="fr-CH"/>
        </w:rPr>
        <w:t>um</w:t>
      </w:r>
      <w:r>
        <w:t>, with the symbol ECE/TRANS/WP.15/AC.1/15</w:t>
      </w:r>
      <w:r>
        <w:rPr>
          <w:lang w:val="fr-CH"/>
        </w:rPr>
        <w:t>6</w:t>
      </w:r>
      <w:r>
        <w:t>/Add.1.</w:t>
      </w:r>
    </w:p>
  </w:footnote>
  <w:footnote w:id="4">
    <w:p w14:paraId="21DBC762" w14:textId="71867379" w:rsidR="00B77AB2" w:rsidRPr="00893480" w:rsidRDefault="00B77AB2">
      <w:pPr>
        <w:pStyle w:val="FootnoteText"/>
        <w:rPr>
          <w:lang w:val="fr-CH"/>
        </w:rPr>
      </w:pPr>
      <w:r>
        <w:rPr>
          <w:rStyle w:val="FootnoteReference"/>
        </w:rPr>
        <w:footnoteRef/>
      </w:r>
      <w:r>
        <w:t xml:space="preserve"> </w:t>
      </w:r>
      <w:r>
        <w:rPr>
          <w:lang w:val="fr-CH"/>
        </w:rPr>
        <w:tab/>
      </w:r>
      <w:r>
        <w:rPr>
          <w:lang w:val="fr-CH"/>
        </w:rPr>
        <w:tab/>
      </w:r>
      <w:proofErr w:type="spellStart"/>
      <w:r>
        <w:rPr>
          <w:lang w:val="fr-CH"/>
        </w:rPr>
        <w:t>See</w:t>
      </w:r>
      <w:proofErr w:type="spellEnd"/>
      <w:r>
        <w:rPr>
          <w:lang w:val="fr-CH"/>
        </w:rPr>
        <w:t xml:space="preserve"> </w:t>
      </w:r>
      <w:r w:rsidRPr="00877861">
        <w:t>https://www.fead.be/legislative-overview/adr</w:t>
      </w:r>
    </w:p>
  </w:footnote>
  <w:footnote w:id="5">
    <w:p w14:paraId="69D15D17" w14:textId="77777777" w:rsidR="00B77AB2" w:rsidRDefault="00B77AB2" w:rsidP="008B2685">
      <w:pPr>
        <w:pStyle w:val="SingleTxtG"/>
        <w:spacing w:after="0"/>
      </w:pPr>
      <w:r>
        <w:rPr>
          <w:rStyle w:val="FootnoteReference"/>
        </w:rPr>
        <w:footnoteRef/>
      </w:r>
      <w:r>
        <w:t xml:space="preserve"> </w:t>
      </w:r>
      <w:r>
        <w:tab/>
      </w:r>
      <w:hyperlink r:id="rId1" w:history="1">
        <w:r>
          <w:rPr>
            <w:rStyle w:val="Hyperlink"/>
          </w:rPr>
          <w:t>www.era.europa.eu/activities/transport-dangerous-goods/inland-tdg_en</w:t>
        </w:r>
      </w:hyperlink>
    </w:p>
    <w:p w14:paraId="1FED3A96" w14:textId="77777777" w:rsidR="00B77AB2" w:rsidRDefault="00B77AB2" w:rsidP="008B2685">
      <w:pPr>
        <w:pStyle w:val="SingleTxtG"/>
        <w:spacing w:after="0"/>
      </w:pPr>
      <w:r>
        <w:tab/>
      </w:r>
      <w:r>
        <w:tab/>
      </w:r>
      <w:hyperlink r:id="rId2" w:history="1">
        <w:r>
          <w:rPr>
            <w:rStyle w:val="Hyperlink"/>
          </w:rPr>
          <w:t>ec.europa.eu/transport/themes/dangerous_goods_en</w:t>
        </w:r>
      </w:hyperlink>
    </w:p>
    <w:p w14:paraId="6AED504D" w14:textId="77777777" w:rsidR="00B77AB2" w:rsidRDefault="00236A5E" w:rsidP="008B2685">
      <w:pPr>
        <w:pStyle w:val="SingleTxtG"/>
        <w:spacing w:after="0"/>
        <w:rPr>
          <w:lang w:val="fr-CH"/>
        </w:rPr>
      </w:pPr>
      <w:hyperlink r:id="rId3" w:history="1">
        <w:r w:rsidR="00B77AB2">
          <w:rPr>
            <w:rStyle w:val="Hyperlink"/>
          </w:rPr>
          <w:tab/>
        </w:r>
        <w:r w:rsidR="00B77AB2">
          <w:rPr>
            <w:rStyle w:val="Hyperlink"/>
          </w:rPr>
          <w:tab/>
          <w:t>ec.europa.eu/transport/themes/dangerous_good/risk_management_framework_en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B368" w14:textId="2DAF225B" w:rsidR="00B77AB2" w:rsidRPr="00C34EE0" w:rsidRDefault="00B77AB2" w:rsidP="00C34EE0">
    <w:pPr>
      <w:pStyle w:val="Header"/>
    </w:pPr>
    <w:r>
      <w:t>ECE/TRANS/WP.15/AC.1/156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687B" w14:textId="269873F5" w:rsidR="00B77AB2" w:rsidRPr="00C34EE0" w:rsidRDefault="00B77AB2" w:rsidP="00486BF7">
    <w:pPr>
      <w:pStyle w:val="Header"/>
      <w:jc w:val="right"/>
    </w:pPr>
    <w:r>
      <w:t>ECE/TRANS/WP.15/AC.1/156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42D31"/>
    <w:multiLevelType w:val="hybridMultilevel"/>
    <w:tmpl w:val="C512B4C0"/>
    <w:lvl w:ilvl="0" w:tplc="1518AFE8">
      <w:start w:val="1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026749F4"/>
    <w:multiLevelType w:val="hybridMultilevel"/>
    <w:tmpl w:val="43046C72"/>
    <w:lvl w:ilvl="0" w:tplc="C4BCDA5A">
      <w:start w:val="6"/>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1873D2"/>
    <w:multiLevelType w:val="hybridMultilevel"/>
    <w:tmpl w:val="90B4CB08"/>
    <w:lvl w:ilvl="0" w:tplc="357E733E">
      <w:start w:val="99"/>
      <w:numFmt w:val="bullet"/>
      <w:lvlText w:val=""/>
      <w:lvlJc w:val="left"/>
      <w:pPr>
        <w:ind w:left="1494" w:hanging="360"/>
      </w:pPr>
      <w:rPr>
        <w:rFonts w:ascii="Symbol" w:eastAsia="Times New Roma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0AE94909"/>
    <w:multiLevelType w:val="hybridMultilevel"/>
    <w:tmpl w:val="155837B8"/>
    <w:lvl w:ilvl="0" w:tplc="CFA45332">
      <w:start w:val="7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0F35123D"/>
    <w:multiLevelType w:val="hybridMultilevel"/>
    <w:tmpl w:val="7E642278"/>
    <w:lvl w:ilvl="0" w:tplc="D9A668C4">
      <w:start w:val="7"/>
      <w:numFmt w:val="upperRoman"/>
      <w:lvlText w:val="%1."/>
      <w:lvlJc w:val="left"/>
      <w:pPr>
        <w:tabs>
          <w:tab w:val="num" w:pos="1347"/>
        </w:tabs>
        <w:ind w:left="1347" w:hanging="78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143435C9"/>
    <w:multiLevelType w:val="hybridMultilevel"/>
    <w:tmpl w:val="61FA22FE"/>
    <w:lvl w:ilvl="0" w:tplc="090A4362">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27D83B41"/>
    <w:multiLevelType w:val="hybridMultilevel"/>
    <w:tmpl w:val="BAFE18A6"/>
    <w:lvl w:ilvl="0" w:tplc="C8A84CC4">
      <w:start w:val="1"/>
      <w:numFmt w:val="lowerLetter"/>
      <w:lvlText w:val="(%1)"/>
      <w:lvlJc w:val="left"/>
      <w:pPr>
        <w:ind w:left="2628" w:hanging="360"/>
      </w:pPr>
      <w:rPr>
        <w:rFonts w:hint="default"/>
      </w:rPr>
    </w:lvl>
    <w:lvl w:ilvl="1" w:tplc="040C0019" w:tentative="1">
      <w:start w:val="1"/>
      <w:numFmt w:val="lowerLetter"/>
      <w:lvlText w:val="%2."/>
      <w:lvlJc w:val="left"/>
      <w:pPr>
        <w:ind w:left="1048" w:hanging="360"/>
      </w:pPr>
    </w:lvl>
    <w:lvl w:ilvl="2" w:tplc="040C001B" w:tentative="1">
      <w:start w:val="1"/>
      <w:numFmt w:val="lowerRoman"/>
      <w:lvlText w:val="%3."/>
      <w:lvlJc w:val="right"/>
      <w:pPr>
        <w:ind w:left="1768" w:hanging="180"/>
      </w:pPr>
    </w:lvl>
    <w:lvl w:ilvl="3" w:tplc="040C000F" w:tentative="1">
      <w:start w:val="1"/>
      <w:numFmt w:val="decimal"/>
      <w:lvlText w:val="%4."/>
      <w:lvlJc w:val="left"/>
      <w:pPr>
        <w:ind w:left="2488" w:hanging="360"/>
      </w:pPr>
    </w:lvl>
    <w:lvl w:ilvl="4" w:tplc="040C0019" w:tentative="1">
      <w:start w:val="1"/>
      <w:numFmt w:val="lowerLetter"/>
      <w:lvlText w:val="%5."/>
      <w:lvlJc w:val="left"/>
      <w:pPr>
        <w:ind w:left="3208" w:hanging="360"/>
      </w:pPr>
    </w:lvl>
    <w:lvl w:ilvl="5" w:tplc="040C001B" w:tentative="1">
      <w:start w:val="1"/>
      <w:numFmt w:val="lowerRoman"/>
      <w:lvlText w:val="%6."/>
      <w:lvlJc w:val="right"/>
      <w:pPr>
        <w:ind w:left="3928" w:hanging="180"/>
      </w:pPr>
    </w:lvl>
    <w:lvl w:ilvl="6" w:tplc="040C000F" w:tentative="1">
      <w:start w:val="1"/>
      <w:numFmt w:val="decimal"/>
      <w:lvlText w:val="%7."/>
      <w:lvlJc w:val="left"/>
      <w:pPr>
        <w:ind w:left="4648" w:hanging="360"/>
      </w:pPr>
    </w:lvl>
    <w:lvl w:ilvl="7" w:tplc="040C0019" w:tentative="1">
      <w:start w:val="1"/>
      <w:numFmt w:val="lowerLetter"/>
      <w:lvlText w:val="%8."/>
      <w:lvlJc w:val="left"/>
      <w:pPr>
        <w:ind w:left="5368" w:hanging="360"/>
      </w:pPr>
    </w:lvl>
    <w:lvl w:ilvl="8" w:tplc="040C001B" w:tentative="1">
      <w:start w:val="1"/>
      <w:numFmt w:val="lowerRoman"/>
      <w:lvlText w:val="%9."/>
      <w:lvlJc w:val="right"/>
      <w:pPr>
        <w:ind w:left="6088" w:hanging="180"/>
      </w:pPr>
    </w:lvl>
  </w:abstractNum>
  <w:abstractNum w:abstractNumId="23" w15:restartNumberingAfterBreak="0">
    <w:nsid w:val="2A5656D0"/>
    <w:multiLevelType w:val="hybridMultilevel"/>
    <w:tmpl w:val="E8F23D22"/>
    <w:lvl w:ilvl="0" w:tplc="426207F8">
      <w:start w:val="6"/>
      <w:numFmt w:val="upperRoman"/>
      <w:lvlText w:val="%1."/>
      <w:lvlJc w:val="left"/>
      <w:pPr>
        <w:tabs>
          <w:tab w:val="num" w:pos="1200"/>
        </w:tabs>
        <w:ind w:left="1200" w:hanging="720"/>
      </w:pPr>
      <w:rPr>
        <w:rFonts w:hint="default"/>
      </w:rPr>
    </w:lvl>
    <w:lvl w:ilvl="1" w:tplc="D2686764">
      <w:start w:val="2"/>
      <w:numFmt w:val="lowerLetter"/>
      <w:lvlText w:val="%2."/>
      <w:lvlJc w:val="left"/>
      <w:pPr>
        <w:tabs>
          <w:tab w:val="num" w:pos="1560"/>
        </w:tabs>
        <w:ind w:left="1560" w:hanging="360"/>
      </w:pPr>
      <w:rPr>
        <w:rFonts w:hint="default"/>
      </w:rPr>
    </w:lvl>
    <w:lvl w:ilvl="2" w:tplc="C3F8B832">
      <w:start w:val="2"/>
      <w:numFmt w:val="upperLetter"/>
      <w:lvlText w:val="%3."/>
      <w:lvlJc w:val="left"/>
      <w:pPr>
        <w:tabs>
          <w:tab w:val="num" w:pos="2460"/>
        </w:tabs>
        <w:ind w:left="2460" w:hanging="360"/>
      </w:pPr>
      <w:rPr>
        <w:rFonts w:hint="default"/>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DD608D"/>
    <w:multiLevelType w:val="hybridMultilevel"/>
    <w:tmpl w:val="7E423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68379D7"/>
    <w:multiLevelType w:val="hybridMultilevel"/>
    <w:tmpl w:val="854C27BA"/>
    <w:lvl w:ilvl="0" w:tplc="4B6003BC">
      <w:start w:val="7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15:restartNumberingAfterBreak="0">
    <w:nsid w:val="36E815D9"/>
    <w:multiLevelType w:val="hybridMultilevel"/>
    <w:tmpl w:val="AD1481A2"/>
    <w:lvl w:ilvl="0" w:tplc="614C2DF0">
      <w:start w:val="6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15:restartNumberingAfterBreak="0">
    <w:nsid w:val="38386996"/>
    <w:multiLevelType w:val="hybridMultilevel"/>
    <w:tmpl w:val="E49E3660"/>
    <w:lvl w:ilvl="0" w:tplc="3360775E">
      <w:start w:val="3"/>
      <w:numFmt w:val="upperRoman"/>
      <w:lvlText w:val="%1."/>
      <w:lvlJc w:val="left"/>
      <w:pPr>
        <w:tabs>
          <w:tab w:val="num" w:pos="1570"/>
        </w:tabs>
        <w:ind w:left="1570" w:hanging="72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9" w15:restartNumberingAfterBreak="0">
    <w:nsid w:val="39F64775"/>
    <w:multiLevelType w:val="hybridMultilevel"/>
    <w:tmpl w:val="3E34B2A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0" w15:restartNumberingAfterBreak="0">
    <w:nsid w:val="3F8A41DE"/>
    <w:multiLevelType w:val="hybridMultilevel"/>
    <w:tmpl w:val="E014199C"/>
    <w:lvl w:ilvl="0" w:tplc="AB1E186A">
      <w:start w:val="1"/>
      <w:numFmt w:val="upperRoman"/>
      <w:lvlText w:val="%1."/>
      <w:lvlJc w:val="left"/>
      <w:pPr>
        <w:ind w:left="1410" w:hanging="72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31" w15:restartNumberingAfterBreak="0">
    <w:nsid w:val="404E2C68"/>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A0328"/>
    <w:multiLevelType w:val="hybridMultilevel"/>
    <w:tmpl w:val="32D8EC1E"/>
    <w:lvl w:ilvl="0" w:tplc="3A4615C2">
      <w:start w:val="5"/>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B2D5533"/>
    <w:multiLevelType w:val="hybridMultilevel"/>
    <w:tmpl w:val="B718C3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4EC7682C"/>
    <w:multiLevelType w:val="hybridMultilevel"/>
    <w:tmpl w:val="D7F8005A"/>
    <w:lvl w:ilvl="0" w:tplc="02F82F64">
      <w:start w:val="1"/>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7" w15:restartNumberingAfterBreak="0">
    <w:nsid w:val="58742CD8"/>
    <w:multiLevelType w:val="hybridMultilevel"/>
    <w:tmpl w:val="B9DCB468"/>
    <w:lvl w:ilvl="0" w:tplc="FBFC9034">
      <w:start w:val="42"/>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8" w15:restartNumberingAfterBreak="0">
    <w:nsid w:val="58BE2F82"/>
    <w:multiLevelType w:val="hybridMultilevel"/>
    <w:tmpl w:val="BA840E4C"/>
    <w:lvl w:ilvl="0" w:tplc="03DEB89A">
      <w:start w:val="1"/>
      <w:numFmt w:val="bullet"/>
      <w:lvlText w:val="o"/>
      <w:lvlJc w:val="left"/>
      <w:pPr>
        <w:tabs>
          <w:tab w:val="num" w:pos="1891"/>
        </w:tabs>
        <w:ind w:left="1891" w:hanging="360"/>
      </w:pPr>
      <w:rPr>
        <w:rFonts w:ascii="Courier New" w:hAnsi="Courier New"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4"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39"/>
  </w:num>
  <w:num w:numId="15">
    <w:abstractNumId w:val="19"/>
  </w:num>
  <w:num w:numId="16">
    <w:abstractNumId w:val="14"/>
  </w:num>
  <w:num w:numId="17">
    <w:abstractNumId w:val="28"/>
  </w:num>
  <w:num w:numId="18">
    <w:abstractNumId w:val="27"/>
  </w:num>
  <w:num w:numId="19">
    <w:abstractNumId w:val="17"/>
  </w:num>
  <w:num w:numId="20">
    <w:abstractNumId w:val="31"/>
  </w:num>
  <w:num w:numId="21">
    <w:abstractNumId w:val="38"/>
  </w:num>
  <w:num w:numId="22">
    <w:abstractNumId w:val="37"/>
  </w:num>
  <w:num w:numId="23">
    <w:abstractNumId w:val="36"/>
  </w:num>
  <w:num w:numId="24">
    <w:abstractNumId w:val="18"/>
  </w:num>
  <w:num w:numId="25">
    <w:abstractNumId w:val="12"/>
  </w:num>
  <w:num w:numId="26">
    <w:abstractNumId w:val="32"/>
  </w:num>
  <w:num w:numId="27">
    <w:abstractNumId w:val="23"/>
  </w:num>
  <w:num w:numId="28">
    <w:abstractNumId w:val="11"/>
  </w:num>
  <w:num w:numId="29">
    <w:abstractNumId w:val="26"/>
  </w:num>
  <w:num w:numId="30">
    <w:abstractNumId w:val="16"/>
  </w:num>
  <w:num w:numId="31">
    <w:abstractNumId w:val="22"/>
  </w:num>
  <w:num w:numId="32">
    <w:abstractNumId w:val="15"/>
  </w:num>
  <w:num w:numId="33">
    <w:abstractNumId w:val="30"/>
  </w:num>
  <w:num w:numId="34">
    <w:abstractNumId w:val="42"/>
  </w:num>
  <w:num w:numId="35">
    <w:abstractNumId w:val="40"/>
  </w:num>
  <w:num w:numId="36">
    <w:abstractNumId w:val="21"/>
  </w:num>
  <w:num w:numId="37">
    <w:abstractNumId w:val="13"/>
  </w:num>
  <w:num w:numId="38">
    <w:abstractNumId w:val="41"/>
  </w:num>
  <w:num w:numId="39">
    <w:abstractNumId w:val="34"/>
  </w:num>
  <w:num w:numId="40">
    <w:abstractNumId w:val="35"/>
  </w:num>
  <w:num w:numId="41">
    <w:abstractNumId w:val="29"/>
  </w:num>
  <w:num w:numId="42">
    <w:abstractNumId w:val="43"/>
  </w:num>
  <w:num w:numId="43">
    <w:abstractNumId w:val="44"/>
  </w:num>
  <w:num w:numId="44">
    <w:abstractNumId w:val="2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4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3A"/>
    <w:rsid w:val="00000169"/>
    <w:rsid w:val="0000040B"/>
    <w:rsid w:val="0000392D"/>
    <w:rsid w:val="00003DF1"/>
    <w:rsid w:val="00004A3F"/>
    <w:rsid w:val="000054CA"/>
    <w:rsid w:val="000060DC"/>
    <w:rsid w:val="000121F5"/>
    <w:rsid w:val="0001478F"/>
    <w:rsid w:val="00015D98"/>
    <w:rsid w:val="00017DD9"/>
    <w:rsid w:val="00031528"/>
    <w:rsid w:val="00031D0B"/>
    <w:rsid w:val="00032082"/>
    <w:rsid w:val="00033207"/>
    <w:rsid w:val="000335E0"/>
    <w:rsid w:val="00035D3C"/>
    <w:rsid w:val="00037E7D"/>
    <w:rsid w:val="00040B67"/>
    <w:rsid w:val="0004650F"/>
    <w:rsid w:val="00046B1F"/>
    <w:rsid w:val="0004788F"/>
    <w:rsid w:val="00050F6B"/>
    <w:rsid w:val="00050FD1"/>
    <w:rsid w:val="000514E1"/>
    <w:rsid w:val="00052E33"/>
    <w:rsid w:val="00057E97"/>
    <w:rsid w:val="0006190A"/>
    <w:rsid w:val="00063631"/>
    <w:rsid w:val="00063BC4"/>
    <w:rsid w:val="0006414A"/>
    <w:rsid w:val="0006542A"/>
    <w:rsid w:val="00065EA7"/>
    <w:rsid w:val="00066D85"/>
    <w:rsid w:val="00067BA0"/>
    <w:rsid w:val="00072C8C"/>
    <w:rsid w:val="000733B5"/>
    <w:rsid w:val="00074C22"/>
    <w:rsid w:val="0007643F"/>
    <w:rsid w:val="00077281"/>
    <w:rsid w:val="00077EF6"/>
    <w:rsid w:val="00080117"/>
    <w:rsid w:val="0008071E"/>
    <w:rsid w:val="00081815"/>
    <w:rsid w:val="00081AF1"/>
    <w:rsid w:val="000831C3"/>
    <w:rsid w:val="00084E26"/>
    <w:rsid w:val="00085B97"/>
    <w:rsid w:val="0008607E"/>
    <w:rsid w:val="000906D8"/>
    <w:rsid w:val="000931C0"/>
    <w:rsid w:val="0009365C"/>
    <w:rsid w:val="00093D15"/>
    <w:rsid w:val="0009665E"/>
    <w:rsid w:val="000A0A4B"/>
    <w:rsid w:val="000A0D1A"/>
    <w:rsid w:val="000A1232"/>
    <w:rsid w:val="000A35FB"/>
    <w:rsid w:val="000A5081"/>
    <w:rsid w:val="000A6228"/>
    <w:rsid w:val="000A6BD2"/>
    <w:rsid w:val="000A79BB"/>
    <w:rsid w:val="000B0595"/>
    <w:rsid w:val="000B09B7"/>
    <w:rsid w:val="000B175B"/>
    <w:rsid w:val="000B3A0F"/>
    <w:rsid w:val="000B4EF7"/>
    <w:rsid w:val="000B5312"/>
    <w:rsid w:val="000B7049"/>
    <w:rsid w:val="000B77A4"/>
    <w:rsid w:val="000C295D"/>
    <w:rsid w:val="000C2C03"/>
    <w:rsid w:val="000C2D2E"/>
    <w:rsid w:val="000C4C4B"/>
    <w:rsid w:val="000C6040"/>
    <w:rsid w:val="000C7522"/>
    <w:rsid w:val="000D0827"/>
    <w:rsid w:val="000D1F64"/>
    <w:rsid w:val="000D2DE2"/>
    <w:rsid w:val="000D35B0"/>
    <w:rsid w:val="000D58B3"/>
    <w:rsid w:val="000E0415"/>
    <w:rsid w:val="000E2040"/>
    <w:rsid w:val="000E23AA"/>
    <w:rsid w:val="000F0053"/>
    <w:rsid w:val="000F007A"/>
    <w:rsid w:val="000F0B5A"/>
    <w:rsid w:val="000F1572"/>
    <w:rsid w:val="000F23E3"/>
    <w:rsid w:val="000F3A84"/>
    <w:rsid w:val="000F573C"/>
    <w:rsid w:val="0010043A"/>
    <w:rsid w:val="001015C6"/>
    <w:rsid w:val="001051E8"/>
    <w:rsid w:val="00105816"/>
    <w:rsid w:val="0010596B"/>
    <w:rsid w:val="00105A2A"/>
    <w:rsid w:val="001103AA"/>
    <w:rsid w:val="001133C8"/>
    <w:rsid w:val="00113550"/>
    <w:rsid w:val="00115E4B"/>
    <w:rsid w:val="00116601"/>
    <w:rsid w:val="0011666B"/>
    <w:rsid w:val="001174BE"/>
    <w:rsid w:val="00121952"/>
    <w:rsid w:val="0012297E"/>
    <w:rsid w:val="0012344B"/>
    <w:rsid w:val="00126A4F"/>
    <w:rsid w:val="00132273"/>
    <w:rsid w:val="001327A9"/>
    <w:rsid w:val="00132CFF"/>
    <w:rsid w:val="00135EF2"/>
    <w:rsid w:val="00136960"/>
    <w:rsid w:val="00136A95"/>
    <w:rsid w:val="0014183A"/>
    <w:rsid w:val="0014447C"/>
    <w:rsid w:val="00145266"/>
    <w:rsid w:val="00145652"/>
    <w:rsid w:val="001465B0"/>
    <w:rsid w:val="00146DBB"/>
    <w:rsid w:val="00146DBC"/>
    <w:rsid w:val="00151798"/>
    <w:rsid w:val="00152726"/>
    <w:rsid w:val="00152CBA"/>
    <w:rsid w:val="001533C5"/>
    <w:rsid w:val="00153A81"/>
    <w:rsid w:val="00155256"/>
    <w:rsid w:val="00155407"/>
    <w:rsid w:val="00162DFF"/>
    <w:rsid w:val="00164462"/>
    <w:rsid w:val="00164C1B"/>
    <w:rsid w:val="001651F3"/>
    <w:rsid w:val="00165F3A"/>
    <w:rsid w:val="001707B7"/>
    <w:rsid w:val="0017123D"/>
    <w:rsid w:val="00171481"/>
    <w:rsid w:val="001754EB"/>
    <w:rsid w:val="001831DF"/>
    <w:rsid w:val="001842E4"/>
    <w:rsid w:val="0018638B"/>
    <w:rsid w:val="001942CC"/>
    <w:rsid w:val="001948F6"/>
    <w:rsid w:val="00195C46"/>
    <w:rsid w:val="00196682"/>
    <w:rsid w:val="00197E29"/>
    <w:rsid w:val="001A0458"/>
    <w:rsid w:val="001A1421"/>
    <w:rsid w:val="001A1FCE"/>
    <w:rsid w:val="001A3E62"/>
    <w:rsid w:val="001A7AAA"/>
    <w:rsid w:val="001B063A"/>
    <w:rsid w:val="001B0B7C"/>
    <w:rsid w:val="001B1062"/>
    <w:rsid w:val="001B15ED"/>
    <w:rsid w:val="001B308A"/>
    <w:rsid w:val="001B3436"/>
    <w:rsid w:val="001B3F17"/>
    <w:rsid w:val="001B4B04"/>
    <w:rsid w:val="001B5475"/>
    <w:rsid w:val="001B6ED2"/>
    <w:rsid w:val="001B7DD3"/>
    <w:rsid w:val="001C0E86"/>
    <w:rsid w:val="001C1B54"/>
    <w:rsid w:val="001C27D3"/>
    <w:rsid w:val="001C2FD8"/>
    <w:rsid w:val="001C30DE"/>
    <w:rsid w:val="001C4937"/>
    <w:rsid w:val="001C4A14"/>
    <w:rsid w:val="001C4B8C"/>
    <w:rsid w:val="001C4D8B"/>
    <w:rsid w:val="001C5C40"/>
    <w:rsid w:val="001C6663"/>
    <w:rsid w:val="001C6DDA"/>
    <w:rsid w:val="001C6E34"/>
    <w:rsid w:val="001C72A0"/>
    <w:rsid w:val="001C7895"/>
    <w:rsid w:val="001C7EA6"/>
    <w:rsid w:val="001D0C8C"/>
    <w:rsid w:val="001D1419"/>
    <w:rsid w:val="001D26DF"/>
    <w:rsid w:val="001D3A03"/>
    <w:rsid w:val="001D51D7"/>
    <w:rsid w:val="001D6BCF"/>
    <w:rsid w:val="001D76BD"/>
    <w:rsid w:val="001D7E34"/>
    <w:rsid w:val="001E1FB9"/>
    <w:rsid w:val="001E3E31"/>
    <w:rsid w:val="001E4C9B"/>
    <w:rsid w:val="001E4E89"/>
    <w:rsid w:val="001E5FC4"/>
    <w:rsid w:val="001E6B06"/>
    <w:rsid w:val="001E7B67"/>
    <w:rsid w:val="001E7D66"/>
    <w:rsid w:val="001F0917"/>
    <w:rsid w:val="001F0C2B"/>
    <w:rsid w:val="001F2B5D"/>
    <w:rsid w:val="001F7E66"/>
    <w:rsid w:val="00200A8E"/>
    <w:rsid w:val="00201168"/>
    <w:rsid w:val="00201BF3"/>
    <w:rsid w:val="00202DA8"/>
    <w:rsid w:val="00203610"/>
    <w:rsid w:val="00204086"/>
    <w:rsid w:val="00204F08"/>
    <w:rsid w:val="00205E83"/>
    <w:rsid w:val="00210708"/>
    <w:rsid w:val="00211D75"/>
    <w:rsid w:val="00211E0B"/>
    <w:rsid w:val="00213D05"/>
    <w:rsid w:val="0021409E"/>
    <w:rsid w:val="00214F95"/>
    <w:rsid w:val="002234EA"/>
    <w:rsid w:val="00225182"/>
    <w:rsid w:val="00225A14"/>
    <w:rsid w:val="00231839"/>
    <w:rsid w:val="00231C60"/>
    <w:rsid w:val="00232AF1"/>
    <w:rsid w:val="002344FE"/>
    <w:rsid w:val="00234850"/>
    <w:rsid w:val="00236A5E"/>
    <w:rsid w:val="00236B71"/>
    <w:rsid w:val="0023731E"/>
    <w:rsid w:val="00237950"/>
    <w:rsid w:val="002418E7"/>
    <w:rsid w:val="0024211A"/>
    <w:rsid w:val="0024299C"/>
    <w:rsid w:val="0024641D"/>
    <w:rsid w:val="0024694D"/>
    <w:rsid w:val="00252BF2"/>
    <w:rsid w:val="00255BA1"/>
    <w:rsid w:val="002564A7"/>
    <w:rsid w:val="00257DFE"/>
    <w:rsid w:val="00265697"/>
    <w:rsid w:val="00266604"/>
    <w:rsid w:val="00267F5F"/>
    <w:rsid w:val="002701E5"/>
    <w:rsid w:val="002706AC"/>
    <w:rsid w:val="00270A3F"/>
    <w:rsid w:val="00271615"/>
    <w:rsid w:val="002718C9"/>
    <w:rsid w:val="00272635"/>
    <w:rsid w:val="00275599"/>
    <w:rsid w:val="00275B07"/>
    <w:rsid w:val="00276362"/>
    <w:rsid w:val="002766C4"/>
    <w:rsid w:val="00280728"/>
    <w:rsid w:val="00280E3A"/>
    <w:rsid w:val="00282ADB"/>
    <w:rsid w:val="00282D4B"/>
    <w:rsid w:val="0028312B"/>
    <w:rsid w:val="00284661"/>
    <w:rsid w:val="00286B4D"/>
    <w:rsid w:val="00292CAA"/>
    <w:rsid w:val="0029388C"/>
    <w:rsid w:val="00293DBE"/>
    <w:rsid w:val="00293F36"/>
    <w:rsid w:val="00294703"/>
    <w:rsid w:val="00295179"/>
    <w:rsid w:val="00295DC5"/>
    <w:rsid w:val="002969CD"/>
    <w:rsid w:val="00297A22"/>
    <w:rsid w:val="002A45B8"/>
    <w:rsid w:val="002A62C6"/>
    <w:rsid w:val="002B2F07"/>
    <w:rsid w:val="002B4251"/>
    <w:rsid w:val="002B49DE"/>
    <w:rsid w:val="002B4FCF"/>
    <w:rsid w:val="002B6EB2"/>
    <w:rsid w:val="002C08C9"/>
    <w:rsid w:val="002C1AD3"/>
    <w:rsid w:val="002C510D"/>
    <w:rsid w:val="002C670F"/>
    <w:rsid w:val="002D4343"/>
    <w:rsid w:val="002D4643"/>
    <w:rsid w:val="002D6BA2"/>
    <w:rsid w:val="002E0D0A"/>
    <w:rsid w:val="002E1CCB"/>
    <w:rsid w:val="002E2A4F"/>
    <w:rsid w:val="002E33A2"/>
    <w:rsid w:val="002E46C0"/>
    <w:rsid w:val="002E5D30"/>
    <w:rsid w:val="002E5E51"/>
    <w:rsid w:val="002F175C"/>
    <w:rsid w:val="002F3F07"/>
    <w:rsid w:val="002F4FF9"/>
    <w:rsid w:val="00300E65"/>
    <w:rsid w:val="003019B8"/>
    <w:rsid w:val="00302CDB"/>
    <w:rsid w:val="00302E18"/>
    <w:rsid w:val="003031FD"/>
    <w:rsid w:val="00303FD1"/>
    <w:rsid w:val="0030498D"/>
    <w:rsid w:val="0030605F"/>
    <w:rsid w:val="003060F0"/>
    <w:rsid w:val="00307016"/>
    <w:rsid w:val="00311695"/>
    <w:rsid w:val="00311BDD"/>
    <w:rsid w:val="00316BD4"/>
    <w:rsid w:val="00317101"/>
    <w:rsid w:val="00320E66"/>
    <w:rsid w:val="00321DE3"/>
    <w:rsid w:val="003229D8"/>
    <w:rsid w:val="00323199"/>
    <w:rsid w:val="00323A22"/>
    <w:rsid w:val="003263D9"/>
    <w:rsid w:val="00327CB5"/>
    <w:rsid w:val="00330A66"/>
    <w:rsid w:val="00331742"/>
    <w:rsid w:val="003333E3"/>
    <w:rsid w:val="003341F1"/>
    <w:rsid w:val="003358A8"/>
    <w:rsid w:val="00335DC2"/>
    <w:rsid w:val="00336B57"/>
    <w:rsid w:val="003431D7"/>
    <w:rsid w:val="003435D5"/>
    <w:rsid w:val="00343AEB"/>
    <w:rsid w:val="00343C35"/>
    <w:rsid w:val="00344465"/>
    <w:rsid w:val="003456AF"/>
    <w:rsid w:val="003505A4"/>
    <w:rsid w:val="00352709"/>
    <w:rsid w:val="00353E30"/>
    <w:rsid w:val="00353FB1"/>
    <w:rsid w:val="00361231"/>
    <w:rsid w:val="0036260D"/>
    <w:rsid w:val="00362ACF"/>
    <w:rsid w:val="00362DC3"/>
    <w:rsid w:val="0036307A"/>
    <w:rsid w:val="00365426"/>
    <w:rsid w:val="00367985"/>
    <w:rsid w:val="0037007C"/>
    <w:rsid w:val="00371178"/>
    <w:rsid w:val="00372B53"/>
    <w:rsid w:val="00372D68"/>
    <w:rsid w:val="003742E3"/>
    <w:rsid w:val="00374353"/>
    <w:rsid w:val="00374366"/>
    <w:rsid w:val="003778B1"/>
    <w:rsid w:val="0038084E"/>
    <w:rsid w:val="00382A89"/>
    <w:rsid w:val="00383E16"/>
    <w:rsid w:val="003856C4"/>
    <w:rsid w:val="00386B02"/>
    <w:rsid w:val="00390E8F"/>
    <w:rsid w:val="00391772"/>
    <w:rsid w:val="00395244"/>
    <w:rsid w:val="00397874"/>
    <w:rsid w:val="00397AB2"/>
    <w:rsid w:val="003A1EF9"/>
    <w:rsid w:val="003A2438"/>
    <w:rsid w:val="003A2EEF"/>
    <w:rsid w:val="003A5622"/>
    <w:rsid w:val="003A5A1B"/>
    <w:rsid w:val="003A61F7"/>
    <w:rsid w:val="003A6810"/>
    <w:rsid w:val="003A7976"/>
    <w:rsid w:val="003A7E6B"/>
    <w:rsid w:val="003B0990"/>
    <w:rsid w:val="003B0DFB"/>
    <w:rsid w:val="003B1BE1"/>
    <w:rsid w:val="003B1F7C"/>
    <w:rsid w:val="003B460B"/>
    <w:rsid w:val="003C2CC4"/>
    <w:rsid w:val="003C2D56"/>
    <w:rsid w:val="003C37FF"/>
    <w:rsid w:val="003C6232"/>
    <w:rsid w:val="003D1B89"/>
    <w:rsid w:val="003D20D1"/>
    <w:rsid w:val="003D2A93"/>
    <w:rsid w:val="003D4B23"/>
    <w:rsid w:val="003D607D"/>
    <w:rsid w:val="003D6718"/>
    <w:rsid w:val="003D67AD"/>
    <w:rsid w:val="003E470D"/>
    <w:rsid w:val="003E65F0"/>
    <w:rsid w:val="003E6F29"/>
    <w:rsid w:val="003F1492"/>
    <w:rsid w:val="003F27B6"/>
    <w:rsid w:val="003F46A5"/>
    <w:rsid w:val="003F49D8"/>
    <w:rsid w:val="003F6EC1"/>
    <w:rsid w:val="00400015"/>
    <w:rsid w:val="00400DE3"/>
    <w:rsid w:val="00404943"/>
    <w:rsid w:val="00406F66"/>
    <w:rsid w:val="0040764D"/>
    <w:rsid w:val="00410A71"/>
    <w:rsid w:val="00410C89"/>
    <w:rsid w:val="004156A3"/>
    <w:rsid w:val="00417C74"/>
    <w:rsid w:val="00420FA3"/>
    <w:rsid w:val="00421B49"/>
    <w:rsid w:val="00421D10"/>
    <w:rsid w:val="00422915"/>
    <w:rsid w:val="00422C12"/>
    <w:rsid w:val="00422E03"/>
    <w:rsid w:val="00423B2E"/>
    <w:rsid w:val="0042550B"/>
    <w:rsid w:val="00425712"/>
    <w:rsid w:val="00426B9B"/>
    <w:rsid w:val="00426F8C"/>
    <w:rsid w:val="0043198D"/>
    <w:rsid w:val="004325CB"/>
    <w:rsid w:val="00433A3D"/>
    <w:rsid w:val="004357E8"/>
    <w:rsid w:val="004363DD"/>
    <w:rsid w:val="00436658"/>
    <w:rsid w:val="00436F16"/>
    <w:rsid w:val="00441EE6"/>
    <w:rsid w:val="0044258E"/>
    <w:rsid w:val="00442788"/>
    <w:rsid w:val="00442A83"/>
    <w:rsid w:val="004432D2"/>
    <w:rsid w:val="0044449A"/>
    <w:rsid w:val="004444AB"/>
    <w:rsid w:val="00444628"/>
    <w:rsid w:val="00445421"/>
    <w:rsid w:val="00445A15"/>
    <w:rsid w:val="0044692D"/>
    <w:rsid w:val="00451771"/>
    <w:rsid w:val="00452A22"/>
    <w:rsid w:val="0045495B"/>
    <w:rsid w:val="00456B77"/>
    <w:rsid w:val="004576F1"/>
    <w:rsid w:val="00462B7E"/>
    <w:rsid w:val="004733EF"/>
    <w:rsid w:val="00473416"/>
    <w:rsid w:val="00474365"/>
    <w:rsid w:val="00474AF9"/>
    <w:rsid w:val="00474CBE"/>
    <w:rsid w:val="0047534E"/>
    <w:rsid w:val="0047574E"/>
    <w:rsid w:val="004760BD"/>
    <w:rsid w:val="00476359"/>
    <w:rsid w:val="00477B0D"/>
    <w:rsid w:val="00477D7B"/>
    <w:rsid w:val="004822A4"/>
    <w:rsid w:val="0048397A"/>
    <w:rsid w:val="00483FFD"/>
    <w:rsid w:val="00484858"/>
    <w:rsid w:val="0048654C"/>
    <w:rsid w:val="00486BF7"/>
    <w:rsid w:val="00487CDE"/>
    <w:rsid w:val="0049065C"/>
    <w:rsid w:val="0049118F"/>
    <w:rsid w:val="0049193A"/>
    <w:rsid w:val="00492647"/>
    <w:rsid w:val="00492922"/>
    <w:rsid w:val="00494B6F"/>
    <w:rsid w:val="004A2890"/>
    <w:rsid w:val="004A36AB"/>
    <w:rsid w:val="004A56F9"/>
    <w:rsid w:val="004A6B94"/>
    <w:rsid w:val="004B36D0"/>
    <w:rsid w:val="004B46B7"/>
    <w:rsid w:val="004B64C0"/>
    <w:rsid w:val="004B78F8"/>
    <w:rsid w:val="004C2461"/>
    <w:rsid w:val="004C2780"/>
    <w:rsid w:val="004C38FC"/>
    <w:rsid w:val="004C4D9D"/>
    <w:rsid w:val="004C666C"/>
    <w:rsid w:val="004C7462"/>
    <w:rsid w:val="004D0952"/>
    <w:rsid w:val="004D4606"/>
    <w:rsid w:val="004D5AE4"/>
    <w:rsid w:val="004D6D47"/>
    <w:rsid w:val="004D7447"/>
    <w:rsid w:val="004E2DF3"/>
    <w:rsid w:val="004E2E1A"/>
    <w:rsid w:val="004E59C6"/>
    <w:rsid w:val="004E62FD"/>
    <w:rsid w:val="004E77B2"/>
    <w:rsid w:val="004F2D9A"/>
    <w:rsid w:val="004F4446"/>
    <w:rsid w:val="004F5C04"/>
    <w:rsid w:val="005009FC"/>
    <w:rsid w:val="00503F08"/>
    <w:rsid w:val="005043F0"/>
    <w:rsid w:val="00504B2D"/>
    <w:rsid w:val="0050537F"/>
    <w:rsid w:val="0051203D"/>
    <w:rsid w:val="00513AA2"/>
    <w:rsid w:val="00513FFD"/>
    <w:rsid w:val="0052136D"/>
    <w:rsid w:val="005247F1"/>
    <w:rsid w:val="005270D8"/>
    <w:rsid w:val="0052775E"/>
    <w:rsid w:val="00530009"/>
    <w:rsid w:val="00530AA9"/>
    <w:rsid w:val="00532188"/>
    <w:rsid w:val="00532BE8"/>
    <w:rsid w:val="0053511C"/>
    <w:rsid w:val="00535495"/>
    <w:rsid w:val="00537AF9"/>
    <w:rsid w:val="005420F2"/>
    <w:rsid w:val="00542C3C"/>
    <w:rsid w:val="0054453B"/>
    <w:rsid w:val="0054488D"/>
    <w:rsid w:val="005465F5"/>
    <w:rsid w:val="00550827"/>
    <w:rsid w:val="005513D0"/>
    <w:rsid w:val="005516DC"/>
    <w:rsid w:val="00551D9D"/>
    <w:rsid w:val="0055431F"/>
    <w:rsid w:val="005556F3"/>
    <w:rsid w:val="00556DCE"/>
    <w:rsid w:val="00560371"/>
    <w:rsid w:val="005628B6"/>
    <w:rsid w:val="005644BA"/>
    <w:rsid w:val="00565C16"/>
    <w:rsid w:val="00565CE5"/>
    <w:rsid w:val="00566D45"/>
    <w:rsid w:val="00570B87"/>
    <w:rsid w:val="00571C9C"/>
    <w:rsid w:val="00571F74"/>
    <w:rsid w:val="005736F8"/>
    <w:rsid w:val="00577426"/>
    <w:rsid w:val="005776C8"/>
    <w:rsid w:val="005831C4"/>
    <w:rsid w:val="00585A8E"/>
    <w:rsid w:val="00587574"/>
    <w:rsid w:val="00590B53"/>
    <w:rsid w:val="0059244B"/>
    <w:rsid w:val="00592947"/>
    <w:rsid w:val="00592DFD"/>
    <w:rsid w:val="00593256"/>
    <w:rsid w:val="005933CC"/>
    <w:rsid w:val="00593FED"/>
    <w:rsid w:val="00594022"/>
    <w:rsid w:val="00595497"/>
    <w:rsid w:val="00596C5B"/>
    <w:rsid w:val="005974C7"/>
    <w:rsid w:val="005A5181"/>
    <w:rsid w:val="005B33AD"/>
    <w:rsid w:val="005B33B7"/>
    <w:rsid w:val="005B3DB3"/>
    <w:rsid w:val="005B4E13"/>
    <w:rsid w:val="005B6AB8"/>
    <w:rsid w:val="005C105A"/>
    <w:rsid w:val="005C29C2"/>
    <w:rsid w:val="005C4BA7"/>
    <w:rsid w:val="005C5226"/>
    <w:rsid w:val="005D0F9D"/>
    <w:rsid w:val="005D28DC"/>
    <w:rsid w:val="005D3823"/>
    <w:rsid w:val="005D4E46"/>
    <w:rsid w:val="005D5932"/>
    <w:rsid w:val="005E1941"/>
    <w:rsid w:val="005E5759"/>
    <w:rsid w:val="005E68AA"/>
    <w:rsid w:val="005F0835"/>
    <w:rsid w:val="005F242B"/>
    <w:rsid w:val="005F7B75"/>
    <w:rsid w:val="006001EE"/>
    <w:rsid w:val="0060240C"/>
    <w:rsid w:val="0060451C"/>
    <w:rsid w:val="00605042"/>
    <w:rsid w:val="00606B2C"/>
    <w:rsid w:val="0060714B"/>
    <w:rsid w:val="006105A3"/>
    <w:rsid w:val="00610634"/>
    <w:rsid w:val="00611B0F"/>
    <w:rsid w:val="00611FC4"/>
    <w:rsid w:val="00611FCD"/>
    <w:rsid w:val="0061501D"/>
    <w:rsid w:val="006176FB"/>
    <w:rsid w:val="00617E91"/>
    <w:rsid w:val="00622CAB"/>
    <w:rsid w:val="00623FEB"/>
    <w:rsid w:val="0062408B"/>
    <w:rsid w:val="00624C84"/>
    <w:rsid w:val="006258F5"/>
    <w:rsid w:val="006263F6"/>
    <w:rsid w:val="00627FAC"/>
    <w:rsid w:val="00630F7C"/>
    <w:rsid w:val="00631924"/>
    <w:rsid w:val="00632429"/>
    <w:rsid w:val="0063275B"/>
    <w:rsid w:val="00632ACB"/>
    <w:rsid w:val="00633738"/>
    <w:rsid w:val="006357B7"/>
    <w:rsid w:val="0063759E"/>
    <w:rsid w:val="00640B26"/>
    <w:rsid w:val="00643CC5"/>
    <w:rsid w:val="006444B6"/>
    <w:rsid w:val="00645784"/>
    <w:rsid w:val="00647338"/>
    <w:rsid w:val="00647A01"/>
    <w:rsid w:val="00652481"/>
    <w:rsid w:val="00652D0A"/>
    <w:rsid w:val="006566B6"/>
    <w:rsid w:val="0065768F"/>
    <w:rsid w:val="00657A14"/>
    <w:rsid w:val="006613F1"/>
    <w:rsid w:val="0066208B"/>
    <w:rsid w:val="00662BB6"/>
    <w:rsid w:val="006635C4"/>
    <w:rsid w:val="006649DD"/>
    <w:rsid w:val="00665BFE"/>
    <w:rsid w:val="0066735C"/>
    <w:rsid w:val="00671568"/>
    <w:rsid w:val="00671767"/>
    <w:rsid w:val="00674184"/>
    <w:rsid w:val="00677B55"/>
    <w:rsid w:val="006801FC"/>
    <w:rsid w:val="006816AC"/>
    <w:rsid w:val="00681888"/>
    <w:rsid w:val="00683839"/>
    <w:rsid w:val="00684C21"/>
    <w:rsid w:val="00685273"/>
    <w:rsid w:val="00686D28"/>
    <w:rsid w:val="00691FB3"/>
    <w:rsid w:val="0069203A"/>
    <w:rsid w:val="00692D4E"/>
    <w:rsid w:val="00692D77"/>
    <w:rsid w:val="00695210"/>
    <w:rsid w:val="0069634E"/>
    <w:rsid w:val="006968ED"/>
    <w:rsid w:val="00697634"/>
    <w:rsid w:val="006A20E0"/>
    <w:rsid w:val="006A2530"/>
    <w:rsid w:val="006A49FD"/>
    <w:rsid w:val="006A6497"/>
    <w:rsid w:val="006A7B1E"/>
    <w:rsid w:val="006B0835"/>
    <w:rsid w:val="006B27C8"/>
    <w:rsid w:val="006B48CE"/>
    <w:rsid w:val="006B5F46"/>
    <w:rsid w:val="006C0582"/>
    <w:rsid w:val="006C2AF5"/>
    <w:rsid w:val="006C3589"/>
    <w:rsid w:val="006C5611"/>
    <w:rsid w:val="006D0EFD"/>
    <w:rsid w:val="006D3354"/>
    <w:rsid w:val="006D37AF"/>
    <w:rsid w:val="006D3F5E"/>
    <w:rsid w:val="006D51D0"/>
    <w:rsid w:val="006E0743"/>
    <w:rsid w:val="006E1098"/>
    <w:rsid w:val="006E1C54"/>
    <w:rsid w:val="006E373B"/>
    <w:rsid w:val="006E5434"/>
    <w:rsid w:val="006E564B"/>
    <w:rsid w:val="006E7191"/>
    <w:rsid w:val="006F0F23"/>
    <w:rsid w:val="006F2405"/>
    <w:rsid w:val="006F2F25"/>
    <w:rsid w:val="006F384F"/>
    <w:rsid w:val="006F5323"/>
    <w:rsid w:val="006F5451"/>
    <w:rsid w:val="0070161B"/>
    <w:rsid w:val="0070167D"/>
    <w:rsid w:val="007021B3"/>
    <w:rsid w:val="007023C0"/>
    <w:rsid w:val="00703577"/>
    <w:rsid w:val="00705894"/>
    <w:rsid w:val="00705CEC"/>
    <w:rsid w:val="00711527"/>
    <w:rsid w:val="00712CDA"/>
    <w:rsid w:val="00712E41"/>
    <w:rsid w:val="007138DB"/>
    <w:rsid w:val="0071393D"/>
    <w:rsid w:val="00714191"/>
    <w:rsid w:val="00715391"/>
    <w:rsid w:val="00715F79"/>
    <w:rsid w:val="00716106"/>
    <w:rsid w:val="00717AEC"/>
    <w:rsid w:val="007217F5"/>
    <w:rsid w:val="0072336C"/>
    <w:rsid w:val="00724AD3"/>
    <w:rsid w:val="0072515C"/>
    <w:rsid w:val="0072632A"/>
    <w:rsid w:val="00727812"/>
    <w:rsid w:val="007279DE"/>
    <w:rsid w:val="0073061C"/>
    <w:rsid w:val="007307CE"/>
    <w:rsid w:val="007327D5"/>
    <w:rsid w:val="007330A5"/>
    <w:rsid w:val="00736E7E"/>
    <w:rsid w:val="00737388"/>
    <w:rsid w:val="007374F0"/>
    <w:rsid w:val="00741403"/>
    <w:rsid w:val="007436AB"/>
    <w:rsid w:val="00744BF8"/>
    <w:rsid w:val="00744C35"/>
    <w:rsid w:val="007466E5"/>
    <w:rsid w:val="007506E7"/>
    <w:rsid w:val="00751129"/>
    <w:rsid w:val="00752B75"/>
    <w:rsid w:val="0075564D"/>
    <w:rsid w:val="00755847"/>
    <w:rsid w:val="007607EA"/>
    <w:rsid w:val="007629C8"/>
    <w:rsid w:val="007637A1"/>
    <w:rsid w:val="00763963"/>
    <w:rsid w:val="00767B7A"/>
    <w:rsid w:val="0077047D"/>
    <w:rsid w:val="00771A0B"/>
    <w:rsid w:val="007749DC"/>
    <w:rsid w:val="007764B8"/>
    <w:rsid w:val="00776BBC"/>
    <w:rsid w:val="00777BC0"/>
    <w:rsid w:val="00780F4A"/>
    <w:rsid w:val="00781DA5"/>
    <w:rsid w:val="0078303B"/>
    <w:rsid w:val="00786509"/>
    <w:rsid w:val="00792301"/>
    <w:rsid w:val="00792711"/>
    <w:rsid w:val="007933A5"/>
    <w:rsid w:val="00793BB3"/>
    <w:rsid w:val="00794C60"/>
    <w:rsid w:val="00794DD2"/>
    <w:rsid w:val="00796A67"/>
    <w:rsid w:val="00797CEA"/>
    <w:rsid w:val="007A4E47"/>
    <w:rsid w:val="007A6E87"/>
    <w:rsid w:val="007A7D2B"/>
    <w:rsid w:val="007A7E95"/>
    <w:rsid w:val="007B168D"/>
    <w:rsid w:val="007B2392"/>
    <w:rsid w:val="007B4FC6"/>
    <w:rsid w:val="007B5E96"/>
    <w:rsid w:val="007B6AEB"/>
    <w:rsid w:val="007B6BA5"/>
    <w:rsid w:val="007B714D"/>
    <w:rsid w:val="007C017C"/>
    <w:rsid w:val="007C0774"/>
    <w:rsid w:val="007C2B1D"/>
    <w:rsid w:val="007C3390"/>
    <w:rsid w:val="007C4F4B"/>
    <w:rsid w:val="007C6F84"/>
    <w:rsid w:val="007C7861"/>
    <w:rsid w:val="007D092F"/>
    <w:rsid w:val="007D09A6"/>
    <w:rsid w:val="007D0E04"/>
    <w:rsid w:val="007D1070"/>
    <w:rsid w:val="007D1C06"/>
    <w:rsid w:val="007D52B0"/>
    <w:rsid w:val="007D5C00"/>
    <w:rsid w:val="007D629E"/>
    <w:rsid w:val="007D63DF"/>
    <w:rsid w:val="007E01E9"/>
    <w:rsid w:val="007E4A9C"/>
    <w:rsid w:val="007E5FAA"/>
    <w:rsid w:val="007E63F3"/>
    <w:rsid w:val="007E7601"/>
    <w:rsid w:val="007F4D7F"/>
    <w:rsid w:val="007F5C32"/>
    <w:rsid w:val="007F6611"/>
    <w:rsid w:val="00800004"/>
    <w:rsid w:val="00800DAD"/>
    <w:rsid w:val="00801FC5"/>
    <w:rsid w:val="00804002"/>
    <w:rsid w:val="00804176"/>
    <w:rsid w:val="008052FE"/>
    <w:rsid w:val="00807085"/>
    <w:rsid w:val="00807D81"/>
    <w:rsid w:val="008101FD"/>
    <w:rsid w:val="00810700"/>
    <w:rsid w:val="00811920"/>
    <w:rsid w:val="00814460"/>
    <w:rsid w:val="008152FA"/>
    <w:rsid w:val="00815AD0"/>
    <w:rsid w:val="00815C1E"/>
    <w:rsid w:val="008163C8"/>
    <w:rsid w:val="00822786"/>
    <w:rsid w:val="008242D7"/>
    <w:rsid w:val="008257B1"/>
    <w:rsid w:val="00827D63"/>
    <w:rsid w:val="00830CAE"/>
    <w:rsid w:val="00831797"/>
    <w:rsid w:val="00832B23"/>
    <w:rsid w:val="008355AF"/>
    <w:rsid w:val="00836914"/>
    <w:rsid w:val="00840CA0"/>
    <w:rsid w:val="00840E84"/>
    <w:rsid w:val="0084224F"/>
    <w:rsid w:val="00843767"/>
    <w:rsid w:val="008442C5"/>
    <w:rsid w:val="008464E0"/>
    <w:rsid w:val="00846594"/>
    <w:rsid w:val="008470ED"/>
    <w:rsid w:val="008471AE"/>
    <w:rsid w:val="00851FAB"/>
    <w:rsid w:val="00854E27"/>
    <w:rsid w:val="00855F47"/>
    <w:rsid w:val="00856455"/>
    <w:rsid w:val="008566DF"/>
    <w:rsid w:val="00856878"/>
    <w:rsid w:val="00857655"/>
    <w:rsid w:val="008577EE"/>
    <w:rsid w:val="00857E55"/>
    <w:rsid w:val="00865832"/>
    <w:rsid w:val="00866321"/>
    <w:rsid w:val="0086758C"/>
    <w:rsid w:val="008679D9"/>
    <w:rsid w:val="00873139"/>
    <w:rsid w:val="00873E92"/>
    <w:rsid w:val="0087713A"/>
    <w:rsid w:val="00877742"/>
    <w:rsid w:val="00877861"/>
    <w:rsid w:val="00883445"/>
    <w:rsid w:val="00883C38"/>
    <w:rsid w:val="0088448B"/>
    <w:rsid w:val="00884825"/>
    <w:rsid w:val="00885463"/>
    <w:rsid w:val="00886020"/>
    <w:rsid w:val="008878DE"/>
    <w:rsid w:val="00887CB0"/>
    <w:rsid w:val="00892EB4"/>
    <w:rsid w:val="008933C6"/>
    <w:rsid w:val="00893480"/>
    <w:rsid w:val="00895514"/>
    <w:rsid w:val="008979B1"/>
    <w:rsid w:val="008A11DB"/>
    <w:rsid w:val="008A2A4B"/>
    <w:rsid w:val="008A3663"/>
    <w:rsid w:val="008A5C90"/>
    <w:rsid w:val="008A5D9B"/>
    <w:rsid w:val="008A6326"/>
    <w:rsid w:val="008A6B25"/>
    <w:rsid w:val="008A6C4F"/>
    <w:rsid w:val="008A739E"/>
    <w:rsid w:val="008B2335"/>
    <w:rsid w:val="008B2394"/>
    <w:rsid w:val="008B23C8"/>
    <w:rsid w:val="008B25D2"/>
    <w:rsid w:val="008B2685"/>
    <w:rsid w:val="008B34F1"/>
    <w:rsid w:val="008B7466"/>
    <w:rsid w:val="008C2520"/>
    <w:rsid w:val="008C2625"/>
    <w:rsid w:val="008C26F9"/>
    <w:rsid w:val="008C3D32"/>
    <w:rsid w:val="008C751D"/>
    <w:rsid w:val="008D01F8"/>
    <w:rsid w:val="008D201D"/>
    <w:rsid w:val="008D367F"/>
    <w:rsid w:val="008D36A9"/>
    <w:rsid w:val="008D3A52"/>
    <w:rsid w:val="008D48F9"/>
    <w:rsid w:val="008D545A"/>
    <w:rsid w:val="008D74D5"/>
    <w:rsid w:val="008E0678"/>
    <w:rsid w:val="008E1365"/>
    <w:rsid w:val="008E37BA"/>
    <w:rsid w:val="008F1C0D"/>
    <w:rsid w:val="008F2214"/>
    <w:rsid w:val="008F34C3"/>
    <w:rsid w:val="008F4018"/>
    <w:rsid w:val="008F4FAF"/>
    <w:rsid w:val="008F5819"/>
    <w:rsid w:val="008F5B2B"/>
    <w:rsid w:val="008F6595"/>
    <w:rsid w:val="008F6AE7"/>
    <w:rsid w:val="008F73E4"/>
    <w:rsid w:val="0090195C"/>
    <w:rsid w:val="00901E72"/>
    <w:rsid w:val="00902471"/>
    <w:rsid w:val="00902D7B"/>
    <w:rsid w:val="009034E0"/>
    <w:rsid w:val="00905AAB"/>
    <w:rsid w:val="00905E26"/>
    <w:rsid w:val="0090746E"/>
    <w:rsid w:val="00907866"/>
    <w:rsid w:val="00910D42"/>
    <w:rsid w:val="00913B9C"/>
    <w:rsid w:val="00914E7F"/>
    <w:rsid w:val="00915306"/>
    <w:rsid w:val="00921145"/>
    <w:rsid w:val="009223CA"/>
    <w:rsid w:val="00922634"/>
    <w:rsid w:val="00922FAD"/>
    <w:rsid w:val="00923FF8"/>
    <w:rsid w:val="00927BCC"/>
    <w:rsid w:val="00930932"/>
    <w:rsid w:val="00930A78"/>
    <w:rsid w:val="0093299D"/>
    <w:rsid w:val="00935E6C"/>
    <w:rsid w:val="009364FC"/>
    <w:rsid w:val="0094064C"/>
    <w:rsid w:val="00940F93"/>
    <w:rsid w:val="009431C5"/>
    <w:rsid w:val="00944671"/>
    <w:rsid w:val="00945BBC"/>
    <w:rsid w:val="00946DF9"/>
    <w:rsid w:val="00947812"/>
    <w:rsid w:val="00947FDC"/>
    <w:rsid w:val="00950856"/>
    <w:rsid w:val="00951D5B"/>
    <w:rsid w:val="00953931"/>
    <w:rsid w:val="00953C69"/>
    <w:rsid w:val="0095609A"/>
    <w:rsid w:val="009575B6"/>
    <w:rsid w:val="00961B0E"/>
    <w:rsid w:val="0096398A"/>
    <w:rsid w:val="009673BC"/>
    <w:rsid w:val="0097313D"/>
    <w:rsid w:val="009760F3"/>
    <w:rsid w:val="009774FA"/>
    <w:rsid w:val="0097765C"/>
    <w:rsid w:val="00980412"/>
    <w:rsid w:val="00982AEC"/>
    <w:rsid w:val="00983D96"/>
    <w:rsid w:val="0098709D"/>
    <w:rsid w:val="009879AE"/>
    <w:rsid w:val="009929ED"/>
    <w:rsid w:val="009A015E"/>
    <w:rsid w:val="009A0AF8"/>
    <w:rsid w:val="009A0E8D"/>
    <w:rsid w:val="009A73C7"/>
    <w:rsid w:val="009B19B9"/>
    <w:rsid w:val="009B26E7"/>
    <w:rsid w:val="009C0B4A"/>
    <w:rsid w:val="009C3AA6"/>
    <w:rsid w:val="009C6954"/>
    <w:rsid w:val="009C737B"/>
    <w:rsid w:val="009D028F"/>
    <w:rsid w:val="009D1184"/>
    <w:rsid w:val="009D16FC"/>
    <w:rsid w:val="009D3A6E"/>
    <w:rsid w:val="009D5C35"/>
    <w:rsid w:val="009D7607"/>
    <w:rsid w:val="009E1D23"/>
    <w:rsid w:val="009E44B7"/>
    <w:rsid w:val="009F07D5"/>
    <w:rsid w:val="009F0DB7"/>
    <w:rsid w:val="009F4631"/>
    <w:rsid w:val="009F77FD"/>
    <w:rsid w:val="00A00A3F"/>
    <w:rsid w:val="00A01117"/>
    <w:rsid w:val="00A01489"/>
    <w:rsid w:val="00A0578E"/>
    <w:rsid w:val="00A05F6A"/>
    <w:rsid w:val="00A06B93"/>
    <w:rsid w:val="00A100E9"/>
    <w:rsid w:val="00A12250"/>
    <w:rsid w:val="00A12932"/>
    <w:rsid w:val="00A16230"/>
    <w:rsid w:val="00A17B18"/>
    <w:rsid w:val="00A2275D"/>
    <w:rsid w:val="00A23EBF"/>
    <w:rsid w:val="00A256BF"/>
    <w:rsid w:val="00A3026E"/>
    <w:rsid w:val="00A307A7"/>
    <w:rsid w:val="00A30D49"/>
    <w:rsid w:val="00A338F1"/>
    <w:rsid w:val="00A35B47"/>
    <w:rsid w:val="00A36F39"/>
    <w:rsid w:val="00A37B72"/>
    <w:rsid w:val="00A37D48"/>
    <w:rsid w:val="00A408F7"/>
    <w:rsid w:val="00A40F81"/>
    <w:rsid w:val="00A40FEC"/>
    <w:rsid w:val="00A42F4B"/>
    <w:rsid w:val="00A4768D"/>
    <w:rsid w:val="00A47A48"/>
    <w:rsid w:val="00A47DEA"/>
    <w:rsid w:val="00A47E21"/>
    <w:rsid w:val="00A55CF9"/>
    <w:rsid w:val="00A56987"/>
    <w:rsid w:val="00A6078E"/>
    <w:rsid w:val="00A634B4"/>
    <w:rsid w:val="00A638D7"/>
    <w:rsid w:val="00A651BF"/>
    <w:rsid w:val="00A653D1"/>
    <w:rsid w:val="00A70C6D"/>
    <w:rsid w:val="00A72F22"/>
    <w:rsid w:val="00A7360F"/>
    <w:rsid w:val="00A748A6"/>
    <w:rsid w:val="00A769F4"/>
    <w:rsid w:val="00A76CA9"/>
    <w:rsid w:val="00A776B4"/>
    <w:rsid w:val="00A77861"/>
    <w:rsid w:val="00A77F06"/>
    <w:rsid w:val="00A8117F"/>
    <w:rsid w:val="00A831DA"/>
    <w:rsid w:val="00A8424C"/>
    <w:rsid w:val="00A84634"/>
    <w:rsid w:val="00A85414"/>
    <w:rsid w:val="00A90B58"/>
    <w:rsid w:val="00A94361"/>
    <w:rsid w:val="00AA09F5"/>
    <w:rsid w:val="00AA1878"/>
    <w:rsid w:val="00AA2847"/>
    <w:rsid w:val="00AA293C"/>
    <w:rsid w:val="00AB4E8E"/>
    <w:rsid w:val="00AB5E0F"/>
    <w:rsid w:val="00AB791C"/>
    <w:rsid w:val="00AC0BF0"/>
    <w:rsid w:val="00AC7E41"/>
    <w:rsid w:val="00AD69A4"/>
    <w:rsid w:val="00AD7BD1"/>
    <w:rsid w:val="00AE164D"/>
    <w:rsid w:val="00AE2A1F"/>
    <w:rsid w:val="00AE5C15"/>
    <w:rsid w:val="00AF1FF0"/>
    <w:rsid w:val="00AF5071"/>
    <w:rsid w:val="00B00D9D"/>
    <w:rsid w:val="00B01716"/>
    <w:rsid w:val="00B02D17"/>
    <w:rsid w:val="00B04A2D"/>
    <w:rsid w:val="00B0511F"/>
    <w:rsid w:val="00B06BB7"/>
    <w:rsid w:val="00B06F79"/>
    <w:rsid w:val="00B16FE0"/>
    <w:rsid w:val="00B2085C"/>
    <w:rsid w:val="00B21995"/>
    <w:rsid w:val="00B22B3B"/>
    <w:rsid w:val="00B22DED"/>
    <w:rsid w:val="00B30179"/>
    <w:rsid w:val="00B30607"/>
    <w:rsid w:val="00B32805"/>
    <w:rsid w:val="00B33B5C"/>
    <w:rsid w:val="00B36845"/>
    <w:rsid w:val="00B36C89"/>
    <w:rsid w:val="00B421C1"/>
    <w:rsid w:val="00B439CC"/>
    <w:rsid w:val="00B44A50"/>
    <w:rsid w:val="00B45B0B"/>
    <w:rsid w:val="00B45DC8"/>
    <w:rsid w:val="00B462E1"/>
    <w:rsid w:val="00B46B6E"/>
    <w:rsid w:val="00B5473B"/>
    <w:rsid w:val="00B55438"/>
    <w:rsid w:val="00B55C71"/>
    <w:rsid w:val="00B56E4A"/>
    <w:rsid w:val="00B56E9C"/>
    <w:rsid w:val="00B57AA7"/>
    <w:rsid w:val="00B62D0E"/>
    <w:rsid w:val="00B64B1F"/>
    <w:rsid w:val="00B6553F"/>
    <w:rsid w:val="00B65B5D"/>
    <w:rsid w:val="00B74E78"/>
    <w:rsid w:val="00B767A8"/>
    <w:rsid w:val="00B7744A"/>
    <w:rsid w:val="00B77AB2"/>
    <w:rsid w:val="00B77D05"/>
    <w:rsid w:val="00B81206"/>
    <w:rsid w:val="00B815A8"/>
    <w:rsid w:val="00B81D6E"/>
    <w:rsid w:val="00B81E12"/>
    <w:rsid w:val="00B8309A"/>
    <w:rsid w:val="00B830CF"/>
    <w:rsid w:val="00B84CD6"/>
    <w:rsid w:val="00B914CE"/>
    <w:rsid w:val="00B946FA"/>
    <w:rsid w:val="00B950F1"/>
    <w:rsid w:val="00B96F3A"/>
    <w:rsid w:val="00BA0698"/>
    <w:rsid w:val="00BA2FD0"/>
    <w:rsid w:val="00BA3704"/>
    <w:rsid w:val="00BA4C02"/>
    <w:rsid w:val="00BA5EE1"/>
    <w:rsid w:val="00BB0C8E"/>
    <w:rsid w:val="00BB1A7C"/>
    <w:rsid w:val="00BB385E"/>
    <w:rsid w:val="00BB4516"/>
    <w:rsid w:val="00BB4887"/>
    <w:rsid w:val="00BB5FDA"/>
    <w:rsid w:val="00BB6A80"/>
    <w:rsid w:val="00BB7886"/>
    <w:rsid w:val="00BB7E7B"/>
    <w:rsid w:val="00BC2ECA"/>
    <w:rsid w:val="00BC3CE0"/>
    <w:rsid w:val="00BC3FA0"/>
    <w:rsid w:val="00BC5B09"/>
    <w:rsid w:val="00BC74E9"/>
    <w:rsid w:val="00BD100F"/>
    <w:rsid w:val="00BD3F9F"/>
    <w:rsid w:val="00BD543B"/>
    <w:rsid w:val="00BE14FF"/>
    <w:rsid w:val="00BE3763"/>
    <w:rsid w:val="00BE6003"/>
    <w:rsid w:val="00BE6A1F"/>
    <w:rsid w:val="00BE7BE8"/>
    <w:rsid w:val="00BF32BE"/>
    <w:rsid w:val="00BF42EA"/>
    <w:rsid w:val="00BF4F7D"/>
    <w:rsid w:val="00BF62A8"/>
    <w:rsid w:val="00BF68A8"/>
    <w:rsid w:val="00C013CC"/>
    <w:rsid w:val="00C01BE0"/>
    <w:rsid w:val="00C033FD"/>
    <w:rsid w:val="00C03847"/>
    <w:rsid w:val="00C05748"/>
    <w:rsid w:val="00C11A03"/>
    <w:rsid w:val="00C13475"/>
    <w:rsid w:val="00C1382B"/>
    <w:rsid w:val="00C14DBD"/>
    <w:rsid w:val="00C16466"/>
    <w:rsid w:val="00C1778D"/>
    <w:rsid w:val="00C2017D"/>
    <w:rsid w:val="00C223E1"/>
    <w:rsid w:val="00C22C0C"/>
    <w:rsid w:val="00C22EAE"/>
    <w:rsid w:val="00C24968"/>
    <w:rsid w:val="00C269BE"/>
    <w:rsid w:val="00C32C10"/>
    <w:rsid w:val="00C3466D"/>
    <w:rsid w:val="00C34EE0"/>
    <w:rsid w:val="00C35A18"/>
    <w:rsid w:val="00C35F2A"/>
    <w:rsid w:val="00C40255"/>
    <w:rsid w:val="00C4527F"/>
    <w:rsid w:val="00C463DD"/>
    <w:rsid w:val="00C4724C"/>
    <w:rsid w:val="00C516FD"/>
    <w:rsid w:val="00C51EA8"/>
    <w:rsid w:val="00C539A1"/>
    <w:rsid w:val="00C629A0"/>
    <w:rsid w:val="00C64270"/>
    <w:rsid w:val="00C64629"/>
    <w:rsid w:val="00C66857"/>
    <w:rsid w:val="00C6797A"/>
    <w:rsid w:val="00C7158E"/>
    <w:rsid w:val="00C724BB"/>
    <w:rsid w:val="00C726AB"/>
    <w:rsid w:val="00C72AEE"/>
    <w:rsid w:val="00C745C3"/>
    <w:rsid w:val="00C75422"/>
    <w:rsid w:val="00C7751A"/>
    <w:rsid w:val="00C80783"/>
    <w:rsid w:val="00C83F4A"/>
    <w:rsid w:val="00C85BE7"/>
    <w:rsid w:val="00C86669"/>
    <w:rsid w:val="00C87D82"/>
    <w:rsid w:val="00C914D6"/>
    <w:rsid w:val="00C92BDC"/>
    <w:rsid w:val="00C951F1"/>
    <w:rsid w:val="00C97C32"/>
    <w:rsid w:val="00CA1C88"/>
    <w:rsid w:val="00CA1CB6"/>
    <w:rsid w:val="00CA21ED"/>
    <w:rsid w:val="00CA5218"/>
    <w:rsid w:val="00CA77FC"/>
    <w:rsid w:val="00CB0F6F"/>
    <w:rsid w:val="00CB2CB5"/>
    <w:rsid w:val="00CB3E03"/>
    <w:rsid w:val="00CB43CD"/>
    <w:rsid w:val="00CB5830"/>
    <w:rsid w:val="00CB6282"/>
    <w:rsid w:val="00CB7959"/>
    <w:rsid w:val="00CC417A"/>
    <w:rsid w:val="00CC43C6"/>
    <w:rsid w:val="00CC4F3B"/>
    <w:rsid w:val="00CC50BB"/>
    <w:rsid w:val="00CD2AF3"/>
    <w:rsid w:val="00CD33F2"/>
    <w:rsid w:val="00CD4A7D"/>
    <w:rsid w:val="00CD60E5"/>
    <w:rsid w:val="00CE23CE"/>
    <w:rsid w:val="00CE4504"/>
    <w:rsid w:val="00CE4A8F"/>
    <w:rsid w:val="00CE612A"/>
    <w:rsid w:val="00CE797D"/>
    <w:rsid w:val="00CE7B3D"/>
    <w:rsid w:val="00CF1453"/>
    <w:rsid w:val="00CF18A2"/>
    <w:rsid w:val="00CF531B"/>
    <w:rsid w:val="00CF6044"/>
    <w:rsid w:val="00CF68B0"/>
    <w:rsid w:val="00D03E1C"/>
    <w:rsid w:val="00D054B1"/>
    <w:rsid w:val="00D06BF0"/>
    <w:rsid w:val="00D11E21"/>
    <w:rsid w:val="00D16165"/>
    <w:rsid w:val="00D2031B"/>
    <w:rsid w:val="00D205EB"/>
    <w:rsid w:val="00D2069D"/>
    <w:rsid w:val="00D242C4"/>
    <w:rsid w:val="00D245A5"/>
    <w:rsid w:val="00D25E86"/>
    <w:rsid w:val="00D25FE2"/>
    <w:rsid w:val="00D30840"/>
    <w:rsid w:val="00D3193F"/>
    <w:rsid w:val="00D33DEB"/>
    <w:rsid w:val="00D346E1"/>
    <w:rsid w:val="00D4161E"/>
    <w:rsid w:val="00D43252"/>
    <w:rsid w:val="00D44C2B"/>
    <w:rsid w:val="00D46C1A"/>
    <w:rsid w:val="00D47EEA"/>
    <w:rsid w:val="00D51CDE"/>
    <w:rsid w:val="00D55FB5"/>
    <w:rsid w:val="00D5649B"/>
    <w:rsid w:val="00D62FF6"/>
    <w:rsid w:val="00D64E9E"/>
    <w:rsid w:val="00D70CAE"/>
    <w:rsid w:val="00D7143A"/>
    <w:rsid w:val="00D71D60"/>
    <w:rsid w:val="00D73715"/>
    <w:rsid w:val="00D75057"/>
    <w:rsid w:val="00D773DF"/>
    <w:rsid w:val="00D77D82"/>
    <w:rsid w:val="00D8313E"/>
    <w:rsid w:val="00D837A0"/>
    <w:rsid w:val="00D83974"/>
    <w:rsid w:val="00D90168"/>
    <w:rsid w:val="00D93B9F"/>
    <w:rsid w:val="00D95303"/>
    <w:rsid w:val="00D977E3"/>
    <w:rsid w:val="00D978C6"/>
    <w:rsid w:val="00DA0272"/>
    <w:rsid w:val="00DA0557"/>
    <w:rsid w:val="00DA0971"/>
    <w:rsid w:val="00DA1165"/>
    <w:rsid w:val="00DA2CCF"/>
    <w:rsid w:val="00DA3682"/>
    <w:rsid w:val="00DA3845"/>
    <w:rsid w:val="00DA3C1C"/>
    <w:rsid w:val="00DA6158"/>
    <w:rsid w:val="00DA70EA"/>
    <w:rsid w:val="00DA73DE"/>
    <w:rsid w:val="00DB0603"/>
    <w:rsid w:val="00DB09BB"/>
    <w:rsid w:val="00DB0B87"/>
    <w:rsid w:val="00DB2345"/>
    <w:rsid w:val="00DB46A9"/>
    <w:rsid w:val="00DC2958"/>
    <w:rsid w:val="00DC5F2F"/>
    <w:rsid w:val="00DC6232"/>
    <w:rsid w:val="00DC7A4B"/>
    <w:rsid w:val="00DD092C"/>
    <w:rsid w:val="00DD23FE"/>
    <w:rsid w:val="00DD28C6"/>
    <w:rsid w:val="00DD2F73"/>
    <w:rsid w:val="00DD4FB0"/>
    <w:rsid w:val="00DD6D29"/>
    <w:rsid w:val="00DE261F"/>
    <w:rsid w:val="00DE27E3"/>
    <w:rsid w:val="00DE295F"/>
    <w:rsid w:val="00DE2B7E"/>
    <w:rsid w:val="00DE3E80"/>
    <w:rsid w:val="00DE529E"/>
    <w:rsid w:val="00DE5A00"/>
    <w:rsid w:val="00DE6779"/>
    <w:rsid w:val="00DE7D38"/>
    <w:rsid w:val="00DF05F6"/>
    <w:rsid w:val="00DF1C18"/>
    <w:rsid w:val="00DF5D1E"/>
    <w:rsid w:val="00DF5ECD"/>
    <w:rsid w:val="00E004ED"/>
    <w:rsid w:val="00E02837"/>
    <w:rsid w:val="00E046DF"/>
    <w:rsid w:val="00E04BB6"/>
    <w:rsid w:val="00E07A65"/>
    <w:rsid w:val="00E1137D"/>
    <w:rsid w:val="00E11EF5"/>
    <w:rsid w:val="00E12930"/>
    <w:rsid w:val="00E12BAB"/>
    <w:rsid w:val="00E12D7E"/>
    <w:rsid w:val="00E1532C"/>
    <w:rsid w:val="00E1736F"/>
    <w:rsid w:val="00E1771E"/>
    <w:rsid w:val="00E17E04"/>
    <w:rsid w:val="00E2002E"/>
    <w:rsid w:val="00E205A9"/>
    <w:rsid w:val="00E20B55"/>
    <w:rsid w:val="00E25709"/>
    <w:rsid w:val="00E259B2"/>
    <w:rsid w:val="00E27346"/>
    <w:rsid w:val="00E3119D"/>
    <w:rsid w:val="00E33345"/>
    <w:rsid w:val="00E352D0"/>
    <w:rsid w:val="00E36AC9"/>
    <w:rsid w:val="00E40CD6"/>
    <w:rsid w:val="00E41D6B"/>
    <w:rsid w:val="00E42B08"/>
    <w:rsid w:val="00E4597A"/>
    <w:rsid w:val="00E523BF"/>
    <w:rsid w:val="00E53C9C"/>
    <w:rsid w:val="00E55D51"/>
    <w:rsid w:val="00E62A4C"/>
    <w:rsid w:val="00E62C25"/>
    <w:rsid w:val="00E6381F"/>
    <w:rsid w:val="00E63B75"/>
    <w:rsid w:val="00E64665"/>
    <w:rsid w:val="00E64EDE"/>
    <w:rsid w:val="00E65539"/>
    <w:rsid w:val="00E718CE"/>
    <w:rsid w:val="00E71BC8"/>
    <w:rsid w:val="00E7260F"/>
    <w:rsid w:val="00E73059"/>
    <w:rsid w:val="00E73B48"/>
    <w:rsid w:val="00E73F5D"/>
    <w:rsid w:val="00E7466C"/>
    <w:rsid w:val="00E771F8"/>
    <w:rsid w:val="00E775D1"/>
    <w:rsid w:val="00E77E4E"/>
    <w:rsid w:val="00E80B61"/>
    <w:rsid w:val="00E82058"/>
    <w:rsid w:val="00E86FE2"/>
    <w:rsid w:val="00E90453"/>
    <w:rsid w:val="00E90C69"/>
    <w:rsid w:val="00E91366"/>
    <w:rsid w:val="00E915A7"/>
    <w:rsid w:val="00E92F5D"/>
    <w:rsid w:val="00E94902"/>
    <w:rsid w:val="00E94C44"/>
    <w:rsid w:val="00E95429"/>
    <w:rsid w:val="00E96630"/>
    <w:rsid w:val="00E96661"/>
    <w:rsid w:val="00E97D06"/>
    <w:rsid w:val="00EA3A2B"/>
    <w:rsid w:val="00EA7683"/>
    <w:rsid w:val="00EA796C"/>
    <w:rsid w:val="00EB3AA1"/>
    <w:rsid w:val="00EB728D"/>
    <w:rsid w:val="00EB7DDE"/>
    <w:rsid w:val="00EC1C01"/>
    <w:rsid w:val="00EC28CA"/>
    <w:rsid w:val="00EC30B8"/>
    <w:rsid w:val="00EC3606"/>
    <w:rsid w:val="00EC3D60"/>
    <w:rsid w:val="00EC41EE"/>
    <w:rsid w:val="00EC5D0F"/>
    <w:rsid w:val="00EC62C0"/>
    <w:rsid w:val="00EC6527"/>
    <w:rsid w:val="00ED1464"/>
    <w:rsid w:val="00ED1F99"/>
    <w:rsid w:val="00ED2211"/>
    <w:rsid w:val="00ED325A"/>
    <w:rsid w:val="00ED40D5"/>
    <w:rsid w:val="00ED5381"/>
    <w:rsid w:val="00ED7A2A"/>
    <w:rsid w:val="00EE04CF"/>
    <w:rsid w:val="00EE085F"/>
    <w:rsid w:val="00EE0F98"/>
    <w:rsid w:val="00EE4D6C"/>
    <w:rsid w:val="00EF1D7A"/>
    <w:rsid w:val="00EF1D7F"/>
    <w:rsid w:val="00EF297C"/>
    <w:rsid w:val="00EF2BBE"/>
    <w:rsid w:val="00EF5927"/>
    <w:rsid w:val="00EF6476"/>
    <w:rsid w:val="00F01EFD"/>
    <w:rsid w:val="00F02137"/>
    <w:rsid w:val="00F02E48"/>
    <w:rsid w:val="00F031AC"/>
    <w:rsid w:val="00F04766"/>
    <w:rsid w:val="00F073F2"/>
    <w:rsid w:val="00F0775A"/>
    <w:rsid w:val="00F07DBC"/>
    <w:rsid w:val="00F07F0B"/>
    <w:rsid w:val="00F12765"/>
    <w:rsid w:val="00F14E66"/>
    <w:rsid w:val="00F16B64"/>
    <w:rsid w:val="00F2387E"/>
    <w:rsid w:val="00F24B8B"/>
    <w:rsid w:val="00F26312"/>
    <w:rsid w:val="00F27310"/>
    <w:rsid w:val="00F31053"/>
    <w:rsid w:val="00F31E5F"/>
    <w:rsid w:val="00F3597B"/>
    <w:rsid w:val="00F35AE9"/>
    <w:rsid w:val="00F434C7"/>
    <w:rsid w:val="00F44E85"/>
    <w:rsid w:val="00F536D4"/>
    <w:rsid w:val="00F539A6"/>
    <w:rsid w:val="00F56707"/>
    <w:rsid w:val="00F56B9B"/>
    <w:rsid w:val="00F6004C"/>
    <w:rsid w:val="00F6100A"/>
    <w:rsid w:val="00F6201B"/>
    <w:rsid w:val="00F63B54"/>
    <w:rsid w:val="00F66048"/>
    <w:rsid w:val="00F67911"/>
    <w:rsid w:val="00F735FB"/>
    <w:rsid w:val="00F80B30"/>
    <w:rsid w:val="00F811E0"/>
    <w:rsid w:val="00F82A52"/>
    <w:rsid w:val="00F8320D"/>
    <w:rsid w:val="00F836EC"/>
    <w:rsid w:val="00F8566F"/>
    <w:rsid w:val="00F87493"/>
    <w:rsid w:val="00F90BA3"/>
    <w:rsid w:val="00F92E41"/>
    <w:rsid w:val="00F93781"/>
    <w:rsid w:val="00F93EBA"/>
    <w:rsid w:val="00F96492"/>
    <w:rsid w:val="00F9665D"/>
    <w:rsid w:val="00FA0395"/>
    <w:rsid w:val="00FA0F24"/>
    <w:rsid w:val="00FA1F9F"/>
    <w:rsid w:val="00FA23EA"/>
    <w:rsid w:val="00FA3178"/>
    <w:rsid w:val="00FA33C3"/>
    <w:rsid w:val="00FA408B"/>
    <w:rsid w:val="00FA5616"/>
    <w:rsid w:val="00FB10EF"/>
    <w:rsid w:val="00FB3817"/>
    <w:rsid w:val="00FB3F92"/>
    <w:rsid w:val="00FB613B"/>
    <w:rsid w:val="00FC1AB2"/>
    <w:rsid w:val="00FC3057"/>
    <w:rsid w:val="00FC476A"/>
    <w:rsid w:val="00FC490E"/>
    <w:rsid w:val="00FC5AD0"/>
    <w:rsid w:val="00FC66C6"/>
    <w:rsid w:val="00FC68B7"/>
    <w:rsid w:val="00FD2805"/>
    <w:rsid w:val="00FD28F8"/>
    <w:rsid w:val="00FD3C7A"/>
    <w:rsid w:val="00FE106A"/>
    <w:rsid w:val="00FE21F4"/>
    <w:rsid w:val="00FE25CD"/>
    <w:rsid w:val="00FE2F90"/>
    <w:rsid w:val="00FE476F"/>
    <w:rsid w:val="00FE5A08"/>
    <w:rsid w:val="00FE7B75"/>
    <w:rsid w:val="00FF145D"/>
    <w:rsid w:val="00FF352C"/>
    <w:rsid w:val="00FF6EB7"/>
    <w:rsid w:val="00FF6F7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4145"/>
    <o:shapelayout v:ext="edit">
      <o:idmap v:ext="edit" data="1"/>
    </o:shapelayout>
  </w:shapeDefaults>
  <w:decimalSymbol w:val="."/>
  <w:listSeparator w:val=","/>
  <w14:docId w14:val="1466E61B"/>
  <w15:docId w15:val="{E772177C-8E57-4CC5-ABE9-31E275BA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link w:val="BalloonTextChar"/>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qFormat/>
    <w:rsid w:val="00947812"/>
    <w:rPr>
      <w:b/>
      <w:sz w:val="28"/>
      <w:lang w:eastAsia="en-US"/>
    </w:rPr>
  </w:style>
  <w:style w:type="character" w:customStyle="1" w:styleId="FootnoteTextChar">
    <w:name w:val="Footnote Text Char"/>
    <w:aliases w:val="5_G Char"/>
    <w:link w:val="FootnoteText"/>
    <w:rsid w:val="00C75422"/>
    <w:rPr>
      <w:sz w:val="18"/>
      <w:lang w:eastAsia="en-US"/>
    </w:rPr>
  </w:style>
  <w:style w:type="paragraph" w:customStyle="1" w:styleId="SingleTxt">
    <w:name w:val="__Single Txt"/>
    <w:basedOn w:val="Normal"/>
    <w:rsid w:val="00EF59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customStyle="1" w:styleId="HCh">
    <w:name w:val="_ H _Ch"/>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eastAsia="zh-CN"/>
    </w:rPr>
  </w:style>
  <w:style w:type="paragraph" w:customStyle="1" w:styleId="H1">
    <w:name w:val="_ H_1"/>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lang w:eastAsia="zh-CN"/>
    </w:rPr>
  </w:style>
  <w:style w:type="paragraph" w:customStyle="1" w:styleId="H23">
    <w:name w:val="_ H_2/3"/>
    <w:basedOn w:val="H1"/>
    <w:next w:val="SingleTxt"/>
    <w:rsid w:val="00EF5927"/>
    <w:pPr>
      <w:spacing w:line="240" w:lineRule="exact"/>
      <w:outlineLvl w:val="1"/>
    </w:pPr>
    <w:rPr>
      <w:spacing w:val="2"/>
      <w:sz w:val="20"/>
    </w:rPr>
  </w:style>
  <w:style w:type="character" w:customStyle="1" w:styleId="shorttext">
    <w:name w:val="short_text"/>
    <w:rsid w:val="00857E55"/>
  </w:style>
  <w:style w:type="character" w:customStyle="1" w:styleId="hps">
    <w:name w:val="hps"/>
    <w:rsid w:val="00857E55"/>
  </w:style>
  <w:style w:type="character" w:customStyle="1" w:styleId="Heading3Char">
    <w:name w:val="Heading 3 Char"/>
    <w:link w:val="Heading3"/>
    <w:rsid w:val="00266604"/>
    <w:rPr>
      <w:lang w:eastAsia="en-US"/>
    </w:rPr>
  </w:style>
  <w:style w:type="character" w:customStyle="1" w:styleId="Heading1Char">
    <w:name w:val="Heading 1 Char"/>
    <w:aliases w:val="Table_G Char"/>
    <w:link w:val="Heading1"/>
    <w:rsid w:val="00B22B3B"/>
    <w:rPr>
      <w:lang w:eastAsia="en-US"/>
    </w:rPr>
  </w:style>
  <w:style w:type="character" w:customStyle="1" w:styleId="Heading2Char">
    <w:name w:val="Heading 2 Char"/>
    <w:link w:val="Heading2"/>
    <w:rsid w:val="00B22B3B"/>
    <w:rPr>
      <w:lang w:eastAsia="en-US"/>
    </w:rPr>
  </w:style>
  <w:style w:type="character" w:customStyle="1" w:styleId="Heading4Char">
    <w:name w:val="Heading 4 Char"/>
    <w:link w:val="Heading4"/>
    <w:rsid w:val="00B22B3B"/>
    <w:rPr>
      <w:lang w:eastAsia="en-US"/>
    </w:rPr>
  </w:style>
  <w:style w:type="character" w:customStyle="1" w:styleId="Heading5Char">
    <w:name w:val="Heading 5 Char"/>
    <w:link w:val="Heading5"/>
    <w:rsid w:val="00B22B3B"/>
    <w:rPr>
      <w:lang w:eastAsia="en-US"/>
    </w:rPr>
  </w:style>
  <w:style w:type="character" w:customStyle="1" w:styleId="Heading6Char">
    <w:name w:val="Heading 6 Char"/>
    <w:link w:val="Heading6"/>
    <w:rsid w:val="00B22B3B"/>
    <w:rPr>
      <w:lang w:eastAsia="en-US"/>
    </w:rPr>
  </w:style>
  <w:style w:type="character" w:customStyle="1" w:styleId="Heading7Char">
    <w:name w:val="Heading 7 Char"/>
    <w:link w:val="Heading7"/>
    <w:rsid w:val="00B22B3B"/>
    <w:rPr>
      <w:lang w:eastAsia="en-US"/>
    </w:rPr>
  </w:style>
  <w:style w:type="character" w:customStyle="1" w:styleId="Heading8Char">
    <w:name w:val="Heading 8 Char"/>
    <w:link w:val="Heading8"/>
    <w:rsid w:val="00B22B3B"/>
    <w:rPr>
      <w:lang w:eastAsia="en-US"/>
    </w:rPr>
  </w:style>
  <w:style w:type="character" w:customStyle="1" w:styleId="Heading9Char">
    <w:name w:val="Heading 9 Char"/>
    <w:link w:val="Heading9"/>
    <w:rsid w:val="00B22B3B"/>
    <w:rPr>
      <w:lang w:eastAsia="en-US"/>
    </w:rPr>
  </w:style>
  <w:style w:type="character" w:customStyle="1" w:styleId="HeaderChar">
    <w:name w:val="Header Char"/>
    <w:aliases w:val="6_G Char"/>
    <w:link w:val="Header"/>
    <w:rsid w:val="00B22B3B"/>
    <w:rPr>
      <w:b/>
      <w:sz w:val="18"/>
      <w:lang w:eastAsia="en-US"/>
    </w:rPr>
  </w:style>
  <w:style w:type="character" w:customStyle="1" w:styleId="EndnoteTextChar">
    <w:name w:val="Endnote Text Char"/>
    <w:aliases w:val="2_G Char"/>
    <w:link w:val="EndnoteText"/>
    <w:rsid w:val="00B22B3B"/>
    <w:rPr>
      <w:sz w:val="18"/>
      <w:lang w:val="x-none" w:eastAsia="en-US"/>
    </w:rPr>
  </w:style>
  <w:style w:type="character" w:customStyle="1" w:styleId="FooterChar">
    <w:name w:val="Footer Char"/>
    <w:aliases w:val="3_G Char"/>
    <w:link w:val="Footer"/>
    <w:rsid w:val="00B22B3B"/>
    <w:rPr>
      <w:sz w:val="16"/>
      <w:lang w:eastAsia="en-US"/>
    </w:rPr>
  </w:style>
  <w:style w:type="paragraph" w:customStyle="1" w:styleId="Style1">
    <w:name w:val="Style1"/>
    <w:basedOn w:val="Normal"/>
    <w:rsid w:val="00B22B3B"/>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H23GChar">
    <w:name w:val="_ H_2/3_G Char"/>
    <w:link w:val="H23G"/>
    <w:rsid w:val="00B22B3B"/>
    <w:rPr>
      <w:b/>
      <w:lang w:eastAsia="en-US"/>
    </w:rPr>
  </w:style>
  <w:style w:type="character" w:customStyle="1" w:styleId="BalloonTextChar">
    <w:name w:val="Balloon Text Char"/>
    <w:link w:val="BalloonText"/>
    <w:rsid w:val="00B22B3B"/>
    <w:rPr>
      <w:rFonts w:ascii="Tahoma" w:hAnsi="Tahoma" w:cs="Tahoma"/>
      <w:sz w:val="16"/>
      <w:szCs w:val="16"/>
      <w:lang w:eastAsia="en-US"/>
    </w:rPr>
  </w:style>
  <w:style w:type="character" w:customStyle="1" w:styleId="CommentTextChar">
    <w:name w:val="Comment Text Char"/>
    <w:rsid w:val="00B22B3B"/>
    <w:rPr>
      <w:lang w:val="x-none" w:eastAsia="en-US"/>
    </w:rPr>
  </w:style>
  <w:style w:type="paragraph" w:styleId="CommentSubject">
    <w:name w:val="annotation subject"/>
    <w:basedOn w:val="CommentText"/>
    <w:next w:val="CommentText"/>
    <w:link w:val="CommentSubjectChar"/>
    <w:rsid w:val="00B22B3B"/>
    <w:rPr>
      <w:b/>
      <w:bCs/>
    </w:rPr>
  </w:style>
  <w:style w:type="character" w:customStyle="1" w:styleId="CommentTextChar1">
    <w:name w:val="Comment Text Char1"/>
    <w:link w:val="CommentText"/>
    <w:rsid w:val="00B22B3B"/>
    <w:rPr>
      <w:lang w:eastAsia="en-US"/>
    </w:rPr>
  </w:style>
  <w:style w:type="character" w:customStyle="1" w:styleId="CommentSubjectChar">
    <w:name w:val="Comment Subject Char"/>
    <w:link w:val="CommentSubject"/>
    <w:rsid w:val="00B22B3B"/>
    <w:rPr>
      <w:b/>
      <w:bCs/>
      <w:lang w:eastAsia="en-US"/>
    </w:rPr>
  </w:style>
  <w:style w:type="paragraph" w:customStyle="1" w:styleId="Rom1">
    <w:name w:val="Rom1"/>
    <w:basedOn w:val="SingleTxtG"/>
    <w:semiHidden/>
    <w:rsid w:val="00B22B3B"/>
    <w:pPr>
      <w:numPr>
        <w:numId w:val="42"/>
      </w:numPr>
      <w:tabs>
        <w:tab w:val="clear" w:pos="1440"/>
      </w:tabs>
      <w:ind w:left="2268" w:hanging="397"/>
    </w:pPr>
    <w:rPr>
      <w:lang w:val="fr-CH"/>
    </w:rPr>
  </w:style>
  <w:style w:type="paragraph" w:customStyle="1" w:styleId="Default">
    <w:name w:val="Default"/>
    <w:rsid w:val="00280E3A"/>
    <w:pPr>
      <w:autoSpaceDE w:val="0"/>
      <w:autoSpaceDN w:val="0"/>
      <w:adjustRightInd w:val="0"/>
    </w:pPr>
    <w:rPr>
      <w:rFonts w:ascii="Arial" w:eastAsia="MS Mincho" w:hAnsi="Arial" w:cs="Arial"/>
      <w:color w:val="000000"/>
      <w:sz w:val="24"/>
      <w:szCs w:val="24"/>
    </w:rPr>
  </w:style>
  <w:style w:type="paragraph" w:styleId="Revision">
    <w:name w:val="Revision"/>
    <w:hidden/>
    <w:uiPriority w:val="99"/>
    <w:semiHidden/>
    <w:rsid w:val="004A6B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1948">
      <w:bodyDiv w:val="1"/>
      <w:marLeft w:val="0"/>
      <w:marRight w:val="0"/>
      <w:marTop w:val="0"/>
      <w:marBottom w:val="0"/>
      <w:divBdr>
        <w:top w:val="none" w:sz="0" w:space="0" w:color="auto"/>
        <w:left w:val="none" w:sz="0" w:space="0" w:color="auto"/>
        <w:bottom w:val="none" w:sz="0" w:space="0" w:color="auto"/>
        <w:right w:val="none" w:sz="0" w:space="0" w:color="auto"/>
      </w:divBdr>
    </w:div>
    <w:div w:id="89012738">
      <w:bodyDiv w:val="1"/>
      <w:marLeft w:val="0"/>
      <w:marRight w:val="0"/>
      <w:marTop w:val="0"/>
      <w:marBottom w:val="0"/>
      <w:divBdr>
        <w:top w:val="none" w:sz="0" w:space="0" w:color="auto"/>
        <w:left w:val="none" w:sz="0" w:space="0" w:color="auto"/>
        <w:bottom w:val="none" w:sz="0" w:space="0" w:color="auto"/>
        <w:right w:val="none" w:sz="0" w:space="0" w:color="auto"/>
      </w:divBdr>
    </w:div>
    <w:div w:id="243495460">
      <w:bodyDiv w:val="1"/>
      <w:marLeft w:val="0"/>
      <w:marRight w:val="0"/>
      <w:marTop w:val="0"/>
      <w:marBottom w:val="0"/>
      <w:divBdr>
        <w:top w:val="none" w:sz="0" w:space="0" w:color="auto"/>
        <w:left w:val="none" w:sz="0" w:space="0" w:color="auto"/>
        <w:bottom w:val="none" w:sz="0" w:space="0" w:color="auto"/>
        <w:right w:val="none" w:sz="0" w:space="0" w:color="auto"/>
      </w:divBdr>
    </w:div>
    <w:div w:id="275329796">
      <w:bodyDiv w:val="1"/>
      <w:marLeft w:val="0"/>
      <w:marRight w:val="0"/>
      <w:marTop w:val="0"/>
      <w:marBottom w:val="0"/>
      <w:divBdr>
        <w:top w:val="none" w:sz="0" w:space="0" w:color="auto"/>
        <w:left w:val="none" w:sz="0" w:space="0" w:color="auto"/>
        <w:bottom w:val="none" w:sz="0" w:space="0" w:color="auto"/>
        <w:right w:val="none" w:sz="0" w:space="0" w:color="auto"/>
      </w:divBdr>
    </w:div>
    <w:div w:id="406808578">
      <w:bodyDiv w:val="1"/>
      <w:marLeft w:val="0"/>
      <w:marRight w:val="0"/>
      <w:marTop w:val="0"/>
      <w:marBottom w:val="0"/>
      <w:divBdr>
        <w:top w:val="none" w:sz="0" w:space="0" w:color="auto"/>
        <w:left w:val="none" w:sz="0" w:space="0" w:color="auto"/>
        <w:bottom w:val="none" w:sz="0" w:space="0" w:color="auto"/>
        <w:right w:val="none" w:sz="0" w:space="0" w:color="auto"/>
      </w:divBdr>
    </w:div>
    <w:div w:id="457334556">
      <w:bodyDiv w:val="1"/>
      <w:marLeft w:val="0"/>
      <w:marRight w:val="0"/>
      <w:marTop w:val="0"/>
      <w:marBottom w:val="0"/>
      <w:divBdr>
        <w:top w:val="none" w:sz="0" w:space="0" w:color="auto"/>
        <w:left w:val="none" w:sz="0" w:space="0" w:color="auto"/>
        <w:bottom w:val="none" w:sz="0" w:space="0" w:color="auto"/>
        <w:right w:val="none" w:sz="0" w:space="0" w:color="auto"/>
      </w:divBdr>
    </w:div>
    <w:div w:id="470440537">
      <w:bodyDiv w:val="1"/>
      <w:marLeft w:val="0"/>
      <w:marRight w:val="0"/>
      <w:marTop w:val="0"/>
      <w:marBottom w:val="0"/>
      <w:divBdr>
        <w:top w:val="none" w:sz="0" w:space="0" w:color="auto"/>
        <w:left w:val="none" w:sz="0" w:space="0" w:color="auto"/>
        <w:bottom w:val="none" w:sz="0" w:space="0" w:color="auto"/>
        <w:right w:val="none" w:sz="0" w:space="0" w:color="auto"/>
      </w:divBdr>
    </w:div>
    <w:div w:id="503516270">
      <w:bodyDiv w:val="1"/>
      <w:marLeft w:val="0"/>
      <w:marRight w:val="0"/>
      <w:marTop w:val="0"/>
      <w:marBottom w:val="0"/>
      <w:divBdr>
        <w:top w:val="none" w:sz="0" w:space="0" w:color="auto"/>
        <w:left w:val="none" w:sz="0" w:space="0" w:color="auto"/>
        <w:bottom w:val="none" w:sz="0" w:space="0" w:color="auto"/>
        <w:right w:val="none" w:sz="0" w:space="0" w:color="auto"/>
      </w:divBdr>
    </w:div>
    <w:div w:id="513496988">
      <w:bodyDiv w:val="1"/>
      <w:marLeft w:val="0"/>
      <w:marRight w:val="0"/>
      <w:marTop w:val="0"/>
      <w:marBottom w:val="0"/>
      <w:divBdr>
        <w:top w:val="none" w:sz="0" w:space="0" w:color="auto"/>
        <w:left w:val="none" w:sz="0" w:space="0" w:color="auto"/>
        <w:bottom w:val="none" w:sz="0" w:space="0" w:color="auto"/>
        <w:right w:val="none" w:sz="0" w:space="0" w:color="auto"/>
      </w:divBdr>
    </w:div>
    <w:div w:id="551889417">
      <w:bodyDiv w:val="1"/>
      <w:marLeft w:val="0"/>
      <w:marRight w:val="0"/>
      <w:marTop w:val="0"/>
      <w:marBottom w:val="0"/>
      <w:divBdr>
        <w:top w:val="none" w:sz="0" w:space="0" w:color="auto"/>
        <w:left w:val="none" w:sz="0" w:space="0" w:color="auto"/>
        <w:bottom w:val="none" w:sz="0" w:space="0" w:color="auto"/>
        <w:right w:val="none" w:sz="0" w:space="0" w:color="auto"/>
      </w:divBdr>
    </w:div>
    <w:div w:id="565994675">
      <w:bodyDiv w:val="1"/>
      <w:marLeft w:val="0"/>
      <w:marRight w:val="0"/>
      <w:marTop w:val="0"/>
      <w:marBottom w:val="0"/>
      <w:divBdr>
        <w:top w:val="none" w:sz="0" w:space="0" w:color="auto"/>
        <w:left w:val="none" w:sz="0" w:space="0" w:color="auto"/>
        <w:bottom w:val="none" w:sz="0" w:space="0" w:color="auto"/>
        <w:right w:val="none" w:sz="0" w:space="0" w:color="auto"/>
      </w:divBdr>
    </w:div>
    <w:div w:id="629167030">
      <w:bodyDiv w:val="1"/>
      <w:marLeft w:val="0"/>
      <w:marRight w:val="0"/>
      <w:marTop w:val="0"/>
      <w:marBottom w:val="0"/>
      <w:divBdr>
        <w:top w:val="none" w:sz="0" w:space="0" w:color="auto"/>
        <w:left w:val="none" w:sz="0" w:space="0" w:color="auto"/>
        <w:bottom w:val="none" w:sz="0" w:space="0" w:color="auto"/>
        <w:right w:val="none" w:sz="0" w:space="0" w:color="auto"/>
      </w:divBdr>
    </w:div>
    <w:div w:id="658075907">
      <w:bodyDiv w:val="1"/>
      <w:marLeft w:val="0"/>
      <w:marRight w:val="0"/>
      <w:marTop w:val="0"/>
      <w:marBottom w:val="0"/>
      <w:divBdr>
        <w:top w:val="none" w:sz="0" w:space="0" w:color="auto"/>
        <w:left w:val="none" w:sz="0" w:space="0" w:color="auto"/>
        <w:bottom w:val="none" w:sz="0" w:space="0" w:color="auto"/>
        <w:right w:val="none" w:sz="0" w:space="0" w:color="auto"/>
      </w:divBdr>
    </w:div>
    <w:div w:id="706641355">
      <w:bodyDiv w:val="1"/>
      <w:marLeft w:val="0"/>
      <w:marRight w:val="0"/>
      <w:marTop w:val="0"/>
      <w:marBottom w:val="0"/>
      <w:divBdr>
        <w:top w:val="none" w:sz="0" w:space="0" w:color="auto"/>
        <w:left w:val="none" w:sz="0" w:space="0" w:color="auto"/>
        <w:bottom w:val="none" w:sz="0" w:space="0" w:color="auto"/>
        <w:right w:val="none" w:sz="0" w:space="0" w:color="auto"/>
      </w:divBdr>
    </w:div>
    <w:div w:id="832573326">
      <w:bodyDiv w:val="1"/>
      <w:marLeft w:val="0"/>
      <w:marRight w:val="0"/>
      <w:marTop w:val="0"/>
      <w:marBottom w:val="0"/>
      <w:divBdr>
        <w:top w:val="none" w:sz="0" w:space="0" w:color="auto"/>
        <w:left w:val="none" w:sz="0" w:space="0" w:color="auto"/>
        <w:bottom w:val="none" w:sz="0" w:space="0" w:color="auto"/>
        <w:right w:val="none" w:sz="0" w:space="0" w:color="auto"/>
      </w:divBdr>
    </w:div>
    <w:div w:id="993024250">
      <w:bodyDiv w:val="1"/>
      <w:marLeft w:val="0"/>
      <w:marRight w:val="0"/>
      <w:marTop w:val="0"/>
      <w:marBottom w:val="0"/>
      <w:divBdr>
        <w:top w:val="none" w:sz="0" w:space="0" w:color="auto"/>
        <w:left w:val="none" w:sz="0" w:space="0" w:color="auto"/>
        <w:bottom w:val="none" w:sz="0" w:space="0" w:color="auto"/>
        <w:right w:val="none" w:sz="0" w:space="0" w:color="auto"/>
      </w:divBdr>
    </w:div>
    <w:div w:id="999767537">
      <w:bodyDiv w:val="1"/>
      <w:marLeft w:val="0"/>
      <w:marRight w:val="0"/>
      <w:marTop w:val="0"/>
      <w:marBottom w:val="0"/>
      <w:divBdr>
        <w:top w:val="none" w:sz="0" w:space="0" w:color="auto"/>
        <w:left w:val="none" w:sz="0" w:space="0" w:color="auto"/>
        <w:bottom w:val="none" w:sz="0" w:space="0" w:color="auto"/>
        <w:right w:val="none" w:sz="0" w:space="0" w:color="auto"/>
      </w:divBdr>
    </w:div>
    <w:div w:id="1020736000">
      <w:bodyDiv w:val="1"/>
      <w:marLeft w:val="0"/>
      <w:marRight w:val="0"/>
      <w:marTop w:val="0"/>
      <w:marBottom w:val="0"/>
      <w:divBdr>
        <w:top w:val="none" w:sz="0" w:space="0" w:color="auto"/>
        <w:left w:val="none" w:sz="0" w:space="0" w:color="auto"/>
        <w:bottom w:val="none" w:sz="0" w:space="0" w:color="auto"/>
        <w:right w:val="none" w:sz="0" w:space="0" w:color="auto"/>
      </w:divBdr>
    </w:div>
    <w:div w:id="1045183200">
      <w:bodyDiv w:val="1"/>
      <w:marLeft w:val="0"/>
      <w:marRight w:val="0"/>
      <w:marTop w:val="0"/>
      <w:marBottom w:val="0"/>
      <w:divBdr>
        <w:top w:val="none" w:sz="0" w:space="0" w:color="auto"/>
        <w:left w:val="none" w:sz="0" w:space="0" w:color="auto"/>
        <w:bottom w:val="none" w:sz="0" w:space="0" w:color="auto"/>
        <w:right w:val="none" w:sz="0" w:space="0" w:color="auto"/>
      </w:divBdr>
    </w:div>
    <w:div w:id="1058168234">
      <w:bodyDiv w:val="1"/>
      <w:marLeft w:val="0"/>
      <w:marRight w:val="0"/>
      <w:marTop w:val="0"/>
      <w:marBottom w:val="0"/>
      <w:divBdr>
        <w:top w:val="none" w:sz="0" w:space="0" w:color="auto"/>
        <w:left w:val="none" w:sz="0" w:space="0" w:color="auto"/>
        <w:bottom w:val="none" w:sz="0" w:space="0" w:color="auto"/>
        <w:right w:val="none" w:sz="0" w:space="0" w:color="auto"/>
      </w:divBdr>
    </w:div>
    <w:div w:id="1104157539">
      <w:bodyDiv w:val="1"/>
      <w:marLeft w:val="0"/>
      <w:marRight w:val="0"/>
      <w:marTop w:val="0"/>
      <w:marBottom w:val="0"/>
      <w:divBdr>
        <w:top w:val="none" w:sz="0" w:space="0" w:color="auto"/>
        <w:left w:val="none" w:sz="0" w:space="0" w:color="auto"/>
        <w:bottom w:val="none" w:sz="0" w:space="0" w:color="auto"/>
        <w:right w:val="none" w:sz="0" w:space="0" w:color="auto"/>
      </w:divBdr>
    </w:div>
    <w:div w:id="1119371892">
      <w:bodyDiv w:val="1"/>
      <w:marLeft w:val="0"/>
      <w:marRight w:val="0"/>
      <w:marTop w:val="0"/>
      <w:marBottom w:val="0"/>
      <w:divBdr>
        <w:top w:val="none" w:sz="0" w:space="0" w:color="auto"/>
        <w:left w:val="none" w:sz="0" w:space="0" w:color="auto"/>
        <w:bottom w:val="none" w:sz="0" w:space="0" w:color="auto"/>
        <w:right w:val="none" w:sz="0" w:space="0" w:color="auto"/>
      </w:divBdr>
    </w:div>
    <w:div w:id="1180893567">
      <w:bodyDiv w:val="1"/>
      <w:marLeft w:val="0"/>
      <w:marRight w:val="0"/>
      <w:marTop w:val="0"/>
      <w:marBottom w:val="0"/>
      <w:divBdr>
        <w:top w:val="none" w:sz="0" w:space="0" w:color="auto"/>
        <w:left w:val="none" w:sz="0" w:space="0" w:color="auto"/>
        <w:bottom w:val="none" w:sz="0" w:space="0" w:color="auto"/>
        <w:right w:val="none" w:sz="0" w:space="0" w:color="auto"/>
      </w:divBdr>
    </w:div>
    <w:div w:id="1201287068">
      <w:bodyDiv w:val="1"/>
      <w:marLeft w:val="0"/>
      <w:marRight w:val="0"/>
      <w:marTop w:val="0"/>
      <w:marBottom w:val="0"/>
      <w:divBdr>
        <w:top w:val="none" w:sz="0" w:space="0" w:color="auto"/>
        <w:left w:val="none" w:sz="0" w:space="0" w:color="auto"/>
        <w:bottom w:val="none" w:sz="0" w:space="0" w:color="auto"/>
        <w:right w:val="none" w:sz="0" w:space="0" w:color="auto"/>
      </w:divBdr>
    </w:div>
    <w:div w:id="1249730304">
      <w:bodyDiv w:val="1"/>
      <w:marLeft w:val="0"/>
      <w:marRight w:val="0"/>
      <w:marTop w:val="0"/>
      <w:marBottom w:val="0"/>
      <w:divBdr>
        <w:top w:val="none" w:sz="0" w:space="0" w:color="auto"/>
        <w:left w:val="none" w:sz="0" w:space="0" w:color="auto"/>
        <w:bottom w:val="none" w:sz="0" w:space="0" w:color="auto"/>
        <w:right w:val="none" w:sz="0" w:space="0" w:color="auto"/>
      </w:divBdr>
    </w:div>
    <w:div w:id="1256014198">
      <w:bodyDiv w:val="1"/>
      <w:marLeft w:val="0"/>
      <w:marRight w:val="0"/>
      <w:marTop w:val="0"/>
      <w:marBottom w:val="0"/>
      <w:divBdr>
        <w:top w:val="none" w:sz="0" w:space="0" w:color="auto"/>
        <w:left w:val="none" w:sz="0" w:space="0" w:color="auto"/>
        <w:bottom w:val="none" w:sz="0" w:space="0" w:color="auto"/>
        <w:right w:val="none" w:sz="0" w:space="0" w:color="auto"/>
      </w:divBdr>
    </w:div>
    <w:div w:id="1303193030">
      <w:bodyDiv w:val="1"/>
      <w:marLeft w:val="0"/>
      <w:marRight w:val="0"/>
      <w:marTop w:val="0"/>
      <w:marBottom w:val="0"/>
      <w:divBdr>
        <w:top w:val="none" w:sz="0" w:space="0" w:color="auto"/>
        <w:left w:val="none" w:sz="0" w:space="0" w:color="auto"/>
        <w:bottom w:val="none" w:sz="0" w:space="0" w:color="auto"/>
        <w:right w:val="none" w:sz="0" w:space="0" w:color="auto"/>
      </w:divBdr>
    </w:div>
    <w:div w:id="1391539697">
      <w:bodyDiv w:val="1"/>
      <w:marLeft w:val="0"/>
      <w:marRight w:val="0"/>
      <w:marTop w:val="0"/>
      <w:marBottom w:val="0"/>
      <w:divBdr>
        <w:top w:val="none" w:sz="0" w:space="0" w:color="auto"/>
        <w:left w:val="none" w:sz="0" w:space="0" w:color="auto"/>
        <w:bottom w:val="none" w:sz="0" w:space="0" w:color="auto"/>
        <w:right w:val="none" w:sz="0" w:space="0" w:color="auto"/>
      </w:divBdr>
    </w:div>
    <w:div w:id="1409691453">
      <w:bodyDiv w:val="1"/>
      <w:marLeft w:val="0"/>
      <w:marRight w:val="0"/>
      <w:marTop w:val="0"/>
      <w:marBottom w:val="0"/>
      <w:divBdr>
        <w:top w:val="none" w:sz="0" w:space="0" w:color="auto"/>
        <w:left w:val="none" w:sz="0" w:space="0" w:color="auto"/>
        <w:bottom w:val="none" w:sz="0" w:space="0" w:color="auto"/>
        <w:right w:val="none" w:sz="0" w:space="0" w:color="auto"/>
      </w:divBdr>
    </w:div>
    <w:div w:id="1456871456">
      <w:bodyDiv w:val="1"/>
      <w:marLeft w:val="0"/>
      <w:marRight w:val="0"/>
      <w:marTop w:val="0"/>
      <w:marBottom w:val="0"/>
      <w:divBdr>
        <w:top w:val="none" w:sz="0" w:space="0" w:color="auto"/>
        <w:left w:val="none" w:sz="0" w:space="0" w:color="auto"/>
        <w:bottom w:val="none" w:sz="0" w:space="0" w:color="auto"/>
        <w:right w:val="none" w:sz="0" w:space="0" w:color="auto"/>
      </w:divBdr>
    </w:div>
    <w:div w:id="1469319680">
      <w:bodyDiv w:val="1"/>
      <w:marLeft w:val="0"/>
      <w:marRight w:val="0"/>
      <w:marTop w:val="0"/>
      <w:marBottom w:val="0"/>
      <w:divBdr>
        <w:top w:val="none" w:sz="0" w:space="0" w:color="auto"/>
        <w:left w:val="none" w:sz="0" w:space="0" w:color="auto"/>
        <w:bottom w:val="none" w:sz="0" w:space="0" w:color="auto"/>
        <w:right w:val="none" w:sz="0" w:space="0" w:color="auto"/>
      </w:divBdr>
    </w:div>
    <w:div w:id="1499927167">
      <w:bodyDiv w:val="1"/>
      <w:marLeft w:val="0"/>
      <w:marRight w:val="0"/>
      <w:marTop w:val="0"/>
      <w:marBottom w:val="0"/>
      <w:divBdr>
        <w:top w:val="none" w:sz="0" w:space="0" w:color="auto"/>
        <w:left w:val="none" w:sz="0" w:space="0" w:color="auto"/>
        <w:bottom w:val="none" w:sz="0" w:space="0" w:color="auto"/>
        <w:right w:val="none" w:sz="0" w:space="0" w:color="auto"/>
      </w:divBdr>
    </w:div>
    <w:div w:id="1500845390">
      <w:bodyDiv w:val="1"/>
      <w:marLeft w:val="0"/>
      <w:marRight w:val="0"/>
      <w:marTop w:val="0"/>
      <w:marBottom w:val="0"/>
      <w:divBdr>
        <w:top w:val="none" w:sz="0" w:space="0" w:color="auto"/>
        <w:left w:val="none" w:sz="0" w:space="0" w:color="auto"/>
        <w:bottom w:val="none" w:sz="0" w:space="0" w:color="auto"/>
        <w:right w:val="none" w:sz="0" w:space="0" w:color="auto"/>
      </w:divBdr>
    </w:div>
    <w:div w:id="1546989654">
      <w:bodyDiv w:val="1"/>
      <w:marLeft w:val="0"/>
      <w:marRight w:val="0"/>
      <w:marTop w:val="0"/>
      <w:marBottom w:val="0"/>
      <w:divBdr>
        <w:top w:val="none" w:sz="0" w:space="0" w:color="auto"/>
        <w:left w:val="none" w:sz="0" w:space="0" w:color="auto"/>
        <w:bottom w:val="none" w:sz="0" w:space="0" w:color="auto"/>
        <w:right w:val="none" w:sz="0" w:space="0" w:color="auto"/>
      </w:divBdr>
    </w:div>
    <w:div w:id="1566181519">
      <w:bodyDiv w:val="1"/>
      <w:marLeft w:val="0"/>
      <w:marRight w:val="0"/>
      <w:marTop w:val="0"/>
      <w:marBottom w:val="0"/>
      <w:divBdr>
        <w:top w:val="none" w:sz="0" w:space="0" w:color="auto"/>
        <w:left w:val="none" w:sz="0" w:space="0" w:color="auto"/>
        <w:bottom w:val="none" w:sz="0" w:space="0" w:color="auto"/>
        <w:right w:val="none" w:sz="0" w:space="0" w:color="auto"/>
      </w:divBdr>
    </w:div>
    <w:div w:id="1572736113">
      <w:bodyDiv w:val="1"/>
      <w:marLeft w:val="0"/>
      <w:marRight w:val="0"/>
      <w:marTop w:val="0"/>
      <w:marBottom w:val="0"/>
      <w:divBdr>
        <w:top w:val="none" w:sz="0" w:space="0" w:color="auto"/>
        <w:left w:val="none" w:sz="0" w:space="0" w:color="auto"/>
        <w:bottom w:val="none" w:sz="0" w:space="0" w:color="auto"/>
        <w:right w:val="none" w:sz="0" w:space="0" w:color="auto"/>
      </w:divBdr>
    </w:div>
    <w:div w:id="1574660454">
      <w:bodyDiv w:val="1"/>
      <w:marLeft w:val="0"/>
      <w:marRight w:val="0"/>
      <w:marTop w:val="0"/>
      <w:marBottom w:val="0"/>
      <w:divBdr>
        <w:top w:val="none" w:sz="0" w:space="0" w:color="auto"/>
        <w:left w:val="none" w:sz="0" w:space="0" w:color="auto"/>
        <w:bottom w:val="none" w:sz="0" w:space="0" w:color="auto"/>
        <w:right w:val="none" w:sz="0" w:space="0" w:color="auto"/>
      </w:divBdr>
    </w:div>
    <w:div w:id="1600789931">
      <w:bodyDiv w:val="1"/>
      <w:marLeft w:val="0"/>
      <w:marRight w:val="0"/>
      <w:marTop w:val="0"/>
      <w:marBottom w:val="0"/>
      <w:divBdr>
        <w:top w:val="none" w:sz="0" w:space="0" w:color="auto"/>
        <w:left w:val="none" w:sz="0" w:space="0" w:color="auto"/>
        <w:bottom w:val="none" w:sz="0" w:space="0" w:color="auto"/>
        <w:right w:val="none" w:sz="0" w:space="0" w:color="auto"/>
      </w:divBdr>
    </w:div>
    <w:div w:id="1613980186">
      <w:bodyDiv w:val="1"/>
      <w:marLeft w:val="0"/>
      <w:marRight w:val="0"/>
      <w:marTop w:val="0"/>
      <w:marBottom w:val="0"/>
      <w:divBdr>
        <w:top w:val="none" w:sz="0" w:space="0" w:color="auto"/>
        <w:left w:val="none" w:sz="0" w:space="0" w:color="auto"/>
        <w:bottom w:val="none" w:sz="0" w:space="0" w:color="auto"/>
        <w:right w:val="none" w:sz="0" w:space="0" w:color="auto"/>
      </w:divBdr>
    </w:div>
    <w:div w:id="1641618420">
      <w:bodyDiv w:val="1"/>
      <w:marLeft w:val="0"/>
      <w:marRight w:val="0"/>
      <w:marTop w:val="0"/>
      <w:marBottom w:val="0"/>
      <w:divBdr>
        <w:top w:val="none" w:sz="0" w:space="0" w:color="auto"/>
        <w:left w:val="none" w:sz="0" w:space="0" w:color="auto"/>
        <w:bottom w:val="none" w:sz="0" w:space="0" w:color="auto"/>
        <w:right w:val="none" w:sz="0" w:space="0" w:color="auto"/>
      </w:divBdr>
    </w:div>
    <w:div w:id="1642004824">
      <w:bodyDiv w:val="1"/>
      <w:marLeft w:val="0"/>
      <w:marRight w:val="0"/>
      <w:marTop w:val="0"/>
      <w:marBottom w:val="0"/>
      <w:divBdr>
        <w:top w:val="none" w:sz="0" w:space="0" w:color="auto"/>
        <w:left w:val="none" w:sz="0" w:space="0" w:color="auto"/>
        <w:bottom w:val="none" w:sz="0" w:space="0" w:color="auto"/>
        <w:right w:val="none" w:sz="0" w:space="0" w:color="auto"/>
      </w:divBdr>
    </w:div>
    <w:div w:id="1650670740">
      <w:bodyDiv w:val="1"/>
      <w:marLeft w:val="0"/>
      <w:marRight w:val="0"/>
      <w:marTop w:val="0"/>
      <w:marBottom w:val="0"/>
      <w:divBdr>
        <w:top w:val="none" w:sz="0" w:space="0" w:color="auto"/>
        <w:left w:val="none" w:sz="0" w:space="0" w:color="auto"/>
        <w:bottom w:val="none" w:sz="0" w:space="0" w:color="auto"/>
        <w:right w:val="none" w:sz="0" w:space="0" w:color="auto"/>
      </w:divBdr>
    </w:div>
    <w:div w:id="1704672231">
      <w:bodyDiv w:val="1"/>
      <w:marLeft w:val="0"/>
      <w:marRight w:val="0"/>
      <w:marTop w:val="0"/>
      <w:marBottom w:val="0"/>
      <w:divBdr>
        <w:top w:val="none" w:sz="0" w:space="0" w:color="auto"/>
        <w:left w:val="none" w:sz="0" w:space="0" w:color="auto"/>
        <w:bottom w:val="none" w:sz="0" w:space="0" w:color="auto"/>
        <w:right w:val="none" w:sz="0" w:space="0" w:color="auto"/>
      </w:divBdr>
    </w:div>
    <w:div w:id="1714958288">
      <w:bodyDiv w:val="1"/>
      <w:marLeft w:val="0"/>
      <w:marRight w:val="0"/>
      <w:marTop w:val="0"/>
      <w:marBottom w:val="0"/>
      <w:divBdr>
        <w:top w:val="none" w:sz="0" w:space="0" w:color="auto"/>
        <w:left w:val="none" w:sz="0" w:space="0" w:color="auto"/>
        <w:bottom w:val="none" w:sz="0" w:space="0" w:color="auto"/>
        <w:right w:val="none" w:sz="0" w:space="0" w:color="auto"/>
      </w:divBdr>
    </w:div>
    <w:div w:id="1772047242">
      <w:bodyDiv w:val="1"/>
      <w:marLeft w:val="0"/>
      <w:marRight w:val="0"/>
      <w:marTop w:val="0"/>
      <w:marBottom w:val="0"/>
      <w:divBdr>
        <w:top w:val="none" w:sz="0" w:space="0" w:color="auto"/>
        <w:left w:val="none" w:sz="0" w:space="0" w:color="auto"/>
        <w:bottom w:val="none" w:sz="0" w:space="0" w:color="auto"/>
        <w:right w:val="none" w:sz="0" w:space="0" w:color="auto"/>
      </w:divBdr>
    </w:div>
    <w:div w:id="1798141006">
      <w:bodyDiv w:val="1"/>
      <w:marLeft w:val="0"/>
      <w:marRight w:val="0"/>
      <w:marTop w:val="0"/>
      <w:marBottom w:val="0"/>
      <w:divBdr>
        <w:top w:val="none" w:sz="0" w:space="0" w:color="auto"/>
        <w:left w:val="none" w:sz="0" w:space="0" w:color="auto"/>
        <w:bottom w:val="none" w:sz="0" w:space="0" w:color="auto"/>
        <w:right w:val="none" w:sz="0" w:space="0" w:color="auto"/>
      </w:divBdr>
    </w:div>
    <w:div w:id="1803648694">
      <w:bodyDiv w:val="1"/>
      <w:marLeft w:val="0"/>
      <w:marRight w:val="0"/>
      <w:marTop w:val="0"/>
      <w:marBottom w:val="0"/>
      <w:divBdr>
        <w:top w:val="none" w:sz="0" w:space="0" w:color="auto"/>
        <w:left w:val="none" w:sz="0" w:space="0" w:color="auto"/>
        <w:bottom w:val="none" w:sz="0" w:space="0" w:color="auto"/>
        <w:right w:val="none" w:sz="0" w:space="0" w:color="auto"/>
      </w:divBdr>
    </w:div>
    <w:div w:id="1834488948">
      <w:bodyDiv w:val="1"/>
      <w:marLeft w:val="0"/>
      <w:marRight w:val="0"/>
      <w:marTop w:val="0"/>
      <w:marBottom w:val="0"/>
      <w:divBdr>
        <w:top w:val="none" w:sz="0" w:space="0" w:color="auto"/>
        <w:left w:val="none" w:sz="0" w:space="0" w:color="auto"/>
        <w:bottom w:val="none" w:sz="0" w:space="0" w:color="auto"/>
        <w:right w:val="none" w:sz="0" w:space="0" w:color="auto"/>
      </w:divBdr>
    </w:div>
    <w:div w:id="1884175675">
      <w:bodyDiv w:val="1"/>
      <w:marLeft w:val="0"/>
      <w:marRight w:val="0"/>
      <w:marTop w:val="0"/>
      <w:marBottom w:val="0"/>
      <w:divBdr>
        <w:top w:val="none" w:sz="0" w:space="0" w:color="auto"/>
        <w:left w:val="none" w:sz="0" w:space="0" w:color="auto"/>
        <w:bottom w:val="none" w:sz="0" w:space="0" w:color="auto"/>
        <w:right w:val="none" w:sz="0" w:space="0" w:color="auto"/>
      </w:divBdr>
    </w:div>
    <w:div w:id="1915970255">
      <w:bodyDiv w:val="1"/>
      <w:marLeft w:val="0"/>
      <w:marRight w:val="0"/>
      <w:marTop w:val="0"/>
      <w:marBottom w:val="0"/>
      <w:divBdr>
        <w:top w:val="none" w:sz="0" w:space="0" w:color="auto"/>
        <w:left w:val="none" w:sz="0" w:space="0" w:color="auto"/>
        <w:bottom w:val="none" w:sz="0" w:space="0" w:color="auto"/>
        <w:right w:val="none" w:sz="0" w:space="0" w:color="auto"/>
      </w:divBdr>
    </w:div>
    <w:div w:id="1925915386">
      <w:bodyDiv w:val="1"/>
      <w:marLeft w:val="0"/>
      <w:marRight w:val="0"/>
      <w:marTop w:val="0"/>
      <w:marBottom w:val="0"/>
      <w:divBdr>
        <w:top w:val="none" w:sz="0" w:space="0" w:color="auto"/>
        <w:left w:val="none" w:sz="0" w:space="0" w:color="auto"/>
        <w:bottom w:val="none" w:sz="0" w:space="0" w:color="auto"/>
        <w:right w:val="none" w:sz="0" w:space="0" w:color="auto"/>
      </w:divBdr>
    </w:div>
    <w:div w:id="1976985578">
      <w:bodyDiv w:val="1"/>
      <w:marLeft w:val="0"/>
      <w:marRight w:val="0"/>
      <w:marTop w:val="0"/>
      <w:marBottom w:val="0"/>
      <w:divBdr>
        <w:top w:val="none" w:sz="0" w:space="0" w:color="auto"/>
        <w:left w:val="none" w:sz="0" w:space="0" w:color="auto"/>
        <w:bottom w:val="none" w:sz="0" w:space="0" w:color="auto"/>
        <w:right w:val="none" w:sz="0" w:space="0" w:color="auto"/>
      </w:divBdr>
    </w:div>
    <w:div w:id="2007202076">
      <w:bodyDiv w:val="1"/>
      <w:marLeft w:val="0"/>
      <w:marRight w:val="0"/>
      <w:marTop w:val="0"/>
      <w:marBottom w:val="0"/>
      <w:divBdr>
        <w:top w:val="none" w:sz="0" w:space="0" w:color="auto"/>
        <w:left w:val="none" w:sz="0" w:space="0" w:color="auto"/>
        <w:bottom w:val="none" w:sz="0" w:space="0" w:color="auto"/>
        <w:right w:val="none" w:sz="0" w:space="0" w:color="auto"/>
      </w:divBdr>
    </w:div>
    <w:div w:id="2041778940">
      <w:bodyDiv w:val="1"/>
      <w:marLeft w:val="0"/>
      <w:marRight w:val="0"/>
      <w:marTop w:val="0"/>
      <w:marBottom w:val="0"/>
      <w:divBdr>
        <w:top w:val="none" w:sz="0" w:space="0" w:color="auto"/>
        <w:left w:val="none" w:sz="0" w:space="0" w:color="auto"/>
        <w:bottom w:val="none" w:sz="0" w:space="0" w:color="auto"/>
        <w:right w:val="none" w:sz="0" w:space="0" w:color="auto"/>
      </w:divBdr>
    </w:div>
    <w:div w:id="2080861585">
      <w:bodyDiv w:val="1"/>
      <w:marLeft w:val="0"/>
      <w:marRight w:val="0"/>
      <w:marTop w:val="0"/>
      <w:marBottom w:val="0"/>
      <w:divBdr>
        <w:top w:val="none" w:sz="0" w:space="0" w:color="auto"/>
        <w:left w:val="none" w:sz="0" w:space="0" w:color="auto"/>
        <w:bottom w:val="none" w:sz="0" w:space="0" w:color="auto"/>
        <w:right w:val="none" w:sz="0" w:space="0" w:color="auto"/>
      </w:divBdr>
    </w:div>
    <w:div w:id="2082679959">
      <w:bodyDiv w:val="1"/>
      <w:marLeft w:val="0"/>
      <w:marRight w:val="0"/>
      <w:marTop w:val="0"/>
      <w:marBottom w:val="0"/>
      <w:divBdr>
        <w:top w:val="none" w:sz="0" w:space="0" w:color="auto"/>
        <w:left w:val="none" w:sz="0" w:space="0" w:color="auto"/>
        <w:bottom w:val="none" w:sz="0" w:space="0" w:color="auto"/>
        <w:right w:val="none" w:sz="0" w:space="0" w:color="auto"/>
      </w:divBdr>
    </w:div>
    <w:div w:id="2115129395">
      <w:bodyDiv w:val="1"/>
      <w:marLeft w:val="0"/>
      <w:marRight w:val="0"/>
      <w:marTop w:val="0"/>
      <w:marBottom w:val="0"/>
      <w:divBdr>
        <w:top w:val="none" w:sz="0" w:space="0" w:color="auto"/>
        <w:left w:val="none" w:sz="0" w:space="0" w:color="auto"/>
        <w:bottom w:val="none" w:sz="0" w:space="0" w:color="auto"/>
        <w:right w:val="none" w:sz="0" w:space="0" w:color="auto"/>
      </w:divBdr>
    </w:div>
    <w:div w:id="2121339407">
      <w:bodyDiv w:val="1"/>
      <w:marLeft w:val="0"/>
      <w:marRight w:val="0"/>
      <w:marTop w:val="0"/>
      <w:marBottom w:val="0"/>
      <w:divBdr>
        <w:top w:val="none" w:sz="0" w:space="0" w:color="auto"/>
        <w:left w:val="none" w:sz="0" w:space="0" w:color="auto"/>
        <w:bottom w:val="none" w:sz="0" w:space="0" w:color="auto"/>
        <w:right w:val="none" w:sz="0" w:space="0" w:color="auto"/>
      </w:divBdr>
    </w:div>
    <w:div w:id="21316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themes/dangerous_good/risk_management_framework_en" TargetMode="External"/><Relationship Id="rId2" Type="http://schemas.openxmlformats.org/officeDocument/2006/relationships/hyperlink" Target="https://ec.europa.eu/transport/themes/dangerous_goods_en" TargetMode="External"/><Relationship Id="rId1" Type="http://schemas.openxmlformats.org/officeDocument/2006/relationships/hyperlink" Target="http://www.era.europa.eu/activities/transport-dangerous-goods/inland-td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59A6-A979-4153-9D84-A04E2C5B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9088</Words>
  <Characters>51353</Characters>
  <Application>Microsoft Office Word</Application>
  <DocSecurity>0</DocSecurity>
  <Lines>1027</Lines>
  <Paragraphs>610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0924779</vt:lpstr>
      <vt:lpstr>0924779</vt:lpstr>
    </vt:vector>
  </TitlesOfParts>
  <Company>CSD</Company>
  <LinksUpToDate>false</LinksUpToDate>
  <CharactersWithSpaces>59831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Christine Barrio-Champeau</cp:lastModifiedBy>
  <cp:revision>13</cp:revision>
  <cp:lastPrinted>2019-10-09T10:43:00Z</cp:lastPrinted>
  <dcterms:created xsi:type="dcterms:W3CDTF">2019-10-08T07:25:00Z</dcterms:created>
  <dcterms:modified xsi:type="dcterms:W3CDTF">2019-10-14T09:32:00Z</dcterms:modified>
</cp:coreProperties>
</file>