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3A3B89">
            <w:pPr>
              <w:jc w:val="right"/>
            </w:pPr>
            <w:r w:rsidRPr="00A778FE">
              <w:rPr>
                <w:sz w:val="40"/>
              </w:rPr>
              <w:t>ECE</w:t>
            </w:r>
            <w:r>
              <w:t>/TRANS/WP.15/2019</w:t>
            </w:r>
            <w:r w:rsidR="00D16EE8">
              <w:t>/15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proofErr w:type="spellStart"/>
            <w:r>
              <w:t>Distr</w:t>
            </w:r>
            <w:proofErr w:type="spellEnd"/>
            <w:r>
              <w:t xml:space="preserve">. </w:t>
            </w:r>
            <w:proofErr w:type="gramStart"/>
            <w:r>
              <w:t>générale</w:t>
            </w:r>
            <w:proofErr w:type="gramEnd"/>
          </w:p>
          <w:p w:rsidR="00A778FE" w:rsidRDefault="00940800" w:rsidP="00A778FE">
            <w:pPr>
              <w:spacing w:line="240" w:lineRule="exact"/>
            </w:pPr>
            <w:r>
              <w:t>19</w:t>
            </w:r>
            <w:bookmarkStart w:id="0" w:name="_GoBack"/>
            <w:bookmarkEnd w:id="0"/>
            <w:r w:rsidR="00D16EE8">
              <w:t xml:space="preserve"> </w:t>
            </w:r>
            <w:r w:rsidR="00705210">
              <w:t>août</w:t>
            </w:r>
            <w:r w:rsidR="00D16EE8">
              <w:t xml:space="preserve"> </w:t>
            </w:r>
            <w:r w:rsidR="00A778FE">
              <w:t>2019</w:t>
            </w:r>
          </w:p>
          <w:p w:rsidR="00A778FE" w:rsidRDefault="00A778FE" w:rsidP="00A778FE">
            <w:pPr>
              <w:spacing w:line="240" w:lineRule="exact"/>
            </w:pPr>
          </w:p>
          <w:p w:rsidR="00A778FE" w:rsidRPr="00DB58B5" w:rsidRDefault="00A778FE" w:rsidP="00A778FE">
            <w:pPr>
              <w:spacing w:line="240" w:lineRule="exact"/>
            </w:pPr>
            <w:r>
              <w:t xml:space="preserve">Original : </w:t>
            </w:r>
            <w:r w:rsidR="00D16EE8">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Groupe de travail des transports de marchandises dangereuses</w:t>
      </w:r>
    </w:p>
    <w:p w:rsidR="00A778FE" w:rsidRPr="00992778" w:rsidRDefault="00A778FE" w:rsidP="00E85C74">
      <w:pPr>
        <w:spacing w:before="120"/>
        <w:rPr>
          <w:b/>
        </w:rPr>
      </w:pPr>
      <w:r>
        <w:rPr>
          <w:b/>
        </w:rPr>
        <w:t>10</w:t>
      </w:r>
      <w:r w:rsidR="00D16EE8">
        <w:rPr>
          <w:b/>
        </w:rPr>
        <w:t>7</w:t>
      </w:r>
      <w:r w:rsidR="00D16EE8">
        <w:rPr>
          <w:b/>
          <w:vertAlign w:val="superscript"/>
        </w:rPr>
        <w:t>e</w:t>
      </w:r>
      <w:r>
        <w:rPr>
          <w:b/>
        </w:rPr>
        <w:t> </w:t>
      </w:r>
      <w:r w:rsidRPr="00992778">
        <w:rPr>
          <w:b/>
        </w:rPr>
        <w:t>session</w:t>
      </w:r>
    </w:p>
    <w:p w:rsidR="00A778FE" w:rsidRDefault="00A778FE" w:rsidP="00E85C74">
      <w:r>
        <w:t xml:space="preserve">Genève, </w:t>
      </w:r>
      <w:r w:rsidR="00D16EE8">
        <w:t xml:space="preserve">11-15 novembre </w:t>
      </w:r>
      <w:r w:rsidRPr="00A778FE">
        <w:rPr>
          <w:lang w:val="fr-FR"/>
        </w:rPr>
        <w:t>2019</w:t>
      </w:r>
    </w:p>
    <w:p w:rsidR="00A778FE" w:rsidRDefault="00A778FE" w:rsidP="00E85C74">
      <w:r w:rsidRPr="00B93E72">
        <w:t xml:space="preserve">Point </w:t>
      </w:r>
      <w:r w:rsidR="00E828AB">
        <w:t>5</w:t>
      </w:r>
      <w:r>
        <w:t> b)</w:t>
      </w:r>
      <w:r w:rsidRPr="00B93E72">
        <w:t xml:space="preserve"> de l’ordre du jour provisoire</w:t>
      </w:r>
    </w:p>
    <w:p w:rsidR="00F9573C" w:rsidRDefault="00A778FE" w:rsidP="00AF0CB5">
      <w:pPr>
        <w:rPr>
          <w:b/>
          <w:bCs/>
          <w:lang w:val="fr-FR"/>
        </w:rPr>
      </w:pPr>
      <w:r w:rsidRPr="00A778FE">
        <w:rPr>
          <w:b/>
          <w:bCs/>
          <w:lang w:val="fr-FR"/>
        </w:rPr>
        <w:t>Propositions d’amendement aux annexes A et B de l’ADR :</w:t>
      </w:r>
      <w:r w:rsidRPr="00A778FE">
        <w:rPr>
          <w:b/>
          <w:bCs/>
        </w:rPr>
        <w:br/>
      </w:r>
      <w:r w:rsidRPr="00A778FE">
        <w:rPr>
          <w:b/>
          <w:bCs/>
          <w:lang w:val="fr-FR"/>
        </w:rPr>
        <w:t>propositions diverses</w:t>
      </w:r>
    </w:p>
    <w:p w:rsidR="00D16EE8" w:rsidRPr="00A778FE" w:rsidRDefault="00A778FE" w:rsidP="00D16EE8">
      <w:pPr>
        <w:pStyle w:val="HChG"/>
      </w:pPr>
      <w:r>
        <w:rPr>
          <w:lang w:val="fr-FR"/>
        </w:rPr>
        <w:tab/>
      </w:r>
      <w:r>
        <w:rPr>
          <w:lang w:val="fr-FR"/>
        </w:rPr>
        <w:tab/>
      </w:r>
      <w:r w:rsidR="00D16EE8" w:rsidRPr="00A778FE">
        <w:rPr>
          <w:lang w:val="fr-FR"/>
        </w:rPr>
        <w:t xml:space="preserve">Marquage des </w:t>
      </w:r>
      <w:r w:rsidR="00D16EE8">
        <w:rPr>
          <w:lang w:val="fr-FR"/>
        </w:rPr>
        <w:t xml:space="preserve">conteneurs </w:t>
      </w:r>
      <w:r w:rsidR="00D16EE8" w:rsidRPr="00A778FE">
        <w:rPr>
          <w:lang w:val="fr-FR"/>
        </w:rPr>
        <w:t>chargés avec des quantités limitées</w:t>
      </w:r>
      <w:r w:rsidR="00D16EE8">
        <w:rPr>
          <w:lang w:val="fr-FR"/>
        </w:rPr>
        <w:t xml:space="preserve"> et restrictions dans les tunnels</w:t>
      </w:r>
    </w:p>
    <w:p w:rsidR="00D16EE8" w:rsidRDefault="00D16EE8" w:rsidP="00D16EE8">
      <w:pPr>
        <w:pStyle w:val="H1G"/>
        <w:rPr>
          <w:b w:val="0"/>
          <w:sz w:val="20"/>
          <w:lang w:val="fr-FR"/>
        </w:rPr>
      </w:pPr>
      <w:r w:rsidRPr="00A778FE">
        <w:rPr>
          <w:lang w:val="fr-FR"/>
        </w:rPr>
        <w:tab/>
      </w:r>
      <w:r w:rsidRPr="00A778FE">
        <w:rPr>
          <w:lang w:val="fr-FR"/>
        </w:rPr>
        <w:tab/>
        <w:t xml:space="preserve">Communication du Gouvernement </w:t>
      </w:r>
      <w:r w:rsidR="00BD4459">
        <w:rPr>
          <w:lang w:val="fr-FR"/>
        </w:rPr>
        <w:t>de la S</w:t>
      </w:r>
      <w:r w:rsidRPr="00A778FE">
        <w:rPr>
          <w:lang w:val="fr-FR"/>
        </w:rPr>
        <w:t>uisse</w:t>
      </w:r>
      <w:r w:rsidRPr="00A778FE">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16EE8" w:rsidTr="008C0F22">
        <w:trPr>
          <w:jc w:val="center"/>
        </w:trPr>
        <w:tc>
          <w:tcPr>
            <w:tcW w:w="9637" w:type="dxa"/>
            <w:shd w:val="clear" w:color="auto" w:fill="auto"/>
          </w:tcPr>
          <w:p w:rsidR="00D16EE8" w:rsidRDefault="00D16EE8" w:rsidP="008C0F22">
            <w:pPr>
              <w:spacing w:before="240" w:after="120"/>
              <w:ind w:left="255"/>
              <w:rPr>
                <w:i/>
                <w:sz w:val="24"/>
              </w:rPr>
            </w:pPr>
            <w:r>
              <w:rPr>
                <w:i/>
                <w:sz w:val="24"/>
              </w:rPr>
              <w:t>Résumé</w:t>
            </w:r>
          </w:p>
        </w:tc>
      </w:tr>
      <w:tr w:rsidR="00D16EE8" w:rsidTr="008C0F22">
        <w:trPr>
          <w:jc w:val="center"/>
        </w:trPr>
        <w:tc>
          <w:tcPr>
            <w:tcW w:w="9637" w:type="dxa"/>
            <w:shd w:val="clear" w:color="auto" w:fill="auto"/>
          </w:tcPr>
          <w:p w:rsidR="00D16EE8" w:rsidRDefault="00D16EE8" w:rsidP="008C0F22">
            <w:pPr>
              <w:pStyle w:val="SingleTxtG"/>
              <w:ind w:left="3402" w:hanging="2268"/>
            </w:pPr>
            <w:r w:rsidRPr="00A778FE">
              <w:rPr>
                <w:b/>
              </w:rPr>
              <w:t>Résumé analytique</w:t>
            </w:r>
            <w:r>
              <w:t> </w:t>
            </w:r>
            <w:r w:rsidRPr="00A778FE">
              <w:t>:</w:t>
            </w:r>
            <w:r w:rsidRPr="00A778FE">
              <w:tab/>
              <w:t xml:space="preserve">Les unités de transport et les conteneurs qui renferment des quantités limitées </w:t>
            </w:r>
            <w:r>
              <w:t xml:space="preserve">sont soumis aux restrictions de circulation </w:t>
            </w:r>
            <w:r w:rsidR="00BD4459">
              <w:t xml:space="preserve">pour le </w:t>
            </w:r>
            <w:r>
              <w:t xml:space="preserve">passage </w:t>
            </w:r>
            <w:r w:rsidR="00BD4459">
              <w:t>dans les</w:t>
            </w:r>
            <w:r>
              <w:t xml:space="preserve"> tunnels de la catégorie E selon le 1.9.5.3.6.</w:t>
            </w:r>
            <w:r w:rsidRPr="00A778FE">
              <w:t xml:space="preserve"> </w:t>
            </w:r>
            <w:r>
              <w:t xml:space="preserve">Toutefois les textes </w:t>
            </w:r>
            <w:r w:rsidR="00BD4459">
              <w:t xml:space="preserve">des </w:t>
            </w:r>
            <w:r>
              <w:t>8.6.3.3 et 8.6.4 destinés aux usagers ne reproduisent pas cette restriction pour les conteneurs. Il s’agit de compléter au 8.6.3.3 et 8.6.4 la référence aux conteneurs.</w:t>
            </w:r>
            <w:r w:rsidRPr="00A778FE">
              <w:t xml:space="preserve">  </w:t>
            </w:r>
          </w:p>
        </w:tc>
      </w:tr>
      <w:tr w:rsidR="00D16EE8" w:rsidTr="008C0F22">
        <w:trPr>
          <w:jc w:val="center"/>
        </w:trPr>
        <w:tc>
          <w:tcPr>
            <w:tcW w:w="9637" w:type="dxa"/>
            <w:shd w:val="clear" w:color="auto" w:fill="auto"/>
          </w:tcPr>
          <w:p w:rsidR="00D16EE8" w:rsidRDefault="00D16EE8" w:rsidP="008C0F22">
            <w:pPr>
              <w:pStyle w:val="SingleTxtG"/>
            </w:pPr>
            <w:r w:rsidRPr="00A778FE">
              <w:rPr>
                <w:b/>
              </w:rPr>
              <w:t>Mesure à prendre</w:t>
            </w:r>
            <w:r>
              <w:t> :</w:t>
            </w:r>
            <w:r w:rsidRPr="00A778FE">
              <w:tab/>
            </w:r>
            <w:r>
              <w:tab/>
            </w:r>
            <w:r w:rsidRPr="00A778FE">
              <w:t xml:space="preserve">Modifier </w:t>
            </w:r>
            <w:r>
              <w:t xml:space="preserve">les textes </w:t>
            </w:r>
            <w:r w:rsidR="00BD4459">
              <w:t>des</w:t>
            </w:r>
            <w:r>
              <w:t xml:space="preserve"> 8.6.3.3 et 8.6.4</w:t>
            </w:r>
            <w:r w:rsidR="00AC12CD">
              <w:t>.</w:t>
            </w:r>
          </w:p>
        </w:tc>
      </w:tr>
      <w:tr w:rsidR="00D16EE8" w:rsidTr="008C0F22">
        <w:trPr>
          <w:jc w:val="center"/>
        </w:trPr>
        <w:tc>
          <w:tcPr>
            <w:tcW w:w="9637" w:type="dxa"/>
            <w:shd w:val="clear" w:color="auto" w:fill="auto"/>
          </w:tcPr>
          <w:p w:rsidR="00D16EE8" w:rsidRDefault="00D16EE8" w:rsidP="008C0F22">
            <w:pPr>
              <w:pStyle w:val="SingleTxtG"/>
              <w:ind w:left="3402" w:hanging="2268"/>
              <w:jc w:val="left"/>
            </w:pPr>
            <w:r>
              <w:rPr>
                <w:b/>
                <w:bCs/>
                <w:lang w:val="fr-FR"/>
              </w:rPr>
              <w:t>Documents de référence </w:t>
            </w:r>
            <w:r>
              <w:rPr>
                <w:lang w:val="fr-FR"/>
              </w:rPr>
              <w:t>:</w:t>
            </w:r>
            <w:r>
              <w:rPr>
                <w:lang w:val="fr-FR"/>
              </w:rPr>
              <w:tab/>
              <w:t>Document informel INF.23 de la 104</w:t>
            </w:r>
            <w:r w:rsidRPr="00A778FE">
              <w:rPr>
                <w:vertAlign w:val="superscript"/>
                <w:lang w:val="fr-FR"/>
              </w:rPr>
              <w:t>e</w:t>
            </w:r>
            <w:r>
              <w:rPr>
                <w:vertAlign w:val="superscript"/>
                <w:lang w:val="fr-FR"/>
              </w:rPr>
              <w:t> </w:t>
            </w:r>
            <w:r>
              <w:rPr>
                <w:lang w:val="fr-FR"/>
              </w:rPr>
              <w:t>session du Groupe de travail, ECE/TRANS/WP.15/AC.1/2018/14 et OTIF/RID/CE/GTP/2017/9 (Suède), ECE/TRANS/WP.15/2019/7</w:t>
            </w:r>
            <w:r w:rsidR="00CA483D">
              <w:rPr>
                <w:lang w:val="fr-FR"/>
              </w:rPr>
              <w:t xml:space="preserve"> </w:t>
            </w:r>
            <w:r>
              <w:rPr>
                <w:lang w:val="fr-FR"/>
              </w:rPr>
              <w:t xml:space="preserve">et </w:t>
            </w:r>
            <w:r w:rsidR="00BD4459">
              <w:rPr>
                <w:lang w:val="fr-FR"/>
              </w:rPr>
              <w:t xml:space="preserve">document informel </w:t>
            </w:r>
            <w:r>
              <w:rPr>
                <w:lang w:val="fr-FR"/>
              </w:rPr>
              <w:t>INF.7 de la 106</w:t>
            </w:r>
            <w:r w:rsidRPr="004E3C72">
              <w:rPr>
                <w:vertAlign w:val="superscript"/>
                <w:lang w:val="fr-FR"/>
              </w:rPr>
              <w:t>ème</w:t>
            </w:r>
            <w:r>
              <w:rPr>
                <w:lang w:val="fr-FR"/>
              </w:rPr>
              <w:t xml:space="preserve"> session du </w:t>
            </w:r>
            <w:r w:rsidR="00BD4459">
              <w:rPr>
                <w:lang w:val="fr-FR"/>
              </w:rPr>
              <w:t>Groupe de travail</w:t>
            </w:r>
            <w:r>
              <w:rPr>
                <w:lang w:val="fr-FR"/>
              </w:rPr>
              <w:t>.</w:t>
            </w:r>
          </w:p>
        </w:tc>
      </w:tr>
      <w:tr w:rsidR="00D16EE8" w:rsidTr="008C0F22">
        <w:trPr>
          <w:jc w:val="center"/>
        </w:trPr>
        <w:tc>
          <w:tcPr>
            <w:tcW w:w="9637" w:type="dxa"/>
            <w:shd w:val="clear" w:color="auto" w:fill="auto"/>
          </w:tcPr>
          <w:p w:rsidR="00D16EE8" w:rsidRDefault="00D16EE8" w:rsidP="008C0F22"/>
        </w:tc>
      </w:tr>
    </w:tbl>
    <w:p w:rsidR="00D16EE8" w:rsidRDefault="00D16EE8" w:rsidP="00D16EE8">
      <w:pPr>
        <w:pStyle w:val="SingleTxtG"/>
        <w:rPr>
          <w:lang w:val="fr-FR"/>
        </w:rPr>
      </w:pPr>
    </w:p>
    <w:p w:rsidR="00D16EE8" w:rsidRPr="00A778FE" w:rsidRDefault="00D16EE8" w:rsidP="00D16EE8">
      <w:pPr>
        <w:pStyle w:val="HChG"/>
      </w:pPr>
      <w:r>
        <w:rPr>
          <w:lang w:val="fr-FR"/>
        </w:rPr>
        <w:br w:type="page"/>
      </w:r>
      <w:r>
        <w:rPr>
          <w:lang w:val="fr-FR"/>
        </w:rPr>
        <w:lastRenderedPageBreak/>
        <w:tab/>
      </w:r>
      <w:r>
        <w:rPr>
          <w:lang w:val="fr-FR"/>
        </w:rPr>
        <w:tab/>
      </w:r>
      <w:r w:rsidRPr="00A778FE">
        <w:rPr>
          <w:lang w:val="fr-FR"/>
        </w:rPr>
        <w:t>Contexte</w:t>
      </w:r>
    </w:p>
    <w:p w:rsidR="00D16EE8" w:rsidRDefault="00D16EE8" w:rsidP="00D16EE8">
      <w:pPr>
        <w:pStyle w:val="SingleTxtG"/>
        <w:rPr>
          <w:lang w:val="fr-FR"/>
        </w:rPr>
      </w:pPr>
      <w:r>
        <w:rPr>
          <w:lang w:val="fr-FR"/>
        </w:rPr>
        <w:t>1</w:t>
      </w:r>
      <w:r w:rsidRPr="00A778FE">
        <w:rPr>
          <w:lang w:val="fr-FR"/>
        </w:rPr>
        <w:t>.</w:t>
      </w:r>
      <w:r w:rsidRPr="00A778FE">
        <w:rPr>
          <w:lang w:val="fr-FR"/>
        </w:rPr>
        <w:tab/>
      </w:r>
      <w:r>
        <w:rPr>
          <w:lang w:val="fr-FR"/>
        </w:rPr>
        <w:t xml:space="preserve">Faisant suite à </w:t>
      </w:r>
      <w:r w:rsidRPr="00231E94">
        <w:rPr>
          <w:lang w:val="fr-FR"/>
        </w:rPr>
        <w:t>une proposition de la Suisse (</w:t>
      </w:r>
      <w:r>
        <w:rPr>
          <w:lang w:val="fr-FR"/>
        </w:rPr>
        <w:t>ECE/TRANS/WP.15/</w:t>
      </w:r>
      <w:r w:rsidRPr="00231E94">
        <w:rPr>
          <w:lang w:val="fr-FR"/>
        </w:rPr>
        <w:t>2019/7)</w:t>
      </w:r>
      <w:r>
        <w:rPr>
          <w:lang w:val="fr-FR"/>
        </w:rPr>
        <w:t xml:space="preserve"> lors de la 106</w:t>
      </w:r>
      <w:r w:rsidRPr="00231E94">
        <w:rPr>
          <w:vertAlign w:val="superscript"/>
          <w:lang w:val="fr-FR"/>
        </w:rPr>
        <w:t>ème</w:t>
      </w:r>
      <w:r>
        <w:rPr>
          <w:lang w:val="fr-FR"/>
        </w:rPr>
        <w:t xml:space="preserve"> session du Groupe de travail concernant le marquage des conteneurs chargés avec des emballages en quantités limitées selon le chapitre 3.4</w:t>
      </w:r>
      <w:r w:rsidRPr="00231E94">
        <w:rPr>
          <w:lang w:val="fr-FR"/>
        </w:rPr>
        <w:t xml:space="preserve">, </w:t>
      </w:r>
      <w:r>
        <w:rPr>
          <w:lang w:val="fr-FR"/>
        </w:rPr>
        <w:t>l</w:t>
      </w:r>
      <w:r w:rsidRPr="00231E94">
        <w:rPr>
          <w:lang w:val="fr-FR"/>
        </w:rPr>
        <w:t xml:space="preserve">a proposition </w:t>
      </w:r>
      <w:r w:rsidR="00CD052A">
        <w:rPr>
          <w:lang w:val="fr-FR"/>
        </w:rPr>
        <w:t>du document informel</w:t>
      </w:r>
      <w:r w:rsidRPr="00231E94">
        <w:rPr>
          <w:lang w:val="fr-FR"/>
        </w:rPr>
        <w:t xml:space="preserve"> INF.7 </w:t>
      </w:r>
      <w:r>
        <w:rPr>
          <w:lang w:val="fr-FR"/>
        </w:rPr>
        <w:t xml:space="preserve">de la Suède </w:t>
      </w:r>
      <w:r w:rsidRPr="00231E94">
        <w:rPr>
          <w:lang w:val="fr-FR"/>
        </w:rPr>
        <w:t>a reçu un certain appui</w:t>
      </w:r>
      <w:r>
        <w:rPr>
          <w:lang w:val="fr-FR"/>
        </w:rPr>
        <w:t xml:space="preserve">. Celle-ci a cependant </w:t>
      </w:r>
      <w:r w:rsidR="00CA483D">
        <w:rPr>
          <w:lang w:val="fr-FR"/>
        </w:rPr>
        <w:t>à</w:t>
      </w:r>
      <w:r>
        <w:rPr>
          <w:lang w:val="fr-FR"/>
        </w:rPr>
        <w:t xml:space="preserve"> nouveau été transférée à la Réunion commune </w:t>
      </w:r>
      <w:r w:rsidRPr="00231E94">
        <w:rPr>
          <w:lang w:val="fr-FR"/>
        </w:rPr>
        <w:t>pour examiner à la fois le rail et la route.</w:t>
      </w:r>
      <w:r>
        <w:rPr>
          <w:lang w:val="fr-FR"/>
        </w:rPr>
        <w:t xml:space="preserve"> La question relative </w:t>
      </w:r>
      <w:r w:rsidR="00CA483D">
        <w:rPr>
          <w:lang w:val="fr-FR"/>
        </w:rPr>
        <w:t xml:space="preserve">au </w:t>
      </w:r>
      <w:r>
        <w:rPr>
          <w:lang w:val="fr-FR"/>
        </w:rPr>
        <w:t>marquage des wagons et conteneurs sera traitée à la Réunion commune de septembre 2019 dans le document ECE/TRANS/WP.15/AC.1/2019/38</w:t>
      </w:r>
      <w:r w:rsidR="00AC12CD">
        <w:rPr>
          <w:lang w:val="fr-FR"/>
        </w:rPr>
        <w:t>.</w:t>
      </w:r>
    </w:p>
    <w:p w:rsidR="00D16EE8" w:rsidRPr="00A778FE" w:rsidRDefault="00D16EE8" w:rsidP="00D16EE8">
      <w:pPr>
        <w:pStyle w:val="HChG"/>
      </w:pPr>
      <w:r>
        <w:rPr>
          <w:lang w:val="fr-FR"/>
        </w:rPr>
        <w:tab/>
      </w:r>
      <w:r>
        <w:rPr>
          <w:lang w:val="fr-FR"/>
        </w:rPr>
        <w:tab/>
      </w:r>
      <w:r w:rsidRPr="00A778FE">
        <w:rPr>
          <w:lang w:val="fr-FR"/>
        </w:rPr>
        <w:t>Introduction</w:t>
      </w:r>
    </w:p>
    <w:p w:rsidR="00D16EE8" w:rsidRDefault="00D16EE8" w:rsidP="00D16EE8">
      <w:pPr>
        <w:pStyle w:val="SingleTxtG"/>
        <w:rPr>
          <w:lang w:val="fr-FR"/>
        </w:rPr>
      </w:pPr>
      <w:r>
        <w:rPr>
          <w:lang w:val="fr-FR"/>
        </w:rPr>
        <w:t>2.</w:t>
      </w:r>
      <w:r>
        <w:rPr>
          <w:lang w:val="fr-FR"/>
        </w:rPr>
        <w:tab/>
        <w:t>Au cours de l’élaboration du document ECE/TRANS/WP.15/AC.1/2019/38, il est devenu clair que la question du passage dans les tunnels soumis à des restrictions de chargements en quantités limitées selon le chapitre 3.4 n’est pas résolue de manière satisfaisante dans l’ADR. Cette question ne concerne que le WP.15, motif pour lequel nous présentons ce document séparément des questions relatives aux conteneurs qui seront discutées à la Réunion commune.</w:t>
      </w:r>
    </w:p>
    <w:p w:rsidR="00D16EE8" w:rsidRDefault="00D16EE8" w:rsidP="00D16EE8">
      <w:pPr>
        <w:pStyle w:val="SingleTxtG"/>
        <w:rPr>
          <w:lang w:val="fr-FR"/>
        </w:rPr>
      </w:pPr>
      <w:r>
        <w:rPr>
          <w:lang w:val="fr-FR"/>
        </w:rPr>
        <w:t>3.</w:t>
      </w:r>
      <w:r>
        <w:rPr>
          <w:lang w:val="fr-FR"/>
        </w:rPr>
        <w:tab/>
        <w:t>Les unités de transport chargées avec des quantités de plus de 8 tonnes de marchandises dangereuses transportées selon le chapitre 3.4 doivent porter un marquage selon le 3.4.13. Conformément au</w:t>
      </w:r>
      <w:r w:rsidRPr="00FE7AE2">
        <w:rPr>
          <w:lang w:val="fr-FR"/>
        </w:rPr>
        <w:t xml:space="preserve"> 1.9.5.3.6 les restrictions de</w:t>
      </w:r>
      <w:r>
        <w:rPr>
          <w:lang w:val="fr-FR"/>
        </w:rPr>
        <w:t>s tunnels de catégorie E s'appliquent également pour les </w:t>
      </w:r>
      <w:r w:rsidRPr="00FE7AE2">
        <w:rPr>
          <w:lang w:val="fr-FR"/>
        </w:rPr>
        <w:t>conteneurs pour lesquels un marquage conformément à 3.4.13 est exigé</w:t>
      </w:r>
      <w:r>
        <w:rPr>
          <w:lang w:val="fr-FR"/>
        </w:rPr>
        <w:t> :</w:t>
      </w:r>
    </w:p>
    <w:p w:rsidR="00D16EE8" w:rsidRPr="001D04A4" w:rsidRDefault="00D16EE8" w:rsidP="00CA483D">
      <w:pPr>
        <w:spacing w:after="200"/>
        <w:ind w:left="2552" w:right="1133" w:hanging="1440"/>
        <w:jc w:val="both"/>
        <w:rPr>
          <w:lang w:val="fr-FR"/>
        </w:rPr>
      </w:pPr>
      <w:r>
        <w:rPr>
          <w:lang w:val="fr-FR"/>
        </w:rPr>
        <w:t>« </w:t>
      </w:r>
      <w:r w:rsidRPr="001D04A4">
        <w:rPr>
          <w:lang w:val="fr-FR"/>
        </w:rPr>
        <w:t>1.9.5.3.6</w:t>
      </w:r>
      <w:r w:rsidRPr="001D04A4">
        <w:rPr>
          <w:lang w:val="fr-FR"/>
        </w:rPr>
        <w:tab/>
      </w:r>
      <w:r>
        <w:rPr>
          <w:lang w:val="fr-FR"/>
        </w:rPr>
        <w:t>…</w:t>
      </w:r>
      <w:r w:rsidRPr="001D04A4">
        <w:rPr>
          <w:lang w:val="fr-FR"/>
        </w:rPr>
        <w:t xml:space="preserve"> Pour les tunnels de catégorie E, elles s'appliquent également aux unités de transport pour lesquelles un marquage conforme au 3.4.13 est prescrit ou transportant </w:t>
      </w:r>
      <w:r w:rsidRPr="00525555">
        <w:rPr>
          <w:b/>
          <w:u w:val="single"/>
          <w:lang w:val="fr-FR"/>
        </w:rPr>
        <w:t>des conteneurs</w:t>
      </w:r>
      <w:r w:rsidRPr="001D04A4">
        <w:rPr>
          <w:lang w:val="fr-FR"/>
        </w:rPr>
        <w:t xml:space="preserve"> pour lesquels un marquage conforme au 3.4.13 est prescrit.</w:t>
      </w:r>
      <w:r>
        <w:rPr>
          <w:lang w:val="fr-FR"/>
        </w:rPr>
        <w:t> »</w:t>
      </w:r>
    </w:p>
    <w:p w:rsidR="00D16EE8" w:rsidRDefault="00D16EE8" w:rsidP="00D16EE8">
      <w:pPr>
        <w:pStyle w:val="SingleTxtG"/>
        <w:rPr>
          <w:lang w:val="fr-FR"/>
        </w:rPr>
      </w:pPr>
      <w:r>
        <w:rPr>
          <w:lang w:val="fr-FR"/>
        </w:rPr>
        <w:t>4.</w:t>
      </w:r>
      <w:r>
        <w:rPr>
          <w:lang w:val="fr-FR"/>
        </w:rPr>
        <w:tab/>
        <w:t>Tel que nous l’avons souligné lors des sessions précédentes du WP.15 (</w:t>
      </w:r>
      <w:r w:rsidR="001C2FE3">
        <w:rPr>
          <w:lang w:val="fr-FR"/>
        </w:rPr>
        <w:t xml:space="preserve">document informel </w:t>
      </w:r>
      <w:r>
        <w:rPr>
          <w:lang w:val="fr-FR"/>
        </w:rPr>
        <w:t>INF.23 de la 104</w:t>
      </w:r>
      <w:r w:rsidRPr="00A778FE">
        <w:rPr>
          <w:vertAlign w:val="superscript"/>
          <w:lang w:val="fr-FR"/>
        </w:rPr>
        <w:t>e</w:t>
      </w:r>
      <w:r>
        <w:rPr>
          <w:vertAlign w:val="superscript"/>
          <w:lang w:val="fr-FR"/>
        </w:rPr>
        <w:t> </w:t>
      </w:r>
      <w:r>
        <w:rPr>
          <w:lang w:val="fr-FR"/>
        </w:rPr>
        <w:t>session et</w:t>
      </w:r>
      <w:r w:rsidRPr="00544F01">
        <w:rPr>
          <w:lang w:val="fr-FR"/>
        </w:rPr>
        <w:t xml:space="preserve"> </w:t>
      </w:r>
      <w:r>
        <w:rPr>
          <w:lang w:val="fr-FR"/>
        </w:rPr>
        <w:t xml:space="preserve">ECE/TRANS/WP.15/2019/7), la question du marquage des conteneurs selon le 3.4.13 ADR est importante lors du passage et pour la sécurité dans les tunnels soumis à des restrictions. </w:t>
      </w:r>
    </w:p>
    <w:p w:rsidR="00D16EE8" w:rsidRDefault="00D16EE8" w:rsidP="00D16EE8">
      <w:pPr>
        <w:pStyle w:val="SingleTxtG"/>
        <w:rPr>
          <w:lang w:val="fr-FR"/>
        </w:rPr>
      </w:pPr>
      <w:r>
        <w:rPr>
          <w:lang w:val="fr-FR"/>
        </w:rPr>
        <w:t>5.</w:t>
      </w:r>
      <w:r>
        <w:rPr>
          <w:lang w:val="fr-FR"/>
        </w:rPr>
        <w:tab/>
        <w:t xml:space="preserve">Le 3.4.13 fixe les dispositions de marquage à la fois pour les unités de transport et pour les conteneurs, raison pour laquelle le 1.9.5.3.6 s’y réfère spécifiquement. </w:t>
      </w:r>
      <w:r w:rsidRPr="00FE7AE2">
        <w:rPr>
          <w:lang w:val="fr-FR"/>
        </w:rPr>
        <w:t xml:space="preserve">Toutefois, les restrictions correspondantes </w:t>
      </w:r>
      <w:r>
        <w:rPr>
          <w:lang w:val="fr-FR"/>
        </w:rPr>
        <w:t xml:space="preserve">ne sont pas reprises </w:t>
      </w:r>
      <w:r w:rsidRPr="00FE7AE2">
        <w:rPr>
          <w:lang w:val="fr-FR"/>
        </w:rPr>
        <w:t xml:space="preserve">pour les conteneurs </w:t>
      </w:r>
      <w:r>
        <w:rPr>
          <w:lang w:val="fr-FR"/>
        </w:rPr>
        <w:t>au</w:t>
      </w:r>
      <w:r w:rsidRPr="00FE7AE2">
        <w:rPr>
          <w:lang w:val="fr-FR"/>
        </w:rPr>
        <w:t xml:space="preserve"> 8.6.3.3 et 8.6.4</w:t>
      </w:r>
      <w:r>
        <w:rPr>
          <w:lang w:val="fr-FR"/>
        </w:rPr>
        <w:t xml:space="preserve">. Les textes du chapitre 8.6 sont ceux destinés aux utilisateurs </w:t>
      </w:r>
      <w:r w:rsidRPr="00FE7AE2">
        <w:rPr>
          <w:lang w:val="fr-FR"/>
        </w:rPr>
        <w:t>où le transporteur est censé trouver les restrictions applicables dans les tunnels.</w:t>
      </w:r>
      <w:r>
        <w:rPr>
          <w:lang w:val="fr-FR"/>
        </w:rPr>
        <w:t xml:space="preserve"> </w:t>
      </w:r>
    </w:p>
    <w:p w:rsidR="00D16EE8" w:rsidRPr="00A778FE" w:rsidRDefault="00D16EE8" w:rsidP="00D16EE8">
      <w:pPr>
        <w:pStyle w:val="SingleTxtG"/>
      </w:pPr>
      <w:r>
        <w:rPr>
          <w:lang w:val="fr-FR"/>
        </w:rPr>
        <w:t>6.</w:t>
      </w:r>
      <w:r>
        <w:rPr>
          <w:lang w:val="fr-FR"/>
        </w:rPr>
        <w:tab/>
      </w:r>
      <w:r w:rsidRPr="00A778FE">
        <w:rPr>
          <w:lang w:val="fr-FR"/>
        </w:rPr>
        <w:t xml:space="preserve">On trouvera ci-dessous des exemples, qui font apparaître des différences entre des situations dans lesquelles on trouve des unités de transport ou des conteneurs contenant des marchandises dangereuses.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13"/>
        <w:gridCol w:w="2722"/>
      </w:tblGrid>
      <w:tr w:rsidR="00D16EE8" w:rsidRPr="00A778FE" w:rsidTr="001C2FE3">
        <w:tc>
          <w:tcPr>
            <w:tcW w:w="673" w:type="dxa"/>
            <w:tcBorders>
              <w:top w:val="single" w:sz="4" w:space="0" w:color="auto"/>
              <w:left w:val="single" w:sz="4" w:space="0" w:color="auto"/>
              <w:bottom w:val="single" w:sz="4" w:space="0" w:color="auto"/>
              <w:right w:val="nil"/>
            </w:tcBorders>
          </w:tcPr>
          <w:p w:rsidR="00D16EE8" w:rsidRPr="00A778FE" w:rsidRDefault="00D16EE8" w:rsidP="008C0F22">
            <w:pPr>
              <w:pStyle w:val="SingleTxtG"/>
              <w:spacing w:before="60" w:after="60"/>
              <w:ind w:left="57" w:right="57"/>
            </w:pPr>
            <w:r>
              <w:rPr>
                <w:lang w:val="fr-FR"/>
              </w:rPr>
              <w:br w:type="page"/>
            </w:r>
          </w:p>
        </w:tc>
        <w:tc>
          <w:tcPr>
            <w:tcW w:w="6835" w:type="dxa"/>
            <w:gridSpan w:val="2"/>
            <w:tcBorders>
              <w:top w:val="single" w:sz="4" w:space="0" w:color="auto"/>
              <w:left w:val="nil"/>
            </w:tcBorders>
            <w:shd w:val="clear" w:color="auto" w:fill="auto"/>
          </w:tcPr>
          <w:p w:rsidR="00D16EE8" w:rsidRPr="00A778FE" w:rsidRDefault="00D16EE8" w:rsidP="008C0F22">
            <w:pPr>
              <w:pStyle w:val="SingleTxtG"/>
              <w:spacing w:before="60" w:after="60"/>
              <w:ind w:left="57" w:right="57"/>
              <w:rPr>
                <w:b/>
              </w:rPr>
            </w:pPr>
            <w:r w:rsidRPr="00A778FE">
              <w:rPr>
                <w:b/>
                <w:bCs/>
                <w:lang w:val="fr-FR"/>
              </w:rPr>
              <w:t xml:space="preserve">Conteneur ou </w:t>
            </w:r>
            <w:r>
              <w:rPr>
                <w:b/>
                <w:bCs/>
                <w:lang w:val="fr-FR"/>
              </w:rPr>
              <w:t>unité de transport</w:t>
            </w:r>
          </w:p>
        </w:tc>
      </w:tr>
      <w:tr w:rsidR="00D16EE8" w:rsidRPr="00A778FE" w:rsidTr="001C2FE3">
        <w:tc>
          <w:tcPr>
            <w:tcW w:w="673" w:type="dxa"/>
            <w:tcBorders>
              <w:top w:val="single" w:sz="4" w:space="0" w:color="auto"/>
              <w:left w:val="single" w:sz="4" w:space="0" w:color="auto"/>
              <w:bottom w:val="single" w:sz="4" w:space="0" w:color="auto"/>
              <w:right w:val="single" w:sz="4" w:space="0" w:color="auto"/>
            </w:tcBorders>
          </w:tcPr>
          <w:p w:rsidR="00D16EE8" w:rsidRPr="00A778FE" w:rsidRDefault="00D16EE8" w:rsidP="008C0F22">
            <w:pPr>
              <w:pStyle w:val="SingleTxtG"/>
              <w:spacing w:before="60" w:after="60"/>
              <w:ind w:left="57" w:right="57"/>
            </w:pPr>
          </w:p>
        </w:tc>
        <w:tc>
          <w:tcPr>
            <w:tcW w:w="4113" w:type="dxa"/>
            <w:tcBorders>
              <w:left w:val="single" w:sz="4" w:space="0" w:color="auto"/>
            </w:tcBorders>
            <w:shd w:val="clear" w:color="auto" w:fill="auto"/>
          </w:tcPr>
          <w:p w:rsidR="00D16EE8" w:rsidRPr="00A778FE" w:rsidRDefault="00D16EE8" w:rsidP="008C0F22">
            <w:pPr>
              <w:pStyle w:val="SingleTxtG"/>
              <w:spacing w:before="60" w:after="60"/>
              <w:ind w:left="57" w:right="57"/>
              <w:rPr>
                <w:b/>
              </w:rPr>
            </w:pPr>
            <w:r w:rsidRPr="00A778FE">
              <w:rPr>
                <w:b/>
                <w:bCs/>
                <w:lang w:val="fr-FR"/>
              </w:rPr>
              <w:t>Contenu</w:t>
            </w:r>
          </w:p>
        </w:tc>
        <w:tc>
          <w:tcPr>
            <w:tcW w:w="2722" w:type="dxa"/>
            <w:shd w:val="clear" w:color="auto" w:fill="auto"/>
          </w:tcPr>
          <w:p w:rsidR="00D16EE8" w:rsidRPr="00A778FE" w:rsidRDefault="00D16EE8" w:rsidP="008C0F22">
            <w:pPr>
              <w:pStyle w:val="SingleTxtG"/>
              <w:spacing w:before="60" w:after="60"/>
              <w:ind w:left="57" w:right="57"/>
              <w:rPr>
                <w:b/>
              </w:rPr>
            </w:pPr>
            <w:r w:rsidRPr="00A778FE">
              <w:rPr>
                <w:b/>
                <w:bCs/>
                <w:lang w:val="fr-FR"/>
              </w:rPr>
              <w:t>Plaque-étiquette/marque</w:t>
            </w:r>
          </w:p>
        </w:tc>
      </w:tr>
      <w:tr w:rsidR="00D16EE8" w:rsidRPr="00A778FE" w:rsidTr="001C2FE3">
        <w:tc>
          <w:tcPr>
            <w:tcW w:w="673" w:type="dxa"/>
          </w:tcPr>
          <w:p w:rsidR="00D16EE8" w:rsidRPr="00A778FE" w:rsidRDefault="00D16EE8" w:rsidP="008C0F22">
            <w:pPr>
              <w:pStyle w:val="SingleTxtG"/>
              <w:spacing w:before="60" w:after="60"/>
              <w:ind w:left="57" w:right="57"/>
            </w:pPr>
            <w:r w:rsidRPr="00A778FE">
              <w:rPr>
                <w:lang w:val="fr-FR"/>
              </w:rPr>
              <w:t>1</w:t>
            </w:r>
          </w:p>
        </w:tc>
        <w:tc>
          <w:tcPr>
            <w:tcW w:w="4113" w:type="dxa"/>
            <w:shd w:val="clear" w:color="auto" w:fill="auto"/>
          </w:tcPr>
          <w:p w:rsidR="00D16EE8" w:rsidRPr="00A778FE" w:rsidRDefault="00D16EE8" w:rsidP="008C0F22">
            <w:pPr>
              <w:pStyle w:val="SingleTxtG"/>
              <w:spacing w:before="60" w:after="60"/>
              <w:ind w:left="57" w:right="57"/>
            </w:pPr>
            <w:r w:rsidRPr="00A778FE">
              <w:rPr>
                <w:lang w:val="fr-FR"/>
              </w:rPr>
              <w:t>28 000 litres d’éthanol, numéro</w:t>
            </w:r>
            <w:r>
              <w:rPr>
                <w:lang w:val="fr-FR"/>
              </w:rPr>
              <w:t> </w:t>
            </w:r>
            <w:r w:rsidRPr="00A778FE">
              <w:rPr>
                <w:lang w:val="fr-FR"/>
              </w:rPr>
              <w:t>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722" w:type="dxa"/>
            <w:shd w:val="clear" w:color="auto" w:fill="auto"/>
          </w:tcPr>
          <w:p w:rsidR="00D16EE8" w:rsidRPr="00A778FE" w:rsidRDefault="00D16EE8" w:rsidP="008C0F22">
            <w:pPr>
              <w:pStyle w:val="SingleTxtG"/>
              <w:spacing w:before="60" w:after="60"/>
              <w:ind w:left="57" w:right="57"/>
              <w:jc w:val="left"/>
            </w:pPr>
            <w:r w:rsidRPr="00A778FE">
              <w:rPr>
                <w:noProof/>
                <w:lang w:val="en-US"/>
              </w:rPr>
              <w:drawing>
                <wp:anchor distT="0" distB="0" distL="114300" distR="114300" simplePos="0" relativeHeight="251659264" behindDoc="1" locked="0" layoutInCell="1" allowOverlap="1" wp14:anchorId="72B6274A" wp14:editId="510E429C">
                  <wp:simplePos x="0" y="0"/>
                  <wp:positionH relativeFrom="column">
                    <wp:posOffset>804545</wp:posOffset>
                  </wp:positionH>
                  <wp:positionV relativeFrom="paragraph">
                    <wp:posOffset>71755</wp:posOffset>
                  </wp:positionV>
                  <wp:extent cx="363600" cy="363600"/>
                  <wp:effectExtent l="76200" t="76200" r="93980" b="93980"/>
                  <wp:wrapNone/>
                  <wp:docPr id="5"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A778FE">
              <w:rPr>
                <w:lang w:val="fr-FR"/>
              </w:rPr>
              <w:t xml:space="preserve">LQ  </w:t>
            </w:r>
          </w:p>
        </w:tc>
      </w:tr>
      <w:tr w:rsidR="00D16EE8" w:rsidRPr="00A778FE" w:rsidTr="001C2FE3">
        <w:tc>
          <w:tcPr>
            <w:tcW w:w="673" w:type="dxa"/>
          </w:tcPr>
          <w:p w:rsidR="00D16EE8" w:rsidRPr="00A778FE" w:rsidRDefault="00D16EE8" w:rsidP="008C0F22">
            <w:pPr>
              <w:pStyle w:val="SingleTxtG"/>
              <w:spacing w:before="60" w:after="60"/>
              <w:ind w:left="57" w:right="57"/>
            </w:pPr>
            <w:r w:rsidRPr="00A778FE">
              <w:rPr>
                <w:lang w:val="fr-FR"/>
              </w:rPr>
              <w:t>2</w:t>
            </w:r>
          </w:p>
        </w:tc>
        <w:tc>
          <w:tcPr>
            <w:tcW w:w="4113" w:type="dxa"/>
            <w:shd w:val="clear" w:color="auto" w:fill="auto"/>
          </w:tcPr>
          <w:p w:rsidR="00D16EE8" w:rsidRPr="00A778FE" w:rsidRDefault="00D16EE8" w:rsidP="008C0F22">
            <w:pPr>
              <w:pStyle w:val="SingleTxtG"/>
              <w:spacing w:before="60" w:after="60"/>
              <w:ind w:left="57" w:right="57"/>
            </w:pPr>
            <w:r w:rsidRPr="00A778FE">
              <w:rPr>
                <w:lang w:val="fr-FR"/>
              </w:rPr>
              <w:t>60</w:t>
            </w:r>
            <w:r>
              <w:rPr>
                <w:lang w:val="fr-FR"/>
              </w:rPr>
              <w:t> </w:t>
            </w:r>
            <w:r w:rsidRPr="00A778FE">
              <w:rPr>
                <w:lang w:val="fr-FR"/>
              </w:rPr>
              <w:t>kg du numéro ONU</w:t>
            </w:r>
            <w:r>
              <w:rPr>
                <w:lang w:val="fr-FR"/>
              </w:rPr>
              <w:t> </w:t>
            </w:r>
            <w:r w:rsidRPr="00A778FE">
              <w:rPr>
                <w:lang w:val="fr-FR"/>
              </w:rPr>
              <w:t>3077 Matière dangereuse du point de vue de l’environnement, solide, NSA, 9, III dans un fût, et 28</w:t>
            </w:r>
            <w:r>
              <w:rPr>
                <w:lang w:val="fr-FR"/>
              </w:rPr>
              <w:t> </w:t>
            </w:r>
            <w:r w:rsidRPr="00A778FE">
              <w:rPr>
                <w:lang w:val="fr-FR"/>
              </w:rPr>
              <w:t>000 litres d’éthanol, numéro ONU</w:t>
            </w:r>
            <w:r>
              <w:rPr>
                <w:lang w:val="fr-FR"/>
              </w:rPr>
              <w:t> </w:t>
            </w:r>
            <w:r w:rsidRPr="00A778FE">
              <w:rPr>
                <w:lang w:val="fr-FR"/>
              </w:rPr>
              <w:t>1170, 3, III dans 5</w:t>
            </w:r>
            <w:r>
              <w:rPr>
                <w:lang w:val="fr-FR"/>
              </w:rPr>
              <w:t> </w:t>
            </w:r>
            <w:r w:rsidRPr="00A778FE">
              <w:rPr>
                <w:lang w:val="fr-FR"/>
              </w:rPr>
              <w:t>600 bidons en plastique de 5</w:t>
            </w:r>
            <w:r>
              <w:rPr>
                <w:lang w:val="fr-FR"/>
              </w:rPr>
              <w:t> </w:t>
            </w:r>
            <w:r w:rsidRPr="00A778FE">
              <w:rPr>
                <w:lang w:val="fr-FR"/>
              </w:rPr>
              <w:t>litres chacun (quantité limitée)</w:t>
            </w:r>
          </w:p>
        </w:tc>
        <w:tc>
          <w:tcPr>
            <w:tcW w:w="2722" w:type="dxa"/>
            <w:shd w:val="clear" w:color="auto" w:fill="auto"/>
          </w:tcPr>
          <w:p w:rsidR="00D16EE8" w:rsidRPr="00A778FE" w:rsidRDefault="001C2FE3" w:rsidP="008C0F22">
            <w:pPr>
              <w:pStyle w:val="SingleTxtG"/>
              <w:spacing w:before="60" w:after="60"/>
              <w:ind w:left="57" w:right="57"/>
            </w:pPr>
            <w:r>
              <w:rPr>
                <w:noProof/>
              </w:rPr>
              <w:drawing>
                <wp:anchor distT="0" distB="0" distL="114300" distR="114300" simplePos="0" relativeHeight="251660288" behindDoc="0" locked="0" layoutInCell="1" allowOverlap="1" wp14:anchorId="188C3BCB">
                  <wp:simplePos x="0" y="0"/>
                  <wp:positionH relativeFrom="column">
                    <wp:posOffset>525780</wp:posOffset>
                  </wp:positionH>
                  <wp:positionV relativeFrom="paragraph">
                    <wp:posOffset>42545</wp:posOffset>
                  </wp:positionV>
                  <wp:extent cx="923925" cy="869950"/>
                  <wp:effectExtent l="0" t="0" r="9525" b="6350"/>
                  <wp:wrapNone/>
                  <wp:docPr id="6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869950"/>
                          </a:xfrm>
                          <a:prstGeom prst="rect">
                            <a:avLst/>
                          </a:prstGeom>
                        </pic:spPr>
                      </pic:pic>
                    </a:graphicData>
                  </a:graphic>
                  <wp14:sizeRelH relativeFrom="margin">
                    <wp14:pctWidth>0</wp14:pctWidth>
                  </wp14:sizeRelH>
                </wp:anchor>
              </w:drawing>
            </w:r>
            <w:proofErr w:type="gramStart"/>
            <w:r w:rsidR="00D16EE8" w:rsidRPr="00A778FE">
              <w:rPr>
                <w:rFonts w:eastAsia="MS Mincho"/>
                <w:szCs w:val="22"/>
                <w:lang w:val="fr-FR"/>
              </w:rPr>
              <w:t>n</w:t>
            </w:r>
            <w:r w:rsidR="00D16EE8" w:rsidRPr="00A778FE">
              <w:rPr>
                <w:rFonts w:eastAsia="MS Mincho"/>
                <w:szCs w:val="22"/>
                <w:vertAlign w:val="superscript"/>
                <w:lang w:val="fr-FR"/>
              </w:rPr>
              <w:t>o</w:t>
            </w:r>
            <w:proofErr w:type="gramEnd"/>
            <w:r w:rsidR="00D16EE8">
              <w:rPr>
                <w:lang w:val="fr-FR"/>
              </w:rPr>
              <w:t> </w:t>
            </w:r>
            <w:r w:rsidR="00D16EE8" w:rsidRPr="00A778FE">
              <w:rPr>
                <w:lang w:val="fr-FR"/>
              </w:rPr>
              <w:t>9</w:t>
            </w:r>
          </w:p>
        </w:tc>
      </w:tr>
    </w:tbl>
    <w:p w:rsidR="00D16EE8" w:rsidRDefault="00D16EE8" w:rsidP="00D16EE8">
      <w:pPr>
        <w:pStyle w:val="SingleTxtG"/>
        <w:spacing w:before="240"/>
        <w:rPr>
          <w:lang w:val="fr-FR"/>
        </w:rPr>
      </w:pPr>
      <w:r>
        <w:rPr>
          <w:lang w:val="fr-FR"/>
        </w:rPr>
        <w:lastRenderedPageBreak/>
        <w:t>7</w:t>
      </w:r>
      <w:r w:rsidRPr="00A778FE">
        <w:rPr>
          <w:lang w:val="fr-FR"/>
        </w:rPr>
        <w:t>.</w:t>
      </w:r>
      <w:r w:rsidRPr="00A778FE">
        <w:rPr>
          <w:lang w:val="fr-FR"/>
        </w:rPr>
        <w:tab/>
        <w:t>Dans l’exemple</w:t>
      </w:r>
      <w:r>
        <w:rPr>
          <w:lang w:val="fr-FR"/>
        </w:rPr>
        <w:t> </w:t>
      </w:r>
      <w:r w:rsidRPr="00A778FE">
        <w:rPr>
          <w:lang w:val="fr-FR"/>
        </w:rPr>
        <w:t>2, conformément à l’alinéa</w:t>
      </w:r>
      <w:r>
        <w:rPr>
          <w:lang w:val="fr-FR"/>
        </w:rPr>
        <w:t> </w:t>
      </w:r>
      <w:r w:rsidRPr="00A778FE">
        <w:rPr>
          <w:lang w:val="fr-FR"/>
        </w:rPr>
        <w:t>b) du</w:t>
      </w:r>
      <w:r>
        <w:rPr>
          <w:lang w:val="fr-FR"/>
        </w:rPr>
        <w:t> </w:t>
      </w:r>
      <w:r w:rsidRPr="00A778FE">
        <w:rPr>
          <w:lang w:val="fr-FR"/>
        </w:rPr>
        <w:t xml:space="preserve">3.4.13, </w:t>
      </w:r>
      <w:r>
        <w:rPr>
          <w:lang w:val="fr-FR"/>
        </w:rPr>
        <w:t>l</w:t>
      </w:r>
      <w:r w:rsidRPr="00A778FE">
        <w:rPr>
          <w:lang w:val="fr-FR"/>
        </w:rPr>
        <w:t xml:space="preserve">a </w:t>
      </w:r>
      <w:r>
        <w:rPr>
          <w:lang w:val="fr-FR"/>
        </w:rPr>
        <w:t xml:space="preserve">seule signalisation </w:t>
      </w:r>
      <w:r w:rsidRPr="00A778FE">
        <w:rPr>
          <w:lang w:val="fr-FR"/>
        </w:rPr>
        <w:t>à apposer est l</w:t>
      </w:r>
      <w:r>
        <w:rPr>
          <w:lang w:val="fr-FR"/>
        </w:rPr>
        <w:t>a plaque-étiquette du</w:t>
      </w:r>
      <w:r w:rsidRPr="00A778FE">
        <w:rPr>
          <w:lang w:val="fr-FR"/>
        </w:rPr>
        <w:t xml:space="preserve"> numéro</w:t>
      </w:r>
      <w:r>
        <w:rPr>
          <w:lang w:val="fr-FR"/>
        </w:rPr>
        <w:t> </w:t>
      </w:r>
      <w:r w:rsidRPr="00A778FE">
        <w:rPr>
          <w:lang w:val="fr-FR"/>
        </w:rPr>
        <w:t>9</w:t>
      </w:r>
      <w:r>
        <w:rPr>
          <w:lang w:val="fr-FR"/>
        </w:rPr>
        <w:t xml:space="preserve"> sur le conteneur</w:t>
      </w:r>
      <w:r w:rsidRPr="00A778FE">
        <w:rPr>
          <w:lang w:val="fr-FR"/>
        </w:rPr>
        <w:t xml:space="preserve">. </w:t>
      </w:r>
      <w:r>
        <w:rPr>
          <w:lang w:val="fr-FR"/>
        </w:rPr>
        <w:t xml:space="preserve">Dans ce cas, </w:t>
      </w:r>
      <w:r w:rsidRPr="00A778FE">
        <w:rPr>
          <w:lang w:val="fr-FR"/>
        </w:rPr>
        <w:t>conformément au deuxième paragraphe du 3.4.13</w:t>
      </w:r>
      <w:r>
        <w:rPr>
          <w:lang w:val="fr-FR"/>
        </w:rPr>
        <w:t> </w:t>
      </w:r>
      <w:r w:rsidRPr="00A778FE">
        <w:rPr>
          <w:lang w:val="fr-FR"/>
        </w:rPr>
        <w:t>b) de l’ADR,</w:t>
      </w:r>
      <w:r>
        <w:rPr>
          <w:lang w:val="fr-FR"/>
        </w:rPr>
        <w:t xml:space="preserve"> d’une part aucune marque n’est nécessaire sur l’unité de transport si le conteneur n’est pas lui-même marqué selon le 3.4.15 et même si le conteneur avait la marque, celle-ci ne serait pas obligatoire sur l’unité de transport dans la mesure où elle est déjà visible. </w:t>
      </w:r>
      <w:r w:rsidRPr="00A778FE">
        <w:rPr>
          <w:lang w:val="fr-FR"/>
        </w:rPr>
        <w:t>Par conséquent, aucune marque LQ n’apparaît</w:t>
      </w:r>
      <w:r>
        <w:rPr>
          <w:lang w:val="fr-FR"/>
        </w:rPr>
        <w:t xml:space="preserve"> pas</w:t>
      </w:r>
      <w:r w:rsidRPr="00A778FE">
        <w:rPr>
          <w:lang w:val="fr-FR"/>
        </w:rPr>
        <w:t xml:space="preserve"> sur </w:t>
      </w:r>
      <w:r>
        <w:rPr>
          <w:lang w:val="fr-FR"/>
        </w:rPr>
        <w:t>le véhicule porteur.</w:t>
      </w:r>
      <w:r w:rsidRPr="00A778FE">
        <w:rPr>
          <w:lang w:val="fr-FR"/>
        </w:rPr>
        <w:t xml:space="preserve"> Même si une </w:t>
      </w:r>
      <w:r>
        <w:rPr>
          <w:lang w:val="fr-FR"/>
        </w:rPr>
        <w:t xml:space="preserve">plaque-étiquette </w:t>
      </w:r>
      <w:r w:rsidRPr="00A778FE">
        <w:rPr>
          <w:lang w:val="fr-FR"/>
        </w:rPr>
        <w:t>portant le numéro</w:t>
      </w:r>
      <w:r>
        <w:rPr>
          <w:lang w:val="fr-FR"/>
        </w:rPr>
        <w:t> </w:t>
      </w:r>
      <w:r w:rsidRPr="00A778FE">
        <w:rPr>
          <w:lang w:val="fr-FR"/>
        </w:rPr>
        <w:t xml:space="preserve">9 est exigée sur le conteneur, </w:t>
      </w:r>
      <w:r>
        <w:rPr>
          <w:lang w:val="fr-FR"/>
        </w:rPr>
        <w:t>du fait que, contrairement au 1.9.5.3.6, selon le texte actuel aux 8.6.3.3 et 8.6.4, seules les unités de transport portant un marquage selon le 3.4.13 sont concernées par les restrictions dans les tunnels de catégorie E et qu’aucune référence au marquage des conteneurs selon le 3.4.1.3 n’apparaît dans ces deux textes du chapitre 8.6, les utilisateurs ne peuvent pas appliquer correctement les restrictions dans les tunnels dans le cas des conteneurs. Ceci est en contradiction avec ce qui est prescrit au 1.9.5.3.6.</w:t>
      </w:r>
    </w:p>
    <w:p w:rsidR="00D16EE8" w:rsidRDefault="00D16EE8" w:rsidP="00D16EE8">
      <w:pPr>
        <w:pStyle w:val="SingleTxtG"/>
        <w:spacing w:before="240"/>
        <w:rPr>
          <w:lang w:val="fr-FR"/>
        </w:rPr>
      </w:pPr>
      <w:r>
        <w:rPr>
          <w:lang w:val="fr-FR"/>
        </w:rPr>
        <w:t>8.</w:t>
      </w:r>
      <w:r>
        <w:rPr>
          <w:lang w:val="fr-FR"/>
        </w:rPr>
        <w:tab/>
        <w:t xml:space="preserve">Pour contourner ce paradoxe il faut compléter les deux textes en question avec la référence aux </w:t>
      </w:r>
      <w:r w:rsidRPr="00FE7AE2">
        <w:rPr>
          <w:lang w:val="fr-FR"/>
        </w:rPr>
        <w:t>conteneur</w:t>
      </w:r>
      <w:r>
        <w:rPr>
          <w:lang w:val="fr-FR"/>
        </w:rPr>
        <w:t>s</w:t>
      </w:r>
      <w:r w:rsidRPr="00FE7AE2">
        <w:rPr>
          <w:lang w:val="fr-FR"/>
        </w:rPr>
        <w:t>.</w:t>
      </w:r>
      <w:r w:rsidRPr="00AE1437">
        <w:rPr>
          <w:lang w:val="fr-FR"/>
        </w:rPr>
        <w:t xml:space="preserve"> </w:t>
      </w:r>
    </w:p>
    <w:p w:rsidR="00D16EE8" w:rsidRPr="00A778FE" w:rsidRDefault="00D16EE8" w:rsidP="00D16EE8">
      <w:pPr>
        <w:pStyle w:val="HChG"/>
      </w:pPr>
      <w:r w:rsidRPr="00A778FE">
        <w:rPr>
          <w:lang w:val="fr-FR"/>
        </w:rPr>
        <w:tab/>
      </w:r>
      <w:r w:rsidRPr="00A778FE">
        <w:rPr>
          <w:lang w:val="fr-FR"/>
        </w:rPr>
        <w:tab/>
        <w:t>Proposition</w:t>
      </w:r>
    </w:p>
    <w:p w:rsidR="00D16EE8" w:rsidRPr="00A778FE" w:rsidRDefault="00D16EE8" w:rsidP="00D16EE8">
      <w:pPr>
        <w:pStyle w:val="SingleTxtG"/>
      </w:pPr>
      <w:r>
        <w:rPr>
          <w:lang w:val="fr-FR"/>
        </w:rPr>
        <w:t>9</w:t>
      </w:r>
      <w:r w:rsidRPr="00A778FE">
        <w:rPr>
          <w:lang w:val="fr-FR"/>
        </w:rPr>
        <w:t>.</w:t>
      </w:r>
      <w:r w:rsidRPr="00A778FE">
        <w:rPr>
          <w:lang w:val="fr-FR"/>
        </w:rPr>
        <w:tab/>
        <w:t xml:space="preserve">Modifier </w:t>
      </w:r>
      <w:r>
        <w:rPr>
          <w:lang w:val="fr-FR"/>
        </w:rPr>
        <w:t xml:space="preserve">le 8.6.3.3 </w:t>
      </w:r>
      <w:r w:rsidRPr="00A778FE">
        <w:rPr>
          <w:lang w:val="fr-FR"/>
        </w:rPr>
        <w:t xml:space="preserve">de l’ADR comme suit (les modifications sont </w:t>
      </w:r>
      <w:r>
        <w:rPr>
          <w:lang w:val="fr-FR"/>
        </w:rPr>
        <w:t xml:space="preserve">en gras </w:t>
      </w:r>
      <w:r w:rsidRPr="0018204B">
        <w:rPr>
          <w:b/>
          <w:u w:val="single"/>
          <w:lang w:val="fr-FR"/>
        </w:rPr>
        <w:t>soulignées</w:t>
      </w:r>
      <w:r>
        <w:rPr>
          <w:u w:val="single"/>
          <w:lang w:val="fr-FR"/>
        </w:rPr>
        <w:t xml:space="preserve"> </w:t>
      </w:r>
      <w:r>
        <w:rPr>
          <w:lang w:val="fr-FR"/>
        </w:rPr>
        <w:t xml:space="preserve">et les textes éliminés sont </w:t>
      </w:r>
      <w:r w:rsidRPr="00547E0B">
        <w:rPr>
          <w:strike/>
          <w:lang w:val="fr-FR"/>
        </w:rPr>
        <w:t>barrés</w:t>
      </w:r>
      <w:r w:rsidRPr="00A778FE">
        <w:rPr>
          <w:lang w:val="fr-FR"/>
        </w:rPr>
        <w:t>)</w:t>
      </w:r>
      <w:r>
        <w:rPr>
          <w:lang w:val="fr-FR"/>
        </w:rPr>
        <w:t> :</w:t>
      </w:r>
    </w:p>
    <w:p w:rsidR="00D16EE8" w:rsidRPr="008C1422" w:rsidRDefault="00D16EE8" w:rsidP="00D16EE8">
      <w:pPr>
        <w:pStyle w:val="Heading3"/>
        <w:ind w:left="1134"/>
      </w:pPr>
      <w:r w:rsidRPr="00A778FE">
        <w:rPr>
          <w:lang w:val="fr-FR"/>
        </w:rPr>
        <w:t>« </w:t>
      </w:r>
      <w:r w:rsidRPr="008C1422">
        <w:t>8.6.3</w:t>
      </w:r>
      <w:r w:rsidR="00AC12CD">
        <w:tab/>
      </w:r>
      <w:r w:rsidRPr="008C1422">
        <w:tab/>
        <w:t>Codes de restriction en tunnels</w:t>
      </w:r>
    </w:p>
    <w:p w:rsidR="00D16EE8" w:rsidRPr="008C1422" w:rsidRDefault="00D16EE8" w:rsidP="00D16EE8">
      <w:pPr>
        <w:keepNext/>
        <w:keepLines/>
        <w:spacing w:after="200"/>
        <w:ind w:left="1843" w:right="1133" w:hanging="709"/>
        <w:jc w:val="both"/>
      </w:pPr>
      <w:r>
        <w:t>…</w:t>
      </w:r>
      <w:r w:rsidRPr="008C1422">
        <w:t>.</w:t>
      </w:r>
    </w:p>
    <w:p w:rsidR="00D16EE8" w:rsidRPr="008C1422" w:rsidRDefault="00D16EE8" w:rsidP="00D16EE8">
      <w:pPr>
        <w:spacing w:after="200"/>
        <w:ind w:left="2552" w:right="1133" w:hanging="1418"/>
        <w:jc w:val="both"/>
      </w:pPr>
      <w:r w:rsidRPr="008C1422">
        <w:t>8.6.3.3</w:t>
      </w:r>
      <w:r w:rsidRPr="008C1422">
        <w:tab/>
        <w:t>Les marchandises dangereuses transportées conformément au 1.1.3 ne font pas l'objet de restriction dans les tunnels et ne doivent pas être prises en compte dans la détermination d'un code de restriction en tunnels devant être affecté à l'ensemble du chargement</w:t>
      </w:r>
      <w:r w:rsidRPr="0018204B">
        <w:rPr>
          <w:b/>
          <w:u w:val="single"/>
        </w:rPr>
        <w:t xml:space="preserve"> excepté si </w:t>
      </w:r>
      <w:r w:rsidRPr="0018204B">
        <w:rPr>
          <w:b/>
          <w:strike/>
        </w:rPr>
        <w:t xml:space="preserve">d'une </w:t>
      </w:r>
      <w:r w:rsidRPr="0018204B">
        <w:rPr>
          <w:b/>
          <w:u w:val="single"/>
        </w:rPr>
        <w:t>l’</w:t>
      </w:r>
      <w:r w:rsidRPr="008C1422">
        <w:t xml:space="preserve">unité de transport </w:t>
      </w:r>
      <w:r w:rsidRPr="00E24E15">
        <w:rPr>
          <w:strike/>
        </w:rPr>
        <w:t>excepté</w:t>
      </w:r>
      <w:r w:rsidRPr="0018204B">
        <w:rPr>
          <w:b/>
          <w:u w:val="single"/>
        </w:rPr>
        <w:t xml:space="preserve"> ou le conteneur</w:t>
      </w:r>
      <w:r>
        <w:t xml:space="preserve"> </w:t>
      </w:r>
      <w:r w:rsidRPr="00354A60">
        <w:rPr>
          <w:strike/>
        </w:rPr>
        <w:t>si celle-ci</w:t>
      </w:r>
      <w:r w:rsidRPr="009E0F94">
        <w:t xml:space="preserve"> doit porter le marquage prescrit au 3.4.13</w:t>
      </w:r>
      <w:r>
        <w:t>,</w:t>
      </w:r>
      <w:r w:rsidRPr="008C1422">
        <w:t xml:space="preserve"> sous réserve du 3.4.14.</w:t>
      </w:r>
      <w:r>
        <w:t> »</w:t>
      </w:r>
    </w:p>
    <w:p w:rsidR="00D16EE8" w:rsidRDefault="00D16EE8" w:rsidP="00D16EE8">
      <w:pPr>
        <w:pStyle w:val="SingleTxtG"/>
        <w:rPr>
          <w:lang w:val="fr-FR"/>
        </w:rPr>
      </w:pPr>
      <w:r>
        <w:rPr>
          <w:lang w:val="fr-FR"/>
        </w:rPr>
        <w:t>10.</w:t>
      </w:r>
      <w:r>
        <w:rPr>
          <w:lang w:val="fr-FR"/>
        </w:rPr>
        <w:tab/>
        <w:t xml:space="preserve">Modifier le 8.6.4 de l’ADR comme suit (les nouveaux textes sont en gras </w:t>
      </w:r>
      <w:r w:rsidRPr="0018204B">
        <w:rPr>
          <w:b/>
          <w:u w:val="single"/>
          <w:lang w:val="fr-FR"/>
        </w:rPr>
        <w:t>soulignés</w:t>
      </w:r>
      <w:r>
        <w:rPr>
          <w:lang w:val="fr-FR"/>
        </w:rPr>
        <w:t>) :</w:t>
      </w:r>
    </w:p>
    <w:p w:rsidR="00D16EE8" w:rsidRPr="008C1422" w:rsidRDefault="00D16EE8" w:rsidP="00D16EE8">
      <w:pPr>
        <w:pStyle w:val="Heading3"/>
        <w:ind w:left="1134" w:right="991"/>
      </w:pPr>
      <w:r>
        <w:t>« </w:t>
      </w:r>
      <w:r w:rsidRPr="008C1422">
        <w:t>8.6.4</w:t>
      </w:r>
      <w:r w:rsidRPr="008C1422">
        <w:tab/>
      </w:r>
      <w:r w:rsidR="00AC12CD">
        <w:tab/>
      </w:r>
      <w:r w:rsidRPr="008C1422">
        <w:t xml:space="preserve">Restrictions au passage des unités de transport transportant des marchandises </w:t>
      </w:r>
      <w:r w:rsidR="00AC12CD">
        <w:tab/>
      </w:r>
      <w:r w:rsidR="00AC12CD">
        <w:tab/>
      </w:r>
      <w:r w:rsidR="00AC12CD">
        <w:tab/>
      </w:r>
      <w:r w:rsidR="00AC12CD">
        <w:tab/>
      </w:r>
      <w:r w:rsidRPr="008C1422">
        <w:t>dangereuses dans les tunnels</w:t>
      </w:r>
    </w:p>
    <w:p w:rsidR="00D16EE8" w:rsidRPr="008C1422" w:rsidRDefault="00AC12CD" w:rsidP="00D16EE8">
      <w:pPr>
        <w:spacing w:after="200"/>
        <w:ind w:left="1418"/>
      </w:pPr>
      <w:r>
        <w:tab/>
      </w:r>
      <w:r>
        <w:tab/>
      </w:r>
      <w:r w:rsidR="00D16EE8" w:rsidRPr="008C1422">
        <w:t xml:space="preserve">Les restrictions de passage dans les tunnels doivent être </w:t>
      </w:r>
      <w:proofErr w:type="gramStart"/>
      <w:r w:rsidR="00D16EE8" w:rsidRPr="008C1422">
        <w:t>appliquées:</w:t>
      </w:r>
      <w:proofErr w:type="gramEnd"/>
    </w:p>
    <w:p w:rsidR="00D16EE8" w:rsidRPr="008C1422" w:rsidRDefault="00D16EE8" w:rsidP="00AC12CD">
      <w:pPr>
        <w:pStyle w:val="SingleTxtG"/>
        <w:ind w:left="2268"/>
      </w:pPr>
      <w:r w:rsidRPr="008C1422">
        <w:t>-</w:t>
      </w:r>
      <w:r w:rsidRPr="008C1422">
        <w:tab/>
        <w:t xml:space="preserve">aux unités de transport </w:t>
      </w:r>
      <w:r w:rsidRPr="0018204B">
        <w:rPr>
          <w:b/>
          <w:u w:val="single"/>
        </w:rPr>
        <w:t>et aux conteneurs</w:t>
      </w:r>
      <w:r>
        <w:t xml:space="preserve"> </w:t>
      </w:r>
      <w:r w:rsidRPr="008C1422">
        <w:t>pour lesquel</w:t>
      </w:r>
      <w:r w:rsidRPr="00547E0B">
        <w:rPr>
          <w:strike/>
        </w:rPr>
        <w:t>le</w:t>
      </w:r>
      <w:r w:rsidRPr="008C1422">
        <w:t xml:space="preserve">s un marquage est prescrit selon le 3.4.13 sous réserve du 3.4.14, pour le passage dans des tunnels de catégorie </w:t>
      </w:r>
      <w:proofErr w:type="gramStart"/>
      <w:r w:rsidRPr="008C1422">
        <w:t>E;</w:t>
      </w:r>
      <w:proofErr w:type="gramEnd"/>
      <w:r w:rsidRPr="008C1422">
        <w:t xml:space="preserve"> et</w:t>
      </w:r>
    </w:p>
    <w:p w:rsidR="00D16EE8" w:rsidRDefault="00D16EE8" w:rsidP="00AC12CD">
      <w:pPr>
        <w:pStyle w:val="SingleTxtG"/>
        <w:ind w:left="2268"/>
      </w:pPr>
      <w:r w:rsidRPr="008C1422">
        <w:t>-</w:t>
      </w:r>
      <w:r w:rsidRPr="008C1422">
        <w:tab/>
        <w:t>aux unités de transport pour lesquelles une signalisation orange est prescrite au 5.3.2 conformément aux dispositions du tableau ci-dessous une fois que le code de restriction en tunnels devant être affecté à l’ensemble du changement de l’unité de transport a été déterminé</w:t>
      </w:r>
      <w:r>
        <w:t>. »</w:t>
      </w:r>
      <w:r w:rsidRPr="008C1422">
        <w:t>.</w:t>
      </w:r>
    </w:p>
    <w:p w:rsidR="00D16EE8" w:rsidRPr="00D16EE8" w:rsidRDefault="00D16EE8" w:rsidP="00D16EE8">
      <w:pPr>
        <w:spacing w:before="240"/>
        <w:jc w:val="center"/>
        <w:rPr>
          <w:u w:val="single"/>
        </w:rPr>
      </w:pPr>
      <w:r>
        <w:rPr>
          <w:u w:val="single"/>
        </w:rPr>
        <w:tab/>
      </w:r>
      <w:r>
        <w:rPr>
          <w:u w:val="single"/>
        </w:rPr>
        <w:tab/>
      </w:r>
      <w:r>
        <w:rPr>
          <w:u w:val="single"/>
        </w:rPr>
        <w:tab/>
      </w:r>
    </w:p>
    <w:sectPr w:rsidR="00D16EE8" w:rsidRPr="00D16EE8" w:rsidSect="001C66F1">
      <w:headerReference w:type="even" r:id="rId10"/>
      <w:headerReference w:type="default" r:id="rId11"/>
      <w:footerReference w:type="even" r:id="rId12"/>
      <w:footerReference w:type="defaul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D16EE8">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D05289">
      <w:rPr>
        <w:b/>
        <w:noProof/>
        <w:sz w:val="18"/>
      </w:rPr>
      <w:t>2</w:t>
    </w:r>
    <w:r w:rsidRPr="00A778F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A778FE">
    <w:pPr>
      <w:pStyle w:val="Footer"/>
      <w:tabs>
        <w:tab w:val="right" w:pos="9638"/>
      </w:tabs>
      <w:rPr>
        <w:b/>
        <w:sz w:val="18"/>
      </w:rPr>
    </w:pPr>
    <w:r>
      <w:tab/>
    </w:r>
    <w:r w:rsidRPr="00A778FE">
      <w:rPr>
        <w:b/>
        <w:sz w:val="18"/>
      </w:rPr>
      <w:fldChar w:fldCharType="begin"/>
    </w:r>
    <w:r w:rsidRPr="00A778FE">
      <w:rPr>
        <w:b/>
        <w:sz w:val="18"/>
      </w:rPr>
      <w:instrText xml:space="preserve"> PAGE  \* MERGEFORMAT </w:instrText>
    </w:r>
    <w:r w:rsidRPr="00A778FE">
      <w:rPr>
        <w:b/>
        <w:sz w:val="18"/>
      </w:rPr>
      <w:fldChar w:fldCharType="separate"/>
    </w:r>
    <w:r w:rsidR="00C34370">
      <w:rPr>
        <w:b/>
        <w:noProof/>
        <w:sz w:val="18"/>
      </w:rPr>
      <w:t>3</w:t>
    </w:r>
    <w:r w:rsidRPr="00A778F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D16EE8" w:rsidRDefault="00D16EE8" w:rsidP="00D16EE8">
      <w:pPr>
        <w:pStyle w:val="FootnoteText"/>
        <w:tabs>
          <w:tab w:val="clear" w:pos="1021"/>
        </w:tabs>
        <w:ind w:left="1418" w:right="1260" w:hanging="284"/>
        <w:jc w:val="both"/>
      </w:pPr>
      <w:r w:rsidRPr="00C634A6">
        <w:rPr>
          <w:rStyle w:val="FootnoteReference"/>
          <w:sz w:val="20"/>
          <w:lang w:val="fr-FR"/>
        </w:rPr>
        <w:sym w:font="Symbol" w:char="F02A"/>
      </w:r>
      <w:r>
        <w:rPr>
          <w:lang w:val="fr-FR"/>
        </w:rPr>
        <w:tab/>
        <w:t>Conformément au programme de travail du Comité des transports intérieurs pour 2018-2019 (ECE/TRANS/</w:t>
      </w:r>
      <w:r w:rsidR="00BD4459">
        <w:rPr>
          <w:lang w:val="fr-FR"/>
        </w:rPr>
        <w:t>2018/21/Add.1, module 9, 9.1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pPr>
      <w:pStyle w:val="Header"/>
    </w:pPr>
    <w:r>
      <w:t>ECE/TRANS/WP.15/2019/15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rsidP="002D4C9C">
    <w:pPr>
      <w:pStyle w:val="Header"/>
      <w:jc w:val="right"/>
    </w:pPr>
    <w:r>
      <w:t>ECE/TRANS/WP.15/2019/15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13D0B17"/>
    <w:multiLevelType w:val="hybridMultilevel"/>
    <w:tmpl w:val="6C186676"/>
    <w:lvl w:ilvl="0" w:tplc="97E00168">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00"/>
    <w:rsid w:val="00017F94"/>
    <w:rsid w:val="00023842"/>
    <w:rsid w:val="000334F9"/>
    <w:rsid w:val="00045FEB"/>
    <w:rsid w:val="00067EC8"/>
    <w:rsid w:val="0007796D"/>
    <w:rsid w:val="000B7790"/>
    <w:rsid w:val="000C49CE"/>
    <w:rsid w:val="00111F2F"/>
    <w:rsid w:val="0014365E"/>
    <w:rsid w:val="00143C66"/>
    <w:rsid w:val="00176178"/>
    <w:rsid w:val="0018204B"/>
    <w:rsid w:val="00190057"/>
    <w:rsid w:val="001C2FE3"/>
    <w:rsid w:val="001C66F1"/>
    <w:rsid w:val="001F1C9E"/>
    <w:rsid w:val="001F525A"/>
    <w:rsid w:val="00223272"/>
    <w:rsid w:val="00231E94"/>
    <w:rsid w:val="00234916"/>
    <w:rsid w:val="0024779E"/>
    <w:rsid w:val="00257168"/>
    <w:rsid w:val="00260C72"/>
    <w:rsid w:val="0027448C"/>
    <w:rsid w:val="002744B8"/>
    <w:rsid w:val="002832AC"/>
    <w:rsid w:val="002D4C9C"/>
    <w:rsid w:val="002D7C93"/>
    <w:rsid w:val="00305801"/>
    <w:rsid w:val="00316F7B"/>
    <w:rsid w:val="00330878"/>
    <w:rsid w:val="00354A60"/>
    <w:rsid w:val="003916DE"/>
    <w:rsid w:val="003A3B89"/>
    <w:rsid w:val="003E46DE"/>
    <w:rsid w:val="00403F9C"/>
    <w:rsid w:val="00421996"/>
    <w:rsid w:val="00441C3B"/>
    <w:rsid w:val="00446FE5"/>
    <w:rsid w:val="00452396"/>
    <w:rsid w:val="0047076A"/>
    <w:rsid w:val="004837D8"/>
    <w:rsid w:val="004B4476"/>
    <w:rsid w:val="004E2EED"/>
    <w:rsid w:val="004E3C72"/>
    <w:rsid w:val="004E468C"/>
    <w:rsid w:val="00525555"/>
    <w:rsid w:val="00544F01"/>
    <w:rsid w:val="00547E0B"/>
    <w:rsid w:val="005505B7"/>
    <w:rsid w:val="00573BE5"/>
    <w:rsid w:val="00586577"/>
    <w:rsid w:val="00586ED3"/>
    <w:rsid w:val="00596AA9"/>
    <w:rsid w:val="005D4FDE"/>
    <w:rsid w:val="006043D0"/>
    <w:rsid w:val="00705210"/>
    <w:rsid w:val="00715690"/>
    <w:rsid w:val="0071601D"/>
    <w:rsid w:val="00782784"/>
    <w:rsid w:val="00790079"/>
    <w:rsid w:val="007A62E6"/>
    <w:rsid w:val="007F20FA"/>
    <w:rsid w:val="007F6276"/>
    <w:rsid w:val="0080684C"/>
    <w:rsid w:val="008612E8"/>
    <w:rsid w:val="00871C75"/>
    <w:rsid w:val="008776DC"/>
    <w:rsid w:val="00940800"/>
    <w:rsid w:val="009446C0"/>
    <w:rsid w:val="009640D1"/>
    <w:rsid w:val="009705C8"/>
    <w:rsid w:val="009C1CF4"/>
    <w:rsid w:val="009E0F94"/>
    <w:rsid w:val="009F6B74"/>
    <w:rsid w:val="009F6E54"/>
    <w:rsid w:val="00A3029F"/>
    <w:rsid w:val="00A30353"/>
    <w:rsid w:val="00A778FE"/>
    <w:rsid w:val="00AC12CD"/>
    <w:rsid w:val="00AC3823"/>
    <w:rsid w:val="00AE1437"/>
    <w:rsid w:val="00AE323C"/>
    <w:rsid w:val="00AF0CB5"/>
    <w:rsid w:val="00B00181"/>
    <w:rsid w:val="00B00B0D"/>
    <w:rsid w:val="00B34BFE"/>
    <w:rsid w:val="00B45F2E"/>
    <w:rsid w:val="00B765F7"/>
    <w:rsid w:val="00BA0CA9"/>
    <w:rsid w:val="00BD4459"/>
    <w:rsid w:val="00C02897"/>
    <w:rsid w:val="00C34370"/>
    <w:rsid w:val="00C42A20"/>
    <w:rsid w:val="00C71765"/>
    <w:rsid w:val="00C97039"/>
    <w:rsid w:val="00CA483D"/>
    <w:rsid w:val="00CD052A"/>
    <w:rsid w:val="00D05289"/>
    <w:rsid w:val="00D16EE8"/>
    <w:rsid w:val="00D3128C"/>
    <w:rsid w:val="00D3439C"/>
    <w:rsid w:val="00D40086"/>
    <w:rsid w:val="00D85BE3"/>
    <w:rsid w:val="00DB1831"/>
    <w:rsid w:val="00DC6594"/>
    <w:rsid w:val="00DD3BFD"/>
    <w:rsid w:val="00DF6678"/>
    <w:rsid w:val="00E0299A"/>
    <w:rsid w:val="00E06300"/>
    <w:rsid w:val="00E24E15"/>
    <w:rsid w:val="00E5491B"/>
    <w:rsid w:val="00E828AB"/>
    <w:rsid w:val="00E85C74"/>
    <w:rsid w:val="00EA6547"/>
    <w:rsid w:val="00EF2E22"/>
    <w:rsid w:val="00EF773F"/>
    <w:rsid w:val="00F02D14"/>
    <w:rsid w:val="00F335E1"/>
    <w:rsid w:val="00F35BAF"/>
    <w:rsid w:val="00F660DF"/>
    <w:rsid w:val="00F94664"/>
    <w:rsid w:val="00F9573C"/>
    <w:rsid w:val="00F95C08"/>
    <w:rsid w:val="00FE7A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EE5395"/>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1081</Words>
  <Characters>5850</Characters>
  <Application>Microsoft Office Word</Application>
  <DocSecurity>0</DocSecurity>
  <Lines>130</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Christine Barrio-Champeau</cp:lastModifiedBy>
  <cp:revision>12</cp:revision>
  <cp:lastPrinted>2019-07-11T09:36:00Z</cp:lastPrinted>
  <dcterms:created xsi:type="dcterms:W3CDTF">2019-07-12T14:27:00Z</dcterms:created>
  <dcterms:modified xsi:type="dcterms:W3CDTF">2019-08-19T08:45:00Z</dcterms:modified>
</cp:coreProperties>
</file>