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DA774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4140B7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DA7745" w:rsidP="00047746">
            <w:pPr>
              <w:jc w:val="right"/>
            </w:pPr>
            <w:r w:rsidRPr="00DA7745">
              <w:rPr>
                <w:sz w:val="40"/>
              </w:rPr>
              <w:t>ECE</w:t>
            </w:r>
            <w:r>
              <w:t>/TRANS/WP.15/201</w:t>
            </w:r>
            <w:r w:rsidR="00F53CCA">
              <w:t>9</w:t>
            </w:r>
            <w:r>
              <w:t>/</w:t>
            </w:r>
            <w:r w:rsidR="00EA28EA">
              <w:t>9</w:t>
            </w:r>
          </w:p>
        </w:tc>
      </w:tr>
      <w:tr w:rsidR="00F35BAF" w:rsidRPr="00DB58B5" w:rsidTr="004140B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185A1D" w:rsidP="004140B7">
            <w:pPr>
              <w:spacing w:before="120"/>
              <w:jc w:val="center"/>
            </w:pPr>
            <w:r>
              <w:rPr>
                <w:noProof/>
                <w:lang w:val="en-GB" w:eastAsia="zh-CN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4140B7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DA7745" w:rsidP="004140B7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DA7745" w:rsidRDefault="00CB368B" w:rsidP="00DA7745">
            <w:pPr>
              <w:spacing w:line="240" w:lineRule="exact"/>
            </w:pPr>
            <w:r>
              <w:t>21</w:t>
            </w:r>
            <w:r w:rsidR="00D105AA">
              <w:t xml:space="preserve"> février</w:t>
            </w:r>
            <w:r w:rsidR="00DA7745">
              <w:t xml:space="preserve"> 201</w:t>
            </w:r>
            <w:r w:rsidR="00F53CCA">
              <w:t>9</w:t>
            </w:r>
          </w:p>
          <w:p w:rsidR="00DA7745" w:rsidRDefault="008430D4" w:rsidP="00DA7745">
            <w:pPr>
              <w:spacing w:line="240" w:lineRule="exact"/>
            </w:pPr>
            <w:r>
              <w:t>Français</w:t>
            </w:r>
          </w:p>
          <w:p w:rsidR="00DA7745" w:rsidRPr="00DB58B5" w:rsidRDefault="00DA7745" w:rsidP="00DA7745">
            <w:pPr>
              <w:spacing w:line="240" w:lineRule="exact"/>
            </w:pPr>
            <w:proofErr w:type="gramStart"/>
            <w:r>
              <w:t>Original:</w:t>
            </w:r>
            <w:proofErr w:type="gramEnd"/>
            <w:r w:rsidR="008430D4">
              <w:t xml:space="preserve"> anglais et</w:t>
            </w:r>
            <w:r>
              <w:t xml:space="preserve"> </w:t>
            </w:r>
            <w:r w:rsidR="002220FD">
              <w:t>français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60713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E77F73" w:rsidRPr="009E01B8" w:rsidRDefault="00E77F73" w:rsidP="00E85C74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:rsidR="00DA7745" w:rsidRPr="004539A2" w:rsidRDefault="008D688D" w:rsidP="00DA7745">
      <w:pPr>
        <w:spacing w:before="120"/>
        <w:rPr>
          <w:rFonts w:eastAsia="SimSun"/>
          <w:b/>
        </w:rPr>
      </w:pPr>
      <w:r>
        <w:rPr>
          <w:rFonts w:eastAsia="SimSun"/>
          <w:b/>
        </w:rPr>
        <w:t>10</w:t>
      </w:r>
      <w:r w:rsidR="00F53CCA">
        <w:rPr>
          <w:rFonts w:eastAsia="SimSun"/>
          <w:b/>
        </w:rPr>
        <w:t>6</w:t>
      </w:r>
      <w:r>
        <w:rPr>
          <w:rFonts w:eastAsia="SimSun"/>
          <w:b/>
        </w:rPr>
        <w:t>e</w:t>
      </w:r>
      <w:r w:rsidR="00DA7745" w:rsidRPr="004539A2">
        <w:rPr>
          <w:rFonts w:eastAsia="SimSun"/>
          <w:b/>
        </w:rPr>
        <w:t xml:space="preserve"> session </w:t>
      </w:r>
    </w:p>
    <w:p w:rsidR="00DA7745" w:rsidRPr="004539A2" w:rsidRDefault="00DA7745" w:rsidP="00DA7745">
      <w:pPr>
        <w:rPr>
          <w:rFonts w:eastAsia="SimSun"/>
        </w:rPr>
      </w:pPr>
      <w:r w:rsidRPr="004539A2">
        <w:rPr>
          <w:rFonts w:eastAsia="SimSun"/>
        </w:rPr>
        <w:t xml:space="preserve">Genève, </w:t>
      </w:r>
      <w:r w:rsidR="00F53CCA">
        <w:rPr>
          <w:rFonts w:eastAsia="SimSun"/>
        </w:rPr>
        <w:t>13</w:t>
      </w:r>
      <w:r>
        <w:rPr>
          <w:rFonts w:eastAsia="SimSun"/>
        </w:rPr>
        <w:t>-</w:t>
      </w:r>
      <w:r w:rsidR="000C376B">
        <w:rPr>
          <w:rFonts w:eastAsia="SimSun"/>
        </w:rPr>
        <w:t>1</w:t>
      </w:r>
      <w:r w:rsidR="00F53CCA">
        <w:rPr>
          <w:rFonts w:eastAsia="SimSun"/>
        </w:rPr>
        <w:t>7</w:t>
      </w:r>
      <w:r w:rsidRPr="004539A2">
        <w:rPr>
          <w:rFonts w:eastAsia="SimSun"/>
        </w:rPr>
        <w:t xml:space="preserve"> mai 201</w:t>
      </w:r>
      <w:r w:rsidR="00F53CCA">
        <w:rPr>
          <w:rFonts w:eastAsia="SimSun"/>
        </w:rPr>
        <w:t>9</w:t>
      </w:r>
      <w:r w:rsidRPr="004539A2">
        <w:rPr>
          <w:rFonts w:eastAsia="SimSun"/>
        </w:rPr>
        <w:t xml:space="preserve"> </w:t>
      </w:r>
    </w:p>
    <w:p w:rsidR="00DA7745" w:rsidRPr="004539A2" w:rsidRDefault="00DA7745" w:rsidP="00DA7745">
      <w:r w:rsidRPr="004539A2">
        <w:rPr>
          <w:rFonts w:eastAsia="SimSun"/>
        </w:rPr>
        <w:t>Point</w:t>
      </w:r>
      <w:r>
        <w:rPr>
          <w:rFonts w:eastAsia="SimSun"/>
        </w:rPr>
        <w:t xml:space="preserve"> </w:t>
      </w:r>
      <w:r w:rsidR="0092018D">
        <w:t>6</w:t>
      </w:r>
      <w:r w:rsidR="00D105AA">
        <w:t xml:space="preserve"> b)</w:t>
      </w:r>
      <w:r w:rsidRPr="004539A2">
        <w:t xml:space="preserve"> de l</w:t>
      </w:r>
      <w:r w:rsidR="00460713">
        <w:t>’</w:t>
      </w:r>
      <w:r w:rsidRPr="004539A2">
        <w:t>ordre du jour provisoire</w:t>
      </w:r>
    </w:p>
    <w:p w:rsidR="00F9573C" w:rsidRPr="00D105AA" w:rsidRDefault="00D105AA" w:rsidP="00DA7745">
      <w:pPr>
        <w:rPr>
          <w:b/>
        </w:rPr>
      </w:pPr>
      <w:r w:rsidRPr="00D105AA">
        <w:rPr>
          <w:b/>
        </w:rPr>
        <w:t xml:space="preserve">Propositions d'amendement aux annexes A et B de </w:t>
      </w:r>
      <w:proofErr w:type="gramStart"/>
      <w:r w:rsidRPr="00D105AA">
        <w:rPr>
          <w:b/>
        </w:rPr>
        <w:t>l'ADR:</w:t>
      </w:r>
      <w:proofErr w:type="gramEnd"/>
    </w:p>
    <w:p w:rsidR="000C376B" w:rsidRPr="00D105AA" w:rsidRDefault="00D105AA" w:rsidP="00DA7745">
      <w:pPr>
        <w:rPr>
          <w:b/>
        </w:rPr>
      </w:pPr>
      <w:proofErr w:type="gramStart"/>
      <w:r>
        <w:rPr>
          <w:b/>
          <w:lang w:val="fr-FR"/>
        </w:rPr>
        <w:t>p</w:t>
      </w:r>
      <w:r w:rsidRPr="00D105AA">
        <w:rPr>
          <w:b/>
          <w:lang w:val="fr-FR"/>
        </w:rPr>
        <w:t>ropositions</w:t>
      </w:r>
      <w:proofErr w:type="gramEnd"/>
      <w:r w:rsidRPr="00D105AA">
        <w:rPr>
          <w:b/>
          <w:lang w:val="fr-FR"/>
        </w:rPr>
        <w:t xml:space="preserve"> diverses</w:t>
      </w:r>
    </w:p>
    <w:p w:rsidR="00DA7745" w:rsidRPr="004539A2" w:rsidRDefault="00DA7745" w:rsidP="00DA7745">
      <w:pPr>
        <w:pStyle w:val="HChG"/>
        <w:rPr>
          <w:sz w:val="20"/>
        </w:rPr>
      </w:pPr>
      <w:r w:rsidRPr="004539A2">
        <w:tab/>
      </w:r>
      <w:r w:rsidRPr="004539A2">
        <w:tab/>
      </w:r>
      <w:r w:rsidR="00D40610">
        <w:t>Chan</w:t>
      </w:r>
      <w:bookmarkStart w:id="0" w:name="_GoBack"/>
      <w:bookmarkEnd w:id="0"/>
      <w:r w:rsidR="00EA28EA" w:rsidRPr="007152BF">
        <w:t>gement des produits chargés dans les véhicules-citernes</w:t>
      </w:r>
    </w:p>
    <w:p w:rsidR="00DA7745" w:rsidRDefault="00DA7745" w:rsidP="00DA7745">
      <w:pPr>
        <w:pStyle w:val="H1G"/>
      </w:pPr>
      <w:r w:rsidRPr="004539A2">
        <w:rPr>
          <w:sz w:val="20"/>
        </w:rPr>
        <w:tab/>
      </w:r>
      <w:r w:rsidRPr="004539A2">
        <w:rPr>
          <w:sz w:val="20"/>
        </w:rPr>
        <w:tab/>
      </w:r>
      <w:r w:rsidR="000C376B">
        <w:t>Communication du</w:t>
      </w:r>
      <w:r w:rsidR="000C376B" w:rsidRPr="009D5E1C">
        <w:t xml:space="preserve"> Gouvernement de la Suisse</w:t>
      </w:r>
      <w:r w:rsidR="000E4011" w:rsidRPr="00DE7F48">
        <w:rPr>
          <w:rStyle w:val="FootnoteReference"/>
          <w:b w:val="0"/>
          <w:sz w:val="20"/>
        </w:rPr>
        <w:footnoteReference w:customMarkFollows="1" w:id="2"/>
        <w:sym w:font="Symbol" w:char="F02A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EA28EA" w:rsidTr="00AF35EA">
        <w:trPr>
          <w:jc w:val="center"/>
        </w:trPr>
        <w:tc>
          <w:tcPr>
            <w:tcW w:w="9628" w:type="dxa"/>
            <w:shd w:val="clear" w:color="auto" w:fill="auto"/>
          </w:tcPr>
          <w:p w:rsidR="00EA28EA" w:rsidRPr="00EC317B" w:rsidRDefault="00EA28EA" w:rsidP="00AF35EA">
            <w:pPr>
              <w:spacing w:before="240" w:after="120"/>
              <w:ind w:left="255"/>
              <w:rPr>
                <w:i/>
                <w:sz w:val="24"/>
              </w:rPr>
            </w:pPr>
            <w:r w:rsidRPr="00EC317B">
              <w:rPr>
                <w:i/>
                <w:sz w:val="24"/>
              </w:rPr>
              <w:t>Résumé</w:t>
            </w:r>
          </w:p>
        </w:tc>
      </w:tr>
      <w:tr w:rsidR="00EA28EA" w:rsidTr="00AF35EA">
        <w:trPr>
          <w:jc w:val="center"/>
        </w:trPr>
        <w:tc>
          <w:tcPr>
            <w:tcW w:w="9628" w:type="dxa"/>
            <w:shd w:val="clear" w:color="auto" w:fill="auto"/>
          </w:tcPr>
          <w:p w:rsidR="00EA28EA" w:rsidRPr="00061D8E" w:rsidRDefault="00EA28EA" w:rsidP="00AF35EA">
            <w:pPr>
              <w:pStyle w:val="SingleTxtG"/>
              <w:ind w:left="3402" w:hanging="2268"/>
            </w:pPr>
            <w:r w:rsidRPr="00061D8E">
              <w:rPr>
                <w:b/>
                <w:szCs w:val="22"/>
              </w:rPr>
              <w:t xml:space="preserve">Résumé </w:t>
            </w:r>
            <w:proofErr w:type="gramStart"/>
            <w:r w:rsidRPr="00061D8E">
              <w:rPr>
                <w:b/>
                <w:bCs/>
              </w:rPr>
              <w:t>analytique</w:t>
            </w:r>
            <w:r w:rsidRPr="00061D8E">
              <w:rPr>
                <w:b/>
                <w:szCs w:val="22"/>
              </w:rPr>
              <w:t>:</w:t>
            </w:r>
            <w:proofErr w:type="gramEnd"/>
            <w:r w:rsidRPr="00061D8E">
              <w:tab/>
              <w:t xml:space="preserve">Les véhicules-citernes </w:t>
            </w:r>
            <w:r>
              <w:t xml:space="preserve">dans lesquels on change </w:t>
            </w:r>
            <w:r w:rsidRPr="00061D8E">
              <w:t xml:space="preserve">les produits chargés n'identifient pas les dangers réels présents dans leur compartiment et leur équipement. Faut-il </w:t>
            </w:r>
            <w:r>
              <w:t xml:space="preserve">traiter </w:t>
            </w:r>
            <w:r w:rsidRPr="00061D8E">
              <w:t xml:space="preserve">de telles pratiques dans </w:t>
            </w:r>
            <w:proofErr w:type="gramStart"/>
            <w:r w:rsidRPr="00061D8E">
              <w:t>l'ADR?.</w:t>
            </w:r>
            <w:proofErr w:type="gramEnd"/>
          </w:p>
        </w:tc>
      </w:tr>
      <w:tr w:rsidR="00EA28EA" w:rsidTr="00AF35EA">
        <w:trPr>
          <w:jc w:val="center"/>
        </w:trPr>
        <w:tc>
          <w:tcPr>
            <w:tcW w:w="9628" w:type="dxa"/>
            <w:shd w:val="clear" w:color="auto" w:fill="auto"/>
          </w:tcPr>
          <w:p w:rsidR="00EA28EA" w:rsidRPr="00061D8E" w:rsidRDefault="00EA28EA" w:rsidP="00AF35EA">
            <w:pPr>
              <w:pStyle w:val="SingleTxtG"/>
              <w:ind w:left="3402" w:hanging="2268"/>
            </w:pPr>
            <w:r w:rsidRPr="00061D8E">
              <w:rPr>
                <w:b/>
                <w:szCs w:val="22"/>
              </w:rPr>
              <w:t xml:space="preserve">Mesures à </w:t>
            </w:r>
            <w:proofErr w:type="gramStart"/>
            <w:r w:rsidRPr="00061D8E">
              <w:rPr>
                <w:b/>
                <w:bCs/>
              </w:rPr>
              <w:t>prendre</w:t>
            </w:r>
            <w:r w:rsidRPr="00061D8E">
              <w:rPr>
                <w:b/>
                <w:szCs w:val="22"/>
              </w:rPr>
              <w:t>:</w:t>
            </w:r>
            <w:proofErr w:type="gramEnd"/>
            <w:r w:rsidRPr="00061D8E">
              <w:tab/>
            </w:r>
            <w:r>
              <w:t>Décider sur la manière de traiter le sujet.</w:t>
            </w:r>
          </w:p>
        </w:tc>
      </w:tr>
      <w:tr w:rsidR="00EA28EA" w:rsidTr="00AF35EA">
        <w:trPr>
          <w:jc w:val="center"/>
        </w:trPr>
        <w:tc>
          <w:tcPr>
            <w:tcW w:w="9628" w:type="dxa"/>
            <w:shd w:val="clear" w:color="auto" w:fill="auto"/>
          </w:tcPr>
          <w:p w:rsidR="00EA28EA" w:rsidRPr="00061D8E" w:rsidRDefault="00EA28EA" w:rsidP="00AF35EA">
            <w:pPr>
              <w:ind w:left="1134" w:hanging="1134"/>
            </w:pPr>
            <w:r w:rsidRPr="00061D8E">
              <w:rPr>
                <w:b/>
                <w:szCs w:val="22"/>
              </w:rPr>
              <w:tab/>
              <w:t xml:space="preserve">Documents de </w:t>
            </w:r>
            <w:proofErr w:type="gramStart"/>
            <w:r w:rsidRPr="00061D8E">
              <w:rPr>
                <w:b/>
                <w:szCs w:val="22"/>
              </w:rPr>
              <w:t>référence</w:t>
            </w:r>
            <w:r w:rsidRPr="00061D8E">
              <w:rPr>
                <w:szCs w:val="22"/>
              </w:rPr>
              <w:t>:</w:t>
            </w:r>
            <w:proofErr w:type="gramEnd"/>
            <w:r w:rsidRPr="00061D8E">
              <w:tab/>
            </w:r>
            <w:r w:rsidR="00AF514D">
              <w:t xml:space="preserve">Document informel </w:t>
            </w:r>
            <w:r>
              <w:t xml:space="preserve">INF.24 de </w:t>
            </w:r>
            <w:r w:rsidR="00AF514D">
              <w:t>la 105</w:t>
            </w:r>
            <w:r w:rsidR="00AF514D" w:rsidRPr="00AF514D">
              <w:rPr>
                <w:vertAlign w:val="superscript"/>
              </w:rPr>
              <w:t>e</w:t>
            </w:r>
            <w:r w:rsidR="00AF514D">
              <w:t xml:space="preserve"> session du Groupe de Travail</w:t>
            </w:r>
            <w:r w:rsidRPr="00061D8E">
              <w:t>.</w:t>
            </w:r>
          </w:p>
        </w:tc>
      </w:tr>
      <w:tr w:rsidR="00EA28EA" w:rsidTr="00AF35EA">
        <w:trPr>
          <w:jc w:val="center"/>
        </w:trPr>
        <w:tc>
          <w:tcPr>
            <w:tcW w:w="9628" w:type="dxa"/>
            <w:shd w:val="clear" w:color="auto" w:fill="auto"/>
          </w:tcPr>
          <w:p w:rsidR="00EA28EA" w:rsidRPr="00061D8E" w:rsidRDefault="00EA28EA" w:rsidP="00AF35EA">
            <w:pPr>
              <w:ind w:left="1134" w:hanging="1134"/>
              <w:rPr>
                <w:b/>
                <w:szCs w:val="22"/>
              </w:rPr>
            </w:pPr>
          </w:p>
        </w:tc>
      </w:tr>
    </w:tbl>
    <w:p w:rsidR="00EA28EA" w:rsidRPr="0037099C" w:rsidRDefault="00EA28EA" w:rsidP="00EA28EA">
      <w:pPr>
        <w:pStyle w:val="HChG"/>
        <w:rPr>
          <w:lang w:val="nl-NL"/>
        </w:rPr>
      </w:pPr>
      <w:r>
        <w:tab/>
      </w:r>
      <w:r>
        <w:tab/>
      </w:r>
      <w:r w:rsidRPr="002E033F">
        <w:t>Introduction</w:t>
      </w:r>
    </w:p>
    <w:p w:rsidR="00EA28EA" w:rsidRDefault="00EA28EA" w:rsidP="00EA28EA">
      <w:pPr>
        <w:pStyle w:val="SingleTxtG"/>
        <w:rPr>
          <w:rFonts w:eastAsiaTheme="minorEastAsia"/>
          <w:lang w:eastAsia="zh-CN"/>
        </w:rPr>
      </w:pPr>
      <w:r w:rsidRPr="002A6B98">
        <w:rPr>
          <w:rFonts w:eastAsiaTheme="minorEastAsia"/>
          <w:lang w:eastAsia="zh-CN"/>
        </w:rPr>
        <w:t>1.</w:t>
      </w:r>
      <w:r w:rsidRPr="002A6B98"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 xml:space="preserve">Lors de la </w:t>
      </w:r>
      <w:r w:rsidR="00AF514D">
        <w:t>105</w:t>
      </w:r>
      <w:r w:rsidR="00AF514D" w:rsidRPr="00AF514D">
        <w:rPr>
          <w:vertAlign w:val="superscript"/>
        </w:rPr>
        <w:t>e</w:t>
      </w:r>
      <w:r w:rsidR="00AF514D">
        <w:t xml:space="preserve"> session du Groupe de Travail</w:t>
      </w:r>
      <w:r>
        <w:rPr>
          <w:rFonts w:eastAsiaTheme="minorEastAsia"/>
          <w:lang w:eastAsia="zh-CN"/>
        </w:rPr>
        <w:t xml:space="preserve"> la question des changements de produits chargés dans un véhicule citerne a été brièvement discutée sur la base d’un document informel tardif INF.24. Afin de permettre une discussion plus approfondie et de permettre de décider comment traiter le sujet nous présentons </w:t>
      </w:r>
      <w:r w:rsidR="00AF514D">
        <w:rPr>
          <w:rFonts w:eastAsiaTheme="minorEastAsia"/>
          <w:lang w:eastAsia="zh-CN"/>
        </w:rPr>
        <w:t>à nouveau le sujet dans le présent document</w:t>
      </w:r>
      <w:r>
        <w:rPr>
          <w:rFonts w:eastAsiaTheme="minorEastAsia"/>
          <w:lang w:eastAsia="zh-CN"/>
        </w:rPr>
        <w:t>.</w:t>
      </w:r>
    </w:p>
    <w:p w:rsidR="00EA28EA" w:rsidRPr="002A6B98" w:rsidRDefault="00EA28EA" w:rsidP="00EA28EA">
      <w:pPr>
        <w:pStyle w:val="SingleTxtG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2.</w:t>
      </w:r>
      <w:r>
        <w:rPr>
          <w:rFonts w:eastAsiaTheme="minorEastAsia"/>
          <w:lang w:eastAsia="zh-CN"/>
        </w:rPr>
        <w:tab/>
        <w:t>Il s’agit du cas d’u</w:t>
      </w:r>
      <w:r w:rsidRPr="002A6B98">
        <w:rPr>
          <w:rFonts w:eastAsiaTheme="minorEastAsia"/>
          <w:lang w:eastAsia="zh-CN"/>
        </w:rPr>
        <w:t>n véhicule-citerne avec un système de t</w:t>
      </w:r>
      <w:r>
        <w:rPr>
          <w:rFonts w:eastAsiaTheme="minorEastAsia"/>
          <w:lang w:eastAsia="zh-CN"/>
        </w:rPr>
        <w:t>rois</w:t>
      </w:r>
      <w:r w:rsidRPr="002A6B98">
        <w:rPr>
          <w:rFonts w:eastAsiaTheme="minorEastAsia"/>
          <w:lang w:eastAsia="zh-CN"/>
        </w:rPr>
        <w:t xml:space="preserve"> compartiment</w:t>
      </w:r>
      <w:r>
        <w:rPr>
          <w:rFonts w:eastAsiaTheme="minorEastAsia"/>
          <w:lang w:eastAsia="zh-CN"/>
        </w:rPr>
        <w:t>s</w:t>
      </w:r>
      <w:r w:rsidRPr="002A6B98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>qui transportait</w:t>
      </w:r>
      <w:r w:rsidRPr="002A6B98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de l’essence No </w:t>
      </w:r>
      <w:r w:rsidR="00AF514D">
        <w:rPr>
          <w:rFonts w:eastAsiaTheme="minorEastAsia"/>
          <w:lang w:eastAsia="zh-CN"/>
        </w:rPr>
        <w:t>ONU</w:t>
      </w:r>
      <w:r w:rsidRPr="002A6B98">
        <w:rPr>
          <w:rFonts w:eastAsiaTheme="minorEastAsia"/>
          <w:lang w:eastAsia="zh-CN"/>
        </w:rPr>
        <w:t xml:space="preserve"> 1203. Après le déchargement, le </w:t>
      </w:r>
      <w:r>
        <w:rPr>
          <w:rFonts w:eastAsiaTheme="minorEastAsia"/>
          <w:lang w:eastAsia="zh-CN"/>
        </w:rPr>
        <w:t>conducteur</w:t>
      </w:r>
      <w:r w:rsidRPr="002A6B98">
        <w:rPr>
          <w:rFonts w:eastAsiaTheme="minorEastAsia"/>
          <w:lang w:eastAsia="zh-CN"/>
        </w:rPr>
        <w:t xml:space="preserve"> a chargé le véhicule avec </w:t>
      </w:r>
      <w:r>
        <w:rPr>
          <w:rFonts w:eastAsiaTheme="minorEastAsia"/>
          <w:lang w:eastAsia="zh-CN"/>
        </w:rPr>
        <w:t>du</w:t>
      </w:r>
      <w:r w:rsidRPr="002A6B98">
        <w:rPr>
          <w:rFonts w:eastAsiaTheme="minorEastAsia"/>
          <w:lang w:eastAsia="zh-CN"/>
        </w:rPr>
        <w:t xml:space="preserve"> biodiesel (</w:t>
      </w:r>
      <w:r>
        <w:rPr>
          <w:rFonts w:eastAsiaTheme="minorEastAsia"/>
          <w:lang w:eastAsia="zh-CN"/>
        </w:rPr>
        <w:t xml:space="preserve">qui n’est </w:t>
      </w:r>
      <w:r w:rsidRPr="002A6B98">
        <w:rPr>
          <w:rFonts w:eastAsiaTheme="minorEastAsia"/>
          <w:lang w:eastAsia="zh-CN"/>
        </w:rPr>
        <w:t xml:space="preserve">pas </w:t>
      </w:r>
      <w:r>
        <w:rPr>
          <w:rFonts w:eastAsiaTheme="minorEastAsia"/>
          <w:lang w:eastAsia="zh-CN"/>
        </w:rPr>
        <w:t xml:space="preserve">une marchandise </w:t>
      </w:r>
      <w:r w:rsidRPr="002A6B98">
        <w:rPr>
          <w:rFonts w:eastAsiaTheme="minorEastAsia"/>
          <w:lang w:eastAsia="zh-CN"/>
        </w:rPr>
        <w:t>dangereu</w:t>
      </w:r>
      <w:r>
        <w:rPr>
          <w:rFonts w:eastAsiaTheme="minorEastAsia"/>
          <w:lang w:eastAsia="zh-CN"/>
        </w:rPr>
        <w:t>se</w:t>
      </w:r>
      <w:r w:rsidRPr="002A6B98">
        <w:rPr>
          <w:rFonts w:eastAsiaTheme="minorEastAsia"/>
          <w:lang w:eastAsia="zh-CN"/>
        </w:rPr>
        <w:t xml:space="preserve"> selon la fiche de </w:t>
      </w:r>
      <w:r w:rsidRPr="002A6B98">
        <w:rPr>
          <w:rFonts w:eastAsiaTheme="minorEastAsia"/>
          <w:lang w:eastAsia="zh-CN"/>
        </w:rPr>
        <w:lastRenderedPageBreak/>
        <w:t>données de sécurité). En raison du remplissage par le bas, l’essence rest</w:t>
      </w:r>
      <w:r>
        <w:rPr>
          <w:rFonts w:eastAsiaTheme="minorEastAsia"/>
          <w:lang w:eastAsia="zh-CN"/>
        </w:rPr>
        <w:t>ante</w:t>
      </w:r>
      <w:r w:rsidRPr="002A6B98">
        <w:rPr>
          <w:rFonts w:eastAsiaTheme="minorEastAsia"/>
          <w:lang w:eastAsia="zh-CN"/>
        </w:rPr>
        <w:t xml:space="preserve"> est </w:t>
      </w:r>
      <w:r>
        <w:rPr>
          <w:rFonts w:eastAsiaTheme="minorEastAsia"/>
          <w:lang w:eastAsia="zh-CN"/>
        </w:rPr>
        <w:t>introduite</w:t>
      </w:r>
      <w:r w:rsidRPr="002A6B98">
        <w:rPr>
          <w:rFonts w:eastAsiaTheme="minorEastAsia"/>
          <w:lang w:eastAsia="zh-CN"/>
        </w:rPr>
        <w:t xml:space="preserve"> dans le compartiment, où les vapeurs d’essence (environ 2-3 m</w:t>
      </w:r>
      <w:r w:rsidRPr="00A24D29">
        <w:rPr>
          <w:rFonts w:eastAsiaTheme="minorEastAsia"/>
          <w:vertAlign w:val="superscript"/>
          <w:lang w:eastAsia="zh-CN"/>
        </w:rPr>
        <w:t>2</w:t>
      </w:r>
      <w:r w:rsidRPr="002A6B98">
        <w:rPr>
          <w:rFonts w:eastAsiaTheme="minorEastAsia"/>
          <w:lang w:eastAsia="zh-CN"/>
        </w:rPr>
        <w:t>) s</w:t>
      </w:r>
      <w:r>
        <w:rPr>
          <w:rFonts w:eastAsiaTheme="minorEastAsia"/>
          <w:lang w:eastAsia="zh-CN"/>
        </w:rPr>
        <w:t>e</w:t>
      </w:r>
      <w:r w:rsidRPr="002A6B98">
        <w:rPr>
          <w:rFonts w:eastAsiaTheme="minorEastAsia"/>
          <w:lang w:eastAsia="zh-CN"/>
        </w:rPr>
        <w:t xml:space="preserve"> trouvent au-dessus du biodiesel dans le compartiment de la citerne. En raison de ce risque, le </w:t>
      </w:r>
      <w:r>
        <w:rPr>
          <w:rFonts w:eastAsiaTheme="minorEastAsia"/>
          <w:lang w:eastAsia="zh-CN"/>
        </w:rPr>
        <w:t xml:space="preserve">conducteur </w:t>
      </w:r>
      <w:r w:rsidRPr="002A6B98">
        <w:rPr>
          <w:rFonts w:eastAsiaTheme="minorEastAsia"/>
          <w:lang w:eastAsia="zh-CN"/>
        </w:rPr>
        <w:t xml:space="preserve">a laissé délibérément </w:t>
      </w:r>
      <w:r>
        <w:rPr>
          <w:rFonts w:eastAsiaTheme="minorEastAsia"/>
          <w:lang w:eastAsia="zh-CN"/>
        </w:rPr>
        <w:t xml:space="preserve">la signalisation </w:t>
      </w:r>
      <w:r w:rsidRPr="002A6B98">
        <w:rPr>
          <w:rFonts w:eastAsiaTheme="minorEastAsia"/>
          <w:lang w:eastAsia="zh-CN"/>
        </w:rPr>
        <w:t xml:space="preserve">comme « essence », qui est 33/1203 à l’avant et l’arrière de l’unité de transport et sur le côté et </w:t>
      </w:r>
      <w:r>
        <w:rPr>
          <w:rFonts w:eastAsiaTheme="minorEastAsia"/>
          <w:lang w:eastAsia="zh-CN"/>
        </w:rPr>
        <w:t>à l’</w:t>
      </w:r>
      <w:r w:rsidRPr="002A6B98">
        <w:rPr>
          <w:rFonts w:eastAsiaTheme="minorEastAsia"/>
          <w:lang w:eastAsia="zh-CN"/>
        </w:rPr>
        <w:t xml:space="preserve">arrière </w:t>
      </w:r>
      <w:r>
        <w:rPr>
          <w:rFonts w:eastAsiaTheme="minorEastAsia"/>
          <w:lang w:eastAsia="zh-CN"/>
        </w:rPr>
        <w:t>des plaques étiquettes No</w:t>
      </w:r>
      <w:r w:rsidR="00AF514D">
        <w:rPr>
          <w:rFonts w:eastAsiaTheme="minorEastAsia"/>
          <w:lang w:eastAsia="zh-CN"/>
        </w:rPr>
        <w:t>.</w:t>
      </w:r>
      <w:r>
        <w:rPr>
          <w:rFonts w:eastAsiaTheme="minorEastAsia"/>
          <w:lang w:eastAsia="zh-CN"/>
        </w:rPr>
        <w:t xml:space="preserve"> </w:t>
      </w:r>
      <w:r w:rsidRPr="002A6B98">
        <w:rPr>
          <w:rFonts w:eastAsiaTheme="minorEastAsia"/>
          <w:lang w:eastAsia="zh-CN"/>
        </w:rPr>
        <w:t xml:space="preserve">3 </w:t>
      </w:r>
      <w:r>
        <w:rPr>
          <w:rFonts w:eastAsiaTheme="minorEastAsia"/>
          <w:lang w:eastAsia="zh-CN"/>
        </w:rPr>
        <w:t>et un marquage du</w:t>
      </w:r>
      <w:r w:rsidRPr="002A6B98">
        <w:rPr>
          <w:rFonts w:eastAsiaTheme="minorEastAsia"/>
          <w:lang w:eastAsia="zh-CN"/>
        </w:rPr>
        <w:t xml:space="preserve"> véhicule-citerne et marques </w:t>
      </w:r>
      <w:r>
        <w:rPr>
          <w:rFonts w:eastAsiaTheme="minorEastAsia"/>
          <w:lang w:eastAsia="zh-CN"/>
        </w:rPr>
        <w:t>selon le 5.3.6</w:t>
      </w:r>
      <w:r w:rsidRPr="002A6B98">
        <w:rPr>
          <w:rFonts w:eastAsiaTheme="minorEastAsia"/>
          <w:lang w:eastAsia="zh-CN"/>
        </w:rPr>
        <w:t>. L</w:t>
      </w:r>
      <w:r>
        <w:rPr>
          <w:rFonts w:eastAsiaTheme="minorEastAsia"/>
          <w:lang w:eastAsia="zh-CN"/>
        </w:rPr>
        <w:t xml:space="preserve">e </w:t>
      </w:r>
      <w:r w:rsidRPr="002A6B98">
        <w:rPr>
          <w:rFonts w:eastAsiaTheme="minorEastAsia"/>
          <w:lang w:eastAsia="zh-CN"/>
        </w:rPr>
        <w:t xml:space="preserve">contrôle </w:t>
      </w:r>
      <w:r>
        <w:rPr>
          <w:rFonts w:eastAsiaTheme="minorEastAsia"/>
          <w:lang w:eastAsia="zh-CN"/>
        </w:rPr>
        <w:t xml:space="preserve">de la police a conduit à une </w:t>
      </w:r>
      <w:r w:rsidRPr="002A6B98">
        <w:rPr>
          <w:rFonts w:eastAsiaTheme="minorEastAsia"/>
          <w:lang w:eastAsia="zh-CN"/>
        </w:rPr>
        <w:t>amende pour la raison « n</w:t>
      </w:r>
      <w:r>
        <w:rPr>
          <w:rFonts w:eastAsiaTheme="minorEastAsia"/>
          <w:lang w:eastAsia="zh-CN"/>
        </w:rPr>
        <w:t>’a pas enlevé le marquage ADR</w:t>
      </w:r>
      <w:r w:rsidRPr="002A6B98">
        <w:rPr>
          <w:rFonts w:eastAsiaTheme="minorEastAsia"/>
          <w:lang w:eastAsia="zh-CN"/>
        </w:rPr>
        <w:t> » parce que</w:t>
      </w:r>
      <w:r>
        <w:rPr>
          <w:rFonts w:eastAsiaTheme="minorEastAsia"/>
          <w:lang w:eastAsia="zh-CN"/>
        </w:rPr>
        <w:t xml:space="preserve"> la police </w:t>
      </w:r>
      <w:r w:rsidRPr="002A6B98">
        <w:rPr>
          <w:rFonts w:eastAsiaTheme="minorEastAsia"/>
          <w:lang w:eastAsia="zh-CN"/>
        </w:rPr>
        <w:t>considér</w:t>
      </w:r>
      <w:r>
        <w:rPr>
          <w:rFonts w:eastAsiaTheme="minorEastAsia"/>
          <w:lang w:eastAsia="zh-CN"/>
        </w:rPr>
        <w:t>ait</w:t>
      </w:r>
      <w:r w:rsidRPr="002A6B98">
        <w:rPr>
          <w:rFonts w:eastAsiaTheme="minorEastAsia"/>
          <w:lang w:eastAsia="zh-CN"/>
        </w:rPr>
        <w:t xml:space="preserve"> qu’aucune marchandise dangereuse n’</w:t>
      </w:r>
      <w:r>
        <w:rPr>
          <w:rFonts w:eastAsiaTheme="minorEastAsia"/>
          <w:lang w:eastAsia="zh-CN"/>
        </w:rPr>
        <w:t>était transportée</w:t>
      </w:r>
      <w:r w:rsidRPr="002A6B98">
        <w:rPr>
          <w:rFonts w:eastAsiaTheme="minorEastAsia"/>
          <w:lang w:eastAsia="zh-CN"/>
        </w:rPr>
        <w:t>.</w:t>
      </w:r>
    </w:p>
    <w:p w:rsidR="00EA28EA" w:rsidRPr="002A6B98" w:rsidRDefault="00FD7C9D" w:rsidP="00EA28EA">
      <w:pPr>
        <w:pStyle w:val="SingleTxtG"/>
        <w:keepNext/>
        <w:rPr>
          <w:rFonts w:eastAsiaTheme="minorEastAsia"/>
          <w:lang w:eastAsia="zh-CN"/>
        </w:rPr>
      </w:pPr>
      <w:r>
        <w:rPr>
          <w:noProof/>
          <w:lang w:val="en-GB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243840</wp:posOffset>
            </wp:positionV>
            <wp:extent cx="6120765" cy="3151505"/>
            <wp:effectExtent l="0" t="0" r="0" b="0"/>
            <wp:wrapSquare wrapText="bothSides"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28EA">
        <w:rPr>
          <w:rFonts w:eastAsiaTheme="minorEastAsia"/>
          <w:lang w:eastAsia="zh-CN"/>
        </w:rPr>
        <w:t>3</w:t>
      </w:r>
      <w:r w:rsidR="00EA28EA" w:rsidRPr="002A6B98">
        <w:rPr>
          <w:rFonts w:eastAsiaTheme="minorEastAsia"/>
          <w:lang w:eastAsia="zh-CN"/>
        </w:rPr>
        <w:t>.</w:t>
      </w:r>
      <w:r w:rsidR="00EA28EA" w:rsidRPr="002A6B98">
        <w:rPr>
          <w:rFonts w:eastAsiaTheme="minorEastAsia"/>
          <w:lang w:eastAsia="zh-CN"/>
        </w:rPr>
        <w:tab/>
        <w:t xml:space="preserve">Description des conditions du </w:t>
      </w:r>
      <w:proofErr w:type="gramStart"/>
      <w:r w:rsidR="00EA28EA" w:rsidRPr="002A6B98">
        <w:rPr>
          <w:rFonts w:eastAsiaTheme="minorEastAsia"/>
          <w:lang w:eastAsia="zh-CN"/>
        </w:rPr>
        <w:t>transport:</w:t>
      </w:r>
      <w:proofErr w:type="gramEnd"/>
    </w:p>
    <w:p w:rsidR="00EA28EA" w:rsidRPr="00FD7C9D" w:rsidRDefault="00EA28EA" w:rsidP="00EA28EA">
      <w:pPr>
        <w:pStyle w:val="SingleTxtG"/>
        <w:keepNext/>
        <w:rPr>
          <w:rFonts w:eastAsiaTheme="minorEastAsia"/>
          <w:lang w:eastAsia="zh-CN"/>
        </w:rPr>
      </w:pPr>
    </w:p>
    <w:p w:rsidR="00EA28EA" w:rsidRDefault="00AF514D" w:rsidP="00AF514D">
      <w:pPr>
        <w:pStyle w:val="SingleTxtG"/>
        <w:keepNext/>
        <w:suppressAutoHyphens w:val="0"/>
        <w:kinsoku/>
        <w:overflowPunct/>
        <w:autoSpaceDE/>
        <w:autoSpaceDN/>
        <w:adjustRightInd/>
        <w:snapToGrid/>
        <w:spacing w:line="260" w:lineRule="atLeast"/>
        <w:ind w:left="1494" w:firstLine="207"/>
        <w:rPr>
          <w:rFonts w:eastAsiaTheme="minorEastAsia"/>
          <w:lang w:eastAsia="zh-CN"/>
        </w:rPr>
      </w:pPr>
      <w:r w:rsidRPr="00AF514D">
        <w:rPr>
          <w:rFonts w:eastAsiaTheme="minorEastAsia"/>
          <w:lang w:eastAsia="zh-CN"/>
        </w:rPr>
        <w:t>a)</w:t>
      </w:r>
      <w:r w:rsidRPr="00AF514D">
        <w:rPr>
          <w:rFonts w:eastAsiaTheme="minorEastAsia"/>
          <w:lang w:eastAsia="zh-CN"/>
        </w:rPr>
        <w:tab/>
      </w:r>
      <w:r w:rsidR="00EA28EA" w:rsidRPr="00E15DAE">
        <w:rPr>
          <w:rFonts w:eastAsiaTheme="minorEastAsia"/>
          <w:lang w:eastAsia="zh-CN"/>
        </w:rPr>
        <w:t xml:space="preserve">Environ 30-40 l d’essence sont dans le tube court, qui a été </w:t>
      </w:r>
      <w:r w:rsidR="00EA28EA">
        <w:rPr>
          <w:rFonts w:eastAsiaTheme="minorEastAsia"/>
          <w:lang w:eastAsia="zh-CN"/>
        </w:rPr>
        <w:t>introduit</w:t>
      </w:r>
      <w:r w:rsidR="00EA28EA" w:rsidRPr="00E15DAE">
        <w:rPr>
          <w:rFonts w:eastAsiaTheme="minorEastAsia"/>
          <w:lang w:eastAsia="zh-CN"/>
        </w:rPr>
        <w:t xml:space="preserve"> pendant le processus de chargement d</w:t>
      </w:r>
      <w:r w:rsidR="00EA28EA">
        <w:rPr>
          <w:rFonts w:eastAsiaTheme="minorEastAsia"/>
          <w:lang w:eastAsia="zh-CN"/>
        </w:rPr>
        <w:t>u</w:t>
      </w:r>
      <w:r w:rsidR="00EA28EA" w:rsidRPr="00E15DAE">
        <w:rPr>
          <w:rFonts w:eastAsiaTheme="minorEastAsia"/>
          <w:lang w:eastAsia="zh-CN"/>
        </w:rPr>
        <w:t xml:space="preserve"> biodiesel dans l’espace de réservoir</w:t>
      </w:r>
    </w:p>
    <w:p w:rsidR="00AF514D" w:rsidRPr="00E15DAE" w:rsidRDefault="00AF514D" w:rsidP="00AF514D">
      <w:pPr>
        <w:pStyle w:val="SingleTxtG"/>
        <w:keepNext/>
        <w:suppressAutoHyphens w:val="0"/>
        <w:kinsoku/>
        <w:overflowPunct/>
        <w:autoSpaceDE/>
        <w:autoSpaceDN/>
        <w:adjustRightInd/>
        <w:snapToGrid/>
        <w:spacing w:line="260" w:lineRule="atLeast"/>
        <w:ind w:left="1494" w:firstLine="207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b)</w:t>
      </w:r>
      <w:r>
        <w:rPr>
          <w:rFonts w:eastAsiaTheme="minorEastAsia"/>
          <w:lang w:eastAsia="zh-CN"/>
        </w:rPr>
        <w:tab/>
      </w:r>
      <w:r w:rsidRPr="00E15DAE">
        <w:rPr>
          <w:rFonts w:eastAsiaTheme="minorEastAsia"/>
          <w:lang w:eastAsia="zh-CN"/>
        </w:rPr>
        <w:t xml:space="preserve">Dans le système de tube complet entre la pompe, le compteur et la buse </w:t>
      </w:r>
      <w:r>
        <w:rPr>
          <w:rFonts w:eastAsiaTheme="minorEastAsia"/>
          <w:lang w:eastAsia="zh-CN"/>
        </w:rPr>
        <w:t xml:space="preserve">il y a </w:t>
      </w:r>
      <w:r w:rsidRPr="00E15DAE">
        <w:rPr>
          <w:rFonts w:eastAsiaTheme="minorEastAsia"/>
          <w:lang w:eastAsia="zh-CN"/>
        </w:rPr>
        <w:t>encore environ 100-150 l (UN : 1202</w:t>
      </w:r>
      <w:r>
        <w:rPr>
          <w:rFonts w:eastAsiaTheme="minorEastAsia"/>
          <w:lang w:eastAsia="zh-CN"/>
        </w:rPr>
        <w:t>)</w:t>
      </w:r>
      <w:r w:rsidRPr="00E15DAE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de </w:t>
      </w:r>
      <w:r w:rsidRPr="00E15DAE">
        <w:rPr>
          <w:rFonts w:eastAsiaTheme="minorEastAsia"/>
          <w:lang w:eastAsia="zh-CN"/>
        </w:rPr>
        <w:t>diesel</w:t>
      </w:r>
    </w:p>
    <w:p w:rsidR="00EA28EA" w:rsidRPr="0039146E" w:rsidRDefault="00AF514D" w:rsidP="00AF514D">
      <w:pPr>
        <w:pStyle w:val="SingleTxtG"/>
        <w:keepNext/>
        <w:suppressAutoHyphens w:val="0"/>
        <w:kinsoku/>
        <w:overflowPunct/>
        <w:autoSpaceDE/>
        <w:autoSpaceDN/>
        <w:adjustRightInd/>
        <w:snapToGrid/>
        <w:spacing w:line="260" w:lineRule="atLeast"/>
        <w:ind w:left="1494" w:firstLine="207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c)</w:t>
      </w:r>
      <w:r w:rsidR="004955D9">
        <w:rPr>
          <w:rFonts w:eastAsiaTheme="minorEastAsia"/>
          <w:lang w:eastAsia="zh-CN"/>
        </w:rPr>
        <w:tab/>
      </w:r>
      <w:r w:rsidR="00EA28EA" w:rsidRPr="0039146E">
        <w:rPr>
          <w:rFonts w:eastAsiaTheme="minorEastAsia"/>
          <w:lang w:eastAsia="zh-CN"/>
        </w:rPr>
        <w:t>Remplissage par le bas avec du biodiesel</w:t>
      </w:r>
    </w:p>
    <w:p w:rsidR="00EA28EA" w:rsidRPr="00E15DAE" w:rsidRDefault="00AF514D" w:rsidP="00AF514D">
      <w:pPr>
        <w:pStyle w:val="SingleTxtG"/>
        <w:keepNext/>
        <w:suppressAutoHyphens w:val="0"/>
        <w:kinsoku/>
        <w:overflowPunct/>
        <w:autoSpaceDE/>
        <w:autoSpaceDN/>
        <w:adjustRightInd/>
        <w:snapToGrid/>
        <w:spacing w:line="260" w:lineRule="atLeast"/>
        <w:ind w:left="1494" w:firstLine="207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d)</w:t>
      </w:r>
      <w:r>
        <w:rPr>
          <w:rFonts w:eastAsiaTheme="minorEastAsia"/>
          <w:lang w:eastAsia="zh-CN"/>
        </w:rPr>
        <w:tab/>
      </w:r>
      <w:r w:rsidR="00EA28EA">
        <w:rPr>
          <w:rFonts w:eastAsiaTheme="minorEastAsia"/>
          <w:lang w:eastAsia="zh-CN"/>
        </w:rPr>
        <w:t>L</w:t>
      </w:r>
      <w:r w:rsidR="00EA28EA" w:rsidRPr="00E15DAE">
        <w:rPr>
          <w:rFonts w:eastAsiaTheme="minorEastAsia"/>
          <w:lang w:eastAsia="zh-CN"/>
        </w:rPr>
        <w:t>e premier et le troisième compartiment du véhicule-citerne sont remplis de biodiesel, le second compartiment est rempli à la moitié environ avec le biodiesel </w:t>
      </w:r>
    </w:p>
    <w:p w:rsidR="00EA28EA" w:rsidRPr="00E15DAE" w:rsidRDefault="00AF514D" w:rsidP="00AF514D">
      <w:pPr>
        <w:pStyle w:val="SingleTxtG"/>
        <w:suppressAutoHyphens w:val="0"/>
        <w:kinsoku/>
        <w:overflowPunct/>
        <w:autoSpaceDE/>
        <w:autoSpaceDN/>
        <w:adjustRightInd/>
        <w:snapToGrid/>
        <w:spacing w:line="260" w:lineRule="atLeast"/>
        <w:ind w:left="1494" w:firstLine="207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e)</w:t>
      </w:r>
      <w:r>
        <w:rPr>
          <w:rFonts w:eastAsiaTheme="minorEastAsia"/>
          <w:lang w:eastAsia="zh-CN"/>
        </w:rPr>
        <w:tab/>
      </w:r>
      <w:r w:rsidR="00EA28EA" w:rsidRPr="00E15DAE">
        <w:rPr>
          <w:rFonts w:eastAsiaTheme="minorEastAsia"/>
          <w:lang w:eastAsia="zh-CN"/>
        </w:rPr>
        <w:t xml:space="preserve">Le </w:t>
      </w:r>
      <w:r w:rsidR="00EA28EA">
        <w:rPr>
          <w:rFonts w:eastAsiaTheme="minorEastAsia"/>
          <w:lang w:eastAsia="zh-CN"/>
        </w:rPr>
        <w:t>conducteur</w:t>
      </w:r>
      <w:r w:rsidR="00EA28EA" w:rsidRPr="00E15DAE">
        <w:rPr>
          <w:rFonts w:eastAsiaTheme="minorEastAsia"/>
          <w:lang w:eastAsia="zh-CN"/>
        </w:rPr>
        <w:t xml:space="preserve"> avait un document pour le biodiesel et probablement aussi un document de transport pour un réservoir vide non nettoyé (mais </w:t>
      </w:r>
      <w:r w:rsidR="00EA28EA">
        <w:rPr>
          <w:rFonts w:eastAsiaTheme="minorEastAsia"/>
          <w:lang w:eastAsia="zh-CN"/>
        </w:rPr>
        <w:t xml:space="preserve">ceci n’a pas été </w:t>
      </w:r>
      <w:r w:rsidR="00EA28EA" w:rsidRPr="00E15DAE">
        <w:rPr>
          <w:rFonts w:eastAsiaTheme="minorEastAsia"/>
          <w:lang w:eastAsia="zh-CN"/>
        </w:rPr>
        <w:t>contrôlé)</w:t>
      </w:r>
    </w:p>
    <w:p w:rsidR="00EA28EA" w:rsidRPr="00E15DAE" w:rsidRDefault="00AF514D" w:rsidP="00AF514D">
      <w:pPr>
        <w:pStyle w:val="SingleTxtG"/>
        <w:suppressAutoHyphens w:val="0"/>
        <w:kinsoku/>
        <w:overflowPunct/>
        <w:autoSpaceDE/>
        <w:autoSpaceDN/>
        <w:adjustRightInd/>
        <w:snapToGrid/>
        <w:spacing w:line="260" w:lineRule="atLeast"/>
        <w:ind w:left="1494" w:firstLine="207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f)</w:t>
      </w:r>
      <w:r>
        <w:rPr>
          <w:rFonts w:eastAsiaTheme="minorEastAsia"/>
          <w:lang w:eastAsia="zh-CN"/>
        </w:rPr>
        <w:tab/>
      </w:r>
      <w:r w:rsidR="00EA28EA">
        <w:rPr>
          <w:rFonts w:eastAsiaTheme="minorEastAsia"/>
          <w:lang w:eastAsia="zh-CN"/>
        </w:rPr>
        <w:t>Conformément au 5</w:t>
      </w:r>
      <w:r w:rsidR="00EA28EA" w:rsidRPr="00E15DAE">
        <w:rPr>
          <w:rFonts w:eastAsiaTheme="minorEastAsia"/>
          <w:lang w:eastAsia="zh-CN"/>
        </w:rPr>
        <w:t xml:space="preserve">.1.3.1 et 5.3.1.1.6 </w:t>
      </w:r>
      <w:r w:rsidR="00EA28EA">
        <w:rPr>
          <w:rFonts w:eastAsiaTheme="minorEastAsia"/>
          <w:lang w:eastAsia="zh-CN"/>
        </w:rPr>
        <w:t xml:space="preserve">ADR </w:t>
      </w:r>
      <w:r w:rsidR="00EA28EA" w:rsidRPr="00E15DAE">
        <w:rPr>
          <w:rFonts w:eastAsiaTheme="minorEastAsia"/>
          <w:lang w:eastAsia="zh-CN"/>
        </w:rPr>
        <w:t xml:space="preserve">aucun </w:t>
      </w:r>
      <w:r w:rsidR="00EA28EA">
        <w:rPr>
          <w:rFonts w:eastAsiaTheme="minorEastAsia"/>
          <w:lang w:eastAsia="zh-CN"/>
        </w:rPr>
        <w:t xml:space="preserve">comportement illicite </w:t>
      </w:r>
      <w:r w:rsidR="00EA28EA" w:rsidRPr="00E15DAE">
        <w:rPr>
          <w:rFonts w:eastAsiaTheme="minorEastAsia"/>
          <w:lang w:eastAsia="zh-CN"/>
        </w:rPr>
        <w:t xml:space="preserve">ne peut être reproché au </w:t>
      </w:r>
      <w:r w:rsidR="00EA28EA">
        <w:rPr>
          <w:rFonts w:eastAsiaTheme="minorEastAsia"/>
          <w:lang w:eastAsia="zh-CN"/>
        </w:rPr>
        <w:t>conducteur</w:t>
      </w:r>
      <w:r w:rsidR="00EA28EA" w:rsidRPr="00E15DAE">
        <w:rPr>
          <w:rFonts w:eastAsiaTheme="minorEastAsia"/>
          <w:lang w:eastAsia="zh-CN"/>
        </w:rPr>
        <w:t xml:space="preserve">. </w:t>
      </w:r>
      <w:r w:rsidR="00EA28EA">
        <w:rPr>
          <w:rFonts w:eastAsiaTheme="minorEastAsia"/>
          <w:lang w:eastAsia="zh-CN"/>
        </w:rPr>
        <w:t>Une v</w:t>
      </w:r>
      <w:r w:rsidR="00EA28EA" w:rsidRPr="00E15DAE">
        <w:rPr>
          <w:rFonts w:eastAsiaTheme="minorEastAsia"/>
          <w:lang w:eastAsia="zh-CN"/>
        </w:rPr>
        <w:t>idange du système de tube lors du changement du produit n’est pas prescrite dans l’ADR</w:t>
      </w:r>
      <w:r w:rsidR="00EA28EA">
        <w:rPr>
          <w:rFonts w:eastAsiaTheme="minorEastAsia"/>
          <w:lang w:eastAsia="zh-CN"/>
        </w:rPr>
        <w:t>.</w:t>
      </w:r>
    </w:p>
    <w:p w:rsidR="00EA28EA" w:rsidRPr="00E15DAE" w:rsidRDefault="00AF514D" w:rsidP="00AF514D">
      <w:pPr>
        <w:pStyle w:val="SingleTxtG"/>
        <w:suppressAutoHyphens w:val="0"/>
        <w:kinsoku/>
        <w:overflowPunct/>
        <w:autoSpaceDE/>
        <w:autoSpaceDN/>
        <w:adjustRightInd/>
        <w:snapToGrid/>
        <w:spacing w:line="260" w:lineRule="atLeast"/>
        <w:ind w:left="1494" w:firstLine="207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g)</w:t>
      </w:r>
      <w:r>
        <w:rPr>
          <w:rFonts w:eastAsiaTheme="minorEastAsia"/>
          <w:lang w:eastAsia="zh-CN"/>
        </w:rPr>
        <w:tab/>
      </w:r>
      <w:r w:rsidR="00EA28EA" w:rsidRPr="00E15DAE">
        <w:rPr>
          <w:rFonts w:eastAsiaTheme="minorEastAsia"/>
          <w:lang w:eastAsia="zh-CN"/>
        </w:rPr>
        <w:t xml:space="preserve">Selon </w:t>
      </w:r>
      <w:r w:rsidR="00EA28EA">
        <w:rPr>
          <w:rFonts w:eastAsiaTheme="minorEastAsia"/>
          <w:lang w:eastAsia="zh-CN"/>
        </w:rPr>
        <w:t xml:space="preserve">un sondage </w:t>
      </w:r>
      <w:r w:rsidR="00EA28EA" w:rsidRPr="00E15DAE">
        <w:rPr>
          <w:rFonts w:eastAsiaTheme="minorEastAsia"/>
          <w:lang w:eastAsia="zh-CN"/>
        </w:rPr>
        <w:t xml:space="preserve">au sein des forces de l’ordre, en cas d’urgence il </w:t>
      </w:r>
      <w:r w:rsidR="00EA28EA">
        <w:rPr>
          <w:rFonts w:eastAsiaTheme="minorEastAsia"/>
          <w:lang w:eastAsia="zh-CN"/>
        </w:rPr>
        <w:t>vaudrait mieux</w:t>
      </w:r>
      <w:r w:rsidR="00EA28EA" w:rsidRPr="00E15DAE">
        <w:rPr>
          <w:rFonts w:eastAsiaTheme="minorEastAsia"/>
          <w:lang w:eastAsia="zh-CN"/>
        </w:rPr>
        <w:t xml:space="preserve"> </w:t>
      </w:r>
      <w:r w:rsidR="00EA28EA">
        <w:rPr>
          <w:rFonts w:eastAsiaTheme="minorEastAsia"/>
          <w:lang w:eastAsia="zh-CN"/>
        </w:rPr>
        <w:t>que le marquage mette en évidence le</w:t>
      </w:r>
      <w:r w:rsidR="00EA28EA" w:rsidRPr="00E15DAE">
        <w:rPr>
          <w:rFonts w:eastAsiaTheme="minorEastAsia"/>
          <w:lang w:eastAsia="zh-CN"/>
        </w:rPr>
        <w:t xml:space="preserve"> danger des vapeurs d’essence</w:t>
      </w:r>
      <w:r w:rsidR="00EA28EA">
        <w:rPr>
          <w:rFonts w:eastAsiaTheme="minorEastAsia"/>
          <w:lang w:eastAsia="zh-CN"/>
        </w:rPr>
        <w:t>.</w:t>
      </w:r>
    </w:p>
    <w:p w:rsidR="00EA28EA" w:rsidRDefault="00EA28EA" w:rsidP="00EA28EA">
      <w:pPr>
        <w:pStyle w:val="SingleTxtG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lastRenderedPageBreak/>
        <w:t>4</w:t>
      </w:r>
      <w:r w:rsidRPr="00A24D29">
        <w:rPr>
          <w:rFonts w:eastAsiaTheme="minorEastAsia"/>
          <w:lang w:eastAsia="zh-CN"/>
        </w:rPr>
        <w:t>.</w:t>
      </w:r>
      <w:r w:rsidRPr="00A24D29">
        <w:rPr>
          <w:rFonts w:eastAsiaTheme="minorEastAsia"/>
          <w:lang w:eastAsia="zh-CN"/>
        </w:rPr>
        <w:tab/>
        <w:t>Le "</w:t>
      </w:r>
      <w:proofErr w:type="spellStart"/>
      <w:r w:rsidRPr="00A24D29">
        <w:rPr>
          <w:rFonts w:eastAsiaTheme="minorEastAsia"/>
          <w:lang w:eastAsia="zh-CN"/>
        </w:rPr>
        <w:t>bio-diesel</w:t>
      </w:r>
      <w:proofErr w:type="spellEnd"/>
      <w:r w:rsidRPr="00A24D29">
        <w:rPr>
          <w:rFonts w:eastAsiaTheme="minorEastAsia"/>
          <w:lang w:eastAsia="zh-CN"/>
        </w:rPr>
        <w:t>" pur, est aussi appelé FAME (</w:t>
      </w:r>
      <w:proofErr w:type="spellStart"/>
      <w:r w:rsidRPr="00A24D29">
        <w:rPr>
          <w:rFonts w:eastAsiaTheme="minorEastAsia"/>
          <w:lang w:eastAsia="zh-CN"/>
        </w:rPr>
        <w:t>methyl</w:t>
      </w:r>
      <w:proofErr w:type="spellEnd"/>
      <w:r w:rsidRPr="00A24D29">
        <w:rPr>
          <w:rFonts w:eastAsiaTheme="minorEastAsia"/>
          <w:lang w:eastAsia="zh-CN"/>
        </w:rPr>
        <w:t xml:space="preserve"> ester d’acide gras 100%), </w:t>
      </w:r>
      <w:r w:rsidRPr="002E033F">
        <w:rPr>
          <w:rFonts w:eastAsiaTheme="minorEastAsia"/>
          <w:lang w:eastAsia="zh-CN"/>
        </w:rPr>
        <w:t xml:space="preserve">n’est pas classé comme dangereux. Le point d’éclair de ce produit est nettement supérieur à </w:t>
      </w:r>
      <w:r w:rsidR="0091095A">
        <w:rPr>
          <w:rFonts w:eastAsiaTheme="minorEastAsia"/>
          <w:lang w:eastAsia="zh-CN"/>
        </w:rPr>
        <w:br/>
      </w:r>
      <w:r w:rsidRPr="002E033F">
        <w:rPr>
          <w:rFonts w:eastAsiaTheme="minorEastAsia"/>
          <w:lang w:eastAsia="zh-CN"/>
        </w:rPr>
        <w:t>100 °C =&gt;</w:t>
      </w:r>
      <w:r w:rsidR="00AF514D">
        <w:rPr>
          <w:rFonts w:eastAsiaTheme="minorEastAsia"/>
          <w:lang w:eastAsia="zh-CN"/>
        </w:rPr>
        <w:t>.</w:t>
      </w:r>
      <w:r w:rsidRPr="002E033F">
        <w:rPr>
          <w:rFonts w:eastAsiaTheme="minorEastAsia"/>
          <w:lang w:eastAsia="zh-CN"/>
        </w:rPr>
        <w:t xml:space="preserve"> Aucun marquage </w:t>
      </w:r>
      <w:r>
        <w:rPr>
          <w:rFonts w:eastAsiaTheme="minorEastAsia"/>
          <w:lang w:eastAsia="zh-CN"/>
        </w:rPr>
        <w:t>comme</w:t>
      </w:r>
      <w:r w:rsidRPr="002E033F">
        <w:rPr>
          <w:rFonts w:eastAsiaTheme="minorEastAsia"/>
          <w:lang w:eastAsia="zh-CN"/>
        </w:rPr>
        <w:t xml:space="preserve"> marchandises dangereuses.</w:t>
      </w:r>
    </w:p>
    <w:p w:rsidR="00EA28EA" w:rsidRPr="002E033F" w:rsidRDefault="00EA28EA" w:rsidP="00EA28EA">
      <w:pPr>
        <w:pStyle w:val="SingleTxtG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5.</w:t>
      </w:r>
      <w:r>
        <w:rPr>
          <w:rFonts w:eastAsiaTheme="minorEastAsia"/>
          <w:lang w:eastAsia="zh-CN"/>
        </w:rPr>
        <w:tab/>
        <w:t xml:space="preserve">Dans le cas où il s’agit de </w:t>
      </w:r>
      <w:proofErr w:type="spellStart"/>
      <w:r w:rsidRPr="002E033F">
        <w:rPr>
          <w:rFonts w:eastAsiaTheme="minorEastAsia"/>
          <w:lang w:eastAsia="zh-CN"/>
        </w:rPr>
        <w:t>bio-diesel</w:t>
      </w:r>
      <w:proofErr w:type="spellEnd"/>
      <w:r w:rsidRPr="002E033F">
        <w:rPr>
          <w:rFonts w:eastAsiaTheme="minorEastAsia"/>
          <w:lang w:eastAsia="zh-CN"/>
        </w:rPr>
        <w:t xml:space="preserve"> B7, </w:t>
      </w:r>
      <w:r>
        <w:rPr>
          <w:rFonts w:eastAsiaTheme="minorEastAsia"/>
          <w:lang w:eastAsia="zh-CN"/>
        </w:rPr>
        <w:t>il s’agit d’</w:t>
      </w:r>
      <w:r w:rsidRPr="002E033F">
        <w:rPr>
          <w:rFonts w:eastAsiaTheme="minorEastAsia"/>
          <w:lang w:eastAsia="zh-CN"/>
        </w:rPr>
        <w:t xml:space="preserve">un mélange de </w:t>
      </w:r>
      <w:r>
        <w:rPr>
          <w:rFonts w:eastAsiaTheme="minorEastAsia"/>
          <w:lang w:eastAsia="zh-CN"/>
        </w:rPr>
        <w:t>FAME</w:t>
      </w:r>
      <w:r w:rsidRPr="002E033F">
        <w:rPr>
          <w:rFonts w:eastAsiaTheme="minorEastAsia"/>
          <w:lang w:eastAsia="zh-CN"/>
        </w:rPr>
        <w:t xml:space="preserve"> et de gazole (7 % FAME + diesel de 93 %). </w:t>
      </w:r>
      <w:r>
        <w:rPr>
          <w:rFonts w:eastAsiaTheme="minorEastAsia"/>
          <w:lang w:eastAsia="zh-CN"/>
        </w:rPr>
        <w:t>Les propriétés de c</w:t>
      </w:r>
      <w:r w:rsidRPr="002E033F">
        <w:rPr>
          <w:rFonts w:eastAsiaTheme="minorEastAsia"/>
          <w:lang w:eastAsia="zh-CN"/>
        </w:rPr>
        <w:t xml:space="preserve">e produit </w:t>
      </w:r>
      <w:r>
        <w:rPr>
          <w:rFonts w:eastAsiaTheme="minorEastAsia"/>
          <w:lang w:eastAsia="zh-CN"/>
        </w:rPr>
        <w:t>sont celles du diesel normal.</w:t>
      </w:r>
      <w:r w:rsidRPr="002E033F">
        <w:rPr>
          <w:rFonts w:eastAsiaTheme="minorEastAsia"/>
          <w:lang w:eastAsia="zh-CN"/>
        </w:rPr>
        <w:t xml:space="preserve"> Le point d’éclair du produit est </w:t>
      </w:r>
      <w:r>
        <w:rPr>
          <w:rFonts w:eastAsiaTheme="minorEastAsia"/>
          <w:lang w:eastAsia="zh-CN"/>
        </w:rPr>
        <w:t xml:space="preserve">supérieur à </w:t>
      </w:r>
      <w:r w:rsidRPr="002E033F">
        <w:rPr>
          <w:rFonts w:eastAsiaTheme="minorEastAsia"/>
          <w:lang w:eastAsia="zh-CN"/>
        </w:rPr>
        <w:t xml:space="preserve">55,0 °C =&gt; </w:t>
      </w:r>
      <w:r>
        <w:rPr>
          <w:rFonts w:eastAsiaTheme="minorEastAsia"/>
          <w:lang w:eastAsia="zh-CN"/>
        </w:rPr>
        <w:t xml:space="preserve">signalisation </w:t>
      </w:r>
      <w:r w:rsidRPr="002E033F">
        <w:rPr>
          <w:rFonts w:eastAsiaTheme="minorEastAsia"/>
          <w:lang w:eastAsia="zh-CN"/>
        </w:rPr>
        <w:t xml:space="preserve">des marchandises dangereuses </w:t>
      </w:r>
      <w:r>
        <w:rPr>
          <w:rFonts w:eastAsiaTheme="minorEastAsia"/>
          <w:lang w:eastAsia="zh-CN"/>
        </w:rPr>
        <w:t xml:space="preserve">avec </w:t>
      </w:r>
      <w:r w:rsidR="00506F03">
        <w:rPr>
          <w:rFonts w:eastAsiaTheme="minorEastAsia"/>
          <w:lang w:eastAsia="zh-CN"/>
        </w:rPr>
        <w:t xml:space="preserve">1202/30 </w:t>
      </w:r>
      <w:r w:rsidRPr="002E033F">
        <w:rPr>
          <w:rFonts w:eastAsiaTheme="minorEastAsia"/>
          <w:lang w:eastAsia="zh-CN"/>
        </w:rPr>
        <w:t>Classe 3, risque pour l’environnement.</w:t>
      </w:r>
    </w:p>
    <w:p w:rsidR="00EA28EA" w:rsidRDefault="00EA28EA" w:rsidP="00EA28EA">
      <w:pPr>
        <w:pStyle w:val="SingleTxtG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6</w:t>
      </w:r>
      <w:r w:rsidRPr="002E033F">
        <w:rPr>
          <w:rFonts w:eastAsiaTheme="minorEastAsia"/>
          <w:lang w:eastAsia="zh-CN"/>
        </w:rPr>
        <w:t>.</w:t>
      </w:r>
      <w:r w:rsidRPr="002E033F"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>L’e</w:t>
      </w:r>
      <w:r w:rsidRPr="002E033F">
        <w:rPr>
          <w:rFonts w:eastAsiaTheme="minorEastAsia"/>
          <w:lang w:eastAsia="zh-CN"/>
        </w:rPr>
        <w:t>ssence a un point d’éclair très</w:t>
      </w:r>
      <w:r>
        <w:rPr>
          <w:rFonts w:eastAsiaTheme="minorEastAsia"/>
          <w:lang w:eastAsia="zh-CN"/>
        </w:rPr>
        <w:t xml:space="preserve"> faible, bien au-dessous de 0 °</w:t>
      </w:r>
      <w:r w:rsidRPr="002E033F">
        <w:rPr>
          <w:rFonts w:eastAsiaTheme="minorEastAsia"/>
          <w:lang w:eastAsia="zh-CN"/>
        </w:rPr>
        <w:t xml:space="preserve">C. </w:t>
      </w:r>
      <w:r>
        <w:rPr>
          <w:rFonts w:eastAsiaTheme="minorEastAsia"/>
          <w:lang w:eastAsia="zh-CN"/>
        </w:rPr>
        <w:t>De</w:t>
      </w:r>
      <w:r w:rsidRPr="002E033F">
        <w:rPr>
          <w:rFonts w:eastAsiaTheme="minorEastAsia"/>
          <w:lang w:eastAsia="zh-CN"/>
        </w:rPr>
        <w:t xml:space="preserve"> petites quantités d’essence peuvent </w:t>
      </w:r>
      <w:r>
        <w:rPr>
          <w:rFonts w:eastAsiaTheme="minorEastAsia"/>
          <w:lang w:eastAsia="zh-CN"/>
        </w:rPr>
        <w:t xml:space="preserve">déjà </w:t>
      </w:r>
      <w:r w:rsidRPr="002E033F">
        <w:rPr>
          <w:rFonts w:eastAsiaTheme="minorEastAsia"/>
          <w:lang w:eastAsia="zh-CN"/>
        </w:rPr>
        <w:t xml:space="preserve">faire baisser considérablement le </w:t>
      </w:r>
      <w:r>
        <w:rPr>
          <w:rFonts w:eastAsiaTheme="minorEastAsia"/>
          <w:lang w:eastAsia="zh-CN"/>
        </w:rPr>
        <w:t>point d’éclair</w:t>
      </w:r>
      <w:r w:rsidRPr="002E033F">
        <w:rPr>
          <w:rFonts w:eastAsiaTheme="minorEastAsia"/>
          <w:lang w:eastAsia="zh-CN"/>
        </w:rPr>
        <w:t xml:space="preserve"> (0,5 % de teneur en essence abaisse le poin</w:t>
      </w:r>
      <w:r>
        <w:rPr>
          <w:rFonts w:eastAsiaTheme="minorEastAsia"/>
          <w:lang w:eastAsia="zh-CN"/>
        </w:rPr>
        <w:t>t d’éclair du carburant diesel d’</w:t>
      </w:r>
      <w:r w:rsidRPr="002E033F">
        <w:rPr>
          <w:rFonts w:eastAsiaTheme="minorEastAsia"/>
          <w:lang w:eastAsia="zh-CN"/>
        </w:rPr>
        <w:t>environ 10 °C). Dans des cas extrêmes, cela peut affecter la qualité du produit (la non-conformité avec l</w:t>
      </w:r>
      <w:r>
        <w:rPr>
          <w:rFonts w:eastAsiaTheme="minorEastAsia"/>
          <w:lang w:eastAsia="zh-CN"/>
        </w:rPr>
        <w:t>es limites de l</w:t>
      </w:r>
      <w:r w:rsidRPr="002E033F">
        <w:rPr>
          <w:rFonts w:eastAsiaTheme="minorEastAsia"/>
          <w:lang w:eastAsia="zh-CN"/>
        </w:rPr>
        <w:t xml:space="preserve">a norme limite) et </w:t>
      </w:r>
      <w:r>
        <w:rPr>
          <w:rFonts w:eastAsiaTheme="minorEastAsia"/>
          <w:lang w:eastAsia="zh-CN"/>
        </w:rPr>
        <w:t xml:space="preserve">conduit à ce que le </w:t>
      </w:r>
      <w:r w:rsidRPr="002E033F">
        <w:rPr>
          <w:rFonts w:eastAsiaTheme="minorEastAsia"/>
          <w:lang w:eastAsia="zh-CN"/>
        </w:rPr>
        <w:t>marquage des marchandises dangereuses du v</w:t>
      </w:r>
      <w:r>
        <w:rPr>
          <w:rFonts w:eastAsiaTheme="minorEastAsia"/>
          <w:lang w:eastAsia="zh-CN"/>
        </w:rPr>
        <w:t>éhicule n’est plus correcte (</w:t>
      </w:r>
      <w:r w:rsidRPr="002E033F">
        <w:rPr>
          <w:rFonts w:eastAsiaTheme="minorEastAsia"/>
          <w:lang w:eastAsia="zh-CN"/>
        </w:rPr>
        <w:t xml:space="preserve">non-conformité avec le règlement sur les marchandises dangereuses et </w:t>
      </w:r>
      <w:r>
        <w:rPr>
          <w:rFonts w:eastAsiaTheme="minorEastAsia"/>
          <w:lang w:eastAsia="zh-CN"/>
        </w:rPr>
        <w:t xml:space="preserve">avec </w:t>
      </w:r>
      <w:r w:rsidRPr="002E033F">
        <w:rPr>
          <w:rFonts w:eastAsiaTheme="minorEastAsia"/>
          <w:lang w:eastAsia="zh-CN"/>
        </w:rPr>
        <w:t>d’autres</w:t>
      </w:r>
      <w:r>
        <w:rPr>
          <w:rFonts w:eastAsiaTheme="minorEastAsia"/>
          <w:lang w:eastAsia="zh-CN"/>
        </w:rPr>
        <w:t xml:space="preserve"> réglementations</w:t>
      </w:r>
      <w:r w:rsidRPr="002E033F">
        <w:rPr>
          <w:rFonts w:eastAsiaTheme="minorEastAsia"/>
          <w:lang w:eastAsia="zh-CN"/>
        </w:rPr>
        <w:t>).</w:t>
      </w:r>
    </w:p>
    <w:p w:rsidR="00EA28EA" w:rsidRDefault="00EA28EA" w:rsidP="00EA28EA">
      <w:pPr>
        <w:pStyle w:val="SingleTxtG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7</w:t>
      </w:r>
      <w:r w:rsidRPr="002E033F">
        <w:rPr>
          <w:rFonts w:eastAsiaTheme="minorEastAsia"/>
          <w:lang w:eastAsia="zh-CN"/>
        </w:rPr>
        <w:t>.</w:t>
      </w:r>
      <w:r w:rsidRPr="002E033F"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>Le d</w:t>
      </w:r>
      <w:r w:rsidRPr="002E033F">
        <w:rPr>
          <w:rFonts w:eastAsiaTheme="minorEastAsia"/>
          <w:lang w:eastAsia="zh-CN"/>
        </w:rPr>
        <w:t>iesel pur a un point d’éclair supérieur à 55 °</w:t>
      </w:r>
      <w:r>
        <w:rPr>
          <w:rFonts w:eastAsiaTheme="minorEastAsia"/>
          <w:lang w:eastAsia="zh-CN"/>
        </w:rPr>
        <w:t>C</w:t>
      </w:r>
      <w:r w:rsidRPr="002E033F">
        <w:rPr>
          <w:rFonts w:eastAsiaTheme="minorEastAsia"/>
          <w:lang w:eastAsia="zh-CN"/>
        </w:rPr>
        <w:t xml:space="preserve">, </w:t>
      </w:r>
      <w:r>
        <w:rPr>
          <w:rFonts w:eastAsiaTheme="minorEastAsia"/>
          <w:lang w:eastAsia="zh-CN"/>
        </w:rPr>
        <w:t xml:space="preserve">de sorte que </w:t>
      </w:r>
      <w:r w:rsidRPr="002E033F">
        <w:rPr>
          <w:rFonts w:eastAsiaTheme="minorEastAsia"/>
          <w:lang w:eastAsia="zh-CN"/>
        </w:rPr>
        <w:t xml:space="preserve">le mélange </w:t>
      </w:r>
      <w:r>
        <w:rPr>
          <w:rFonts w:eastAsiaTheme="minorEastAsia"/>
          <w:lang w:eastAsia="zh-CN"/>
        </w:rPr>
        <w:t xml:space="preserve">avec le B7 </w:t>
      </w:r>
      <w:r w:rsidRPr="002E033F">
        <w:rPr>
          <w:rFonts w:eastAsiaTheme="minorEastAsia"/>
          <w:lang w:eastAsia="zh-CN"/>
        </w:rPr>
        <w:t>n’est pas un problème (sauf que c’est une dilution de la p</w:t>
      </w:r>
      <w:r>
        <w:rPr>
          <w:rFonts w:eastAsiaTheme="minorEastAsia"/>
          <w:lang w:eastAsia="zh-CN"/>
        </w:rPr>
        <w:t>o</w:t>
      </w:r>
      <w:r w:rsidRPr="002E033F">
        <w:rPr>
          <w:rFonts w:eastAsiaTheme="minorEastAsia"/>
          <w:lang w:eastAsia="zh-CN"/>
        </w:rPr>
        <w:t>rt</w:t>
      </w:r>
      <w:r>
        <w:rPr>
          <w:rFonts w:eastAsiaTheme="minorEastAsia"/>
          <w:lang w:eastAsia="zh-CN"/>
        </w:rPr>
        <w:t>ion de FAME</w:t>
      </w:r>
      <w:r w:rsidRPr="002E033F">
        <w:rPr>
          <w:rFonts w:eastAsiaTheme="minorEastAsia"/>
          <w:lang w:eastAsia="zh-CN"/>
        </w:rPr>
        <w:t xml:space="preserve">). Cependant </w:t>
      </w:r>
      <w:r>
        <w:rPr>
          <w:rFonts w:eastAsiaTheme="minorEastAsia"/>
          <w:lang w:eastAsia="zh-CN"/>
        </w:rPr>
        <w:t xml:space="preserve">des </w:t>
      </w:r>
      <w:r w:rsidRPr="002E033F">
        <w:rPr>
          <w:rFonts w:eastAsiaTheme="minorEastAsia"/>
          <w:lang w:eastAsia="zh-CN"/>
        </w:rPr>
        <w:t>mélange</w:t>
      </w:r>
      <w:r>
        <w:rPr>
          <w:rFonts w:eastAsiaTheme="minorEastAsia"/>
          <w:lang w:eastAsia="zh-CN"/>
        </w:rPr>
        <w:t>s</w:t>
      </w:r>
      <w:r w:rsidRPr="002E033F">
        <w:rPr>
          <w:rFonts w:eastAsiaTheme="minorEastAsia"/>
          <w:lang w:eastAsia="zh-CN"/>
        </w:rPr>
        <w:t xml:space="preserve"> avec </w:t>
      </w:r>
      <w:r>
        <w:rPr>
          <w:rFonts w:eastAsiaTheme="minorEastAsia"/>
          <w:lang w:eastAsia="zh-CN"/>
        </w:rPr>
        <w:t xml:space="preserve">du FAME </w:t>
      </w:r>
      <w:r w:rsidRPr="002E033F">
        <w:rPr>
          <w:rFonts w:eastAsiaTheme="minorEastAsia"/>
          <w:lang w:eastAsia="zh-CN"/>
        </w:rPr>
        <w:t>pur peut, selon l</w:t>
      </w:r>
      <w:r>
        <w:rPr>
          <w:rFonts w:eastAsiaTheme="minorEastAsia"/>
          <w:lang w:eastAsia="zh-CN"/>
        </w:rPr>
        <w:t>e pourcentage de</w:t>
      </w:r>
      <w:r w:rsidRPr="002E033F">
        <w:rPr>
          <w:rFonts w:eastAsiaTheme="minorEastAsia"/>
          <w:lang w:eastAsia="zh-CN"/>
        </w:rPr>
        <w:t xml:space="preserve"> diesel, abaisser le point d’éclair </w:t>
      </w:r>
      <w:r>
        <w:rPr>
          <w:rFonts w:eastAsiaTheme="minorEastAsia"/>
          <w:lang w:eastAsia="zh-CN"/>
        </w:rPr>
        <w:t xml:space="preserve">à une valeur </w:t>
      </w:r>
      <w:r w:rsidRPr="002E033F">
        <w:rPr>
          <w:rFonts w:eastAsiaTheme="minorEastAsia"/>
          <w:lang w:eastAsia="zh-CN"/>
        </w:rPr>
        <w:t>inférieur</w:t>
      </w:r>
      <w:r>
        <w:rPr>
          <w:rFonts w:eastAsiaTheme="minorEastAsia"/>
          <w:lang w:eastAsia="zh-CN"/>
        </w:rPr>
        <w:t>e</w:t>
      </w:r>
      <w:r w:rsidRPr="002E033F">
        <w:rPr>
          <w:rFonts w:eastAsiaTheme="minorEastAsia"/>
          <w:lang w:eastAsia="zh-CN"/>
        </w:rPr>
        <w:t xml:space="preserve"> à 100 °C,</w:t>
      </w:r>
      <w:r>
        <w:rPr>
          <w:rFonts w:eastAsiaTheme="minorEastAsia"/>
          <w:lang w:eastAsia="zh-CN"/>
        </w:rPr>
        <w:t xml:space="preserve"> de sorte que</w:t>
      </w:r>
      <w:r w:rsidRPr="002E033F">
        <w:rPr>
          <w:rFonts w:eastAsiaTheme="minorEastAsia"/>
          <w:lang w:eastAsia="zh-CN"/>
        </w:rPr>
        <w:t xml:space="preserve"> le mélange devien</w:t>
      </w:r>
      <w:r>
        <w:rPr>
          <w:rFonts w:eastAsiaTheme="minorEastAsia"/>
          <w:lang w:eastAsia="zh-CN"/>
        </w:rPr>
        <w:t>t</w:t>
      </w:r>
      <w:r w:rsidRPr="002E033F">
        <w:rPr>
          <w:rFonts w:eastAsiaTheme="minorEastAsia"/>
          <w:lang w:eastAsia="zh-CN"/>
        </w:rPr>
        <w:t xml:space="preserve"> une marchandise dangereuse.</w:t>
      </w:r>
    </w:p>
    <w:p w:rsidR="00EA28EA" w:rsidRDefault="00AD43D8" w:rsidP="00EA28EA">
      <w:pPr>
        <w:pStyle w:val="SingleTxtG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8</w:t>
      </w:r>
      <w:r w:rsidR="00EA28EA" w:rsidRPr="005F229E">
        <w:rPr>
          <w:rFonts w:eastAsiaTheme="minorEastAsia"/>
          <w:lang w:eastAsia="zh-CN"/>
        </w:rPr>
        <w:t>.</w:t>
      </w:r>
      <w:r w:rsidR="00EA28EA" w:rsidRPr="005F229E">
        <w:rPr>
          <w:rFonts w:eastAsiaTheme="minorEastAsia"/>
          <w:lang w:eastAsia="zh-CN"/>
        </w:rPr>
        <w:tab/>
        <w:t>Selon ce contexte, il est clair que les mélanges de produits dans des véhicules-citernes ou pendant le déchargement doivent être évités</w:t>
      </w:r>
      <w:r w:rsidR="00EA28EA">
        <w:rPr>
          <w:rFonts w:eastAsiaTheme="minorEastAsia"/>
          <w:lang w:eastAsia="zh-CN"/>
        </w:rPr>
        <w:t>.</w:t>
      </w:r>
    </w:p>
    <w:p w:rsidR="00EA28EA" w:rsidRPr="005F229E" w:rsidRDefault="00D37232" w:rsidP="00D37232">
      <w:pPr>
        <w:pStyle w:val="SingleTxtG"/>
        <w:suppressAutoHyphens w:val="0"/>
        <w:kinsoku/>
        <w:overflowPunct/>
        <w:autoSpaceDE/>
        <w:autoSpaceDN/>
        <w:adjustRightInd/>
        <w:snapToGrid/>
        <w:spacing w:line="260" w:lineRule="atLeast"/>
        <w:ind w:firstLine="567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a)</w:t>
      </w:r>
      <w:r>
        <w:rPr>
          <w:rFonts w:eastAsiaTheme="minorEastAsia"/>
          <w:lang w:eastAsia="zh-CN"/>
        </w:rPr>
        <w:tab/>
      </w:r>
      <w:r w:rsidR="00EA28EA" w:rsidRPr="005F229E">
        <w:rPr>
          <w:rFonts w:eastAsiaTheme="minorEastAsia"/>
          <w:lang w:eastAsia="zh-CN"/>
        </w:rPr>
        <w:t xml:space="preserve">Des quantités résiduelles d’un </w:t>
      </w:r>
      <w:r w:rsidR="00EA28EA">
        <w:rPr>
          <w:rFonts w:eastAsiaTheme="minorEastAsia"/>
          <w:lang w:eastAsia="zh-CN"/>
        </w:rPr>
        <w:t xml:space="preserve">chargement </w:t>
      </w:r>
      <w:r w:rsidR="00EA28EA" w:rsidRPr="005F229E">
        <w:rPr>
          <w:rFonts w:eastAsiaTheme="minorEastAsia"/>
          <w:lang w:eastAsia="zh-CN"/>
        </w:rPr>
        <w:t>précédent dans le réservoir - selon le type et la quantité du produit – provoque</w:t>
      </w:r>
      <w:r w:rsidR="00EA28EA">
        <w:rPr>
          <w:rFonts w:eastAsiaTheme="minorEastAsia"/>
          <w:lang w:eastAsia="zh-CN"/>
        </w:rPr>
        <w:t>nt</w:t>
      </w:r>
      <w:r w:rsidR="00EA28EA" w:rsidRPr="005F229E">
        <w:rPr>
          <w:rFonts w:eastAsiaTheme="minorEastAsia"/>
          <w:lang w:eastAsia="zh-CN"/>
        </w:rPr>
        <w:t xml:space="preserve"> des difficultés techniques et réglementaires. Il est possible de vider un véhicule (sans nettoyage) pour que le reste n</w:t>
      </w:r>
      <w:r w:rsidR="00EA28EA">
        <w:rPr>
          <w:rFonts w:eastAsiaTheme="minorEastAsia"/>
          <w:lang w:eastAsia="zh-CN"/>
        </w:rPr>
        <w:t xml:space="preserve">e soit </w:t>
      </w:r>
      <w:r w:rsidR="00EA28EA" w:rsidRPr="005F229E">
        <w:rPr>
          <w:rFonts w:eastAsiaTheme="minorEastAsia"/>
          <w:lang w:eastAsia="zh-CN"/>
        </w:rPr>
        <w:t>plus un problème</w:t>
      </w:r>
      <w:r w:rsidR="00EA28EA">
        <w:rPr>
          <w:rFonts w:eastAsiaTheme="minorEastAsia"/>
          <w:lang w:eastAsia="zh-CN"/>
        </w:rPr>
        <w:t>.</w:t>
      </w:r>
    </w:p>
    <w:p w:rsidR="00EA28EA" w:rsidRPr="005F229E" w:rsidRDefault="00D37232" w:rsidP="00D37232">
      <w:pPr>
        <w:pStyle w:val="SingleTxtG"/>
        <w:suppressAutoHyphens w:val="0"/>
        <w:kinsoku/>
        <w:overflowPunct/>
        <w:autoSpaceDE/>
        <w:autoSpaceDN/>
        <w:adjustRightInd/>
        <w:snapToGrid/>
        <w:spacing w:line="260" w:lineRule="atLeast"/>
        <w:ind w:firstLine="567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b)</w:t>
      </w:r>
      <w:r>
        <w:rPr>
          <w:rFonts w:eastAsiaTheme="minorEastAsia"/>
          <w:lang w:eastAsia="zh-CN"/>
        </w:rPr>
        <w:tab/>
      </w:r>
      <w:r w:rsidR="00EA28EA">
        <w:rPr>
          <w:rFonts w:eastAsiaTheme="minorEastAsia"/>
          <w:lang w:eastAsia="zh-CN"/>
        </w:rPr>
        <w:t>Une q</w:t>
      </w:r>
      <w:r w:rsidR="00EA28EA" w:rsidRPr="005F229E">
        <w:rPr>
          <w:rFonts w:eastAsiaTheme="minorEastAsia"/>
          <w:lang w:eastAsia="zh-CN"/>
        </w:rPr>
        <w:t xml:space="preserve">uantité résiduelle dans les tuyaux ne posent aucun problème pour le transport de produits purs. </w:t>
      </w:r>
      <w:r w:rsidR="00EA28EA">
        <w:rPr>
          <w:rFonts w:eastAsiaTheme="minorEastAsia"/>
          <w:lang w:eastAsia="zh-CN"/>
        </w:rPr>
        <w:t>Le ch</w:t>
      </w:r>
      <w:r w:rsidR="00EA28EA" w:rsidRPr="005F229E">
        <w:rPr>
          <w:rFonts w:eastAsiaTheme="minorEastAsia"/>
          <w:lang w:eastAsia="zh-CN"/>
        </w:rPr>
        <w:t>angement de produit peut être un problème, si le contenu n’est pas vidé.</w:t>
      </w:r>
    </w:p>
    <w:p w:rsidR="00EA28EA" w:rsidRPr="005F229E" w:rsidRDefault="00D37232" w:rsidP="00D37232">
      <w:pPr>
        <w:pStyle w:val="SingleTxtG"/>
        <w:suppressAutoHyphens w:val="0"/>
        <w:kinsoku/>
        <w:overflowPunct/>
        <w:autoSpaceDE/>
        <w:autoSpaceDN/>
        <w:adjustRightInd/>
        <w:snapToGrid/>
        <w:spacing w:line="260" w:lineRule="atLeast"/>
        <w:ind w:firstLine="567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c)</w:t>
      </w:r>
      <w:r>
        <w:rPr>
          <w:rFonts w:eastAsiaTheme="minorEastAsia"/>
          <w:lang w:eastAsia="zh-CN"/>
        </w:rPr>
        <w:tab/>
      </w:r>
      <w:r w:rsidR="00EA28EA" w:rsidRPr="005F229E">
        <w:rPr>
          <w:rFonts w:eastAsiaTheme="minorEastAsia"/>
          <w:lang w:eastAsia="zh-CN"/>
        </w:rPr>
        <w:t xml:space="preserve">Des vapeurs d’essence d’une charge précédente peuvent également être un problème, si elles ne sont pas contrôlées afin d’empêcher leur libération. Les véhicules-citernes d’essence ont généralement une connexion de recirculation de gaz (vapeur) qui peut être connecté même </w:t>
      </w:r>
      <w:r w:rsidR="00EA28EA">
        <w:rPr>
          <w:rFonts w:eastAsiaTheme="minorEastAsia"/>
          <w:lang w:eastAsia="zh-CN"/>
        </w:rPr>
        <w:t>dans le</w:t>
      </w:r>
      <w:r w:rsidR="00EA28EA" w:rsidRPr="005F229E">
        <w:rPr>
          <w:rFonts w:eastAsiaTheme="minorEastAsia"/>
          <w:lang w:eastAsia="zh-CN"/>
        </w:rPr>
        <w:t xml:space="preserve"> cas </w:t>
      </w:r>
      <w:r w:rsidR="00EA28EA">
        <w:rPr>
          <w:rFonts w:eastAsiaTheme="minorEastAsia"/>
          <w:lang w:eastAsia="zh-CN"/>
        </w:rPr>
        <w:t>de remplissages avec du</w:t>
      </w:r>
      <w:r w:rsidR="00EA28EA" w:rsidRPr="005F229E">
        <w:rPr>
          <w:rFonts w:eastAsiaTheme="minorEastAsia"/>
          <w:lang w:eastAsia="zh-CN"/>
        </w:rPr>
        <w:t xml:space="preserve"> diesel ou </w:t>
      </w:r>
      <w:r w:rsidR="00EA28EA">
        <w:rPr>
          <w:rFonts w:eastAsiaTheme="minorEastAsia"/>
          <w:lang w:eastAsia="zh-CN"/>
        </w:rPr>
        <w:t xml:space="preserve">du </w:t>
      </w:r>
      <w:r w:rsidR="00EA28EA" w:rsidRPr="005F229E">
        <w:rPr>
          <w:rFonts w:eastAsiaTheme="minorEastAsia"/>
          <w:lang w:eastAsia="zh-CN"/>
        </w:rPr>
        <w:t>B7 dans un</w:t>
      </w:r>
      <w:r w:rsidR="00EA28EA">
        <w:rPr>
          <w:rFonts w:eastAsiaTheme="minorEastAsia"/>
          <w:lang w:eastAsia="zh-CN"/>
        </w:rPr>
        <w:t xml:space="preserve"> dépôt de produits pétroliers.</w:t>
      </w:r>
      <w:r w:rsidR="00EA28EA" w:rsidRPr="005F229E">
        <w:rPr>
          <w:rFonts w:eastAsiaTheme="minorEastAsia"/>
          <w:lang w:eastAsia="zh-CN"/>
        </w:rPr>
        <w:t xml:space="preserve"> </w:t>
      </w:r>
      <w:r w:rsidR="00EA28EA">
        <w:rPr>
          <w:rFonts w:eastAsiaTheme="minorEastAsia"/>
          <w:lang w:eastAsia="zh-CN"/>
        </w:rPr>
        <w:t>Les dépôts de produits pétroliers du diesel p</w:t>
      </w:r>
      <w:r w:rsidR="00EA28EA" w:rsidRPr="005F229E">
        <w:rPr>
          <w:rFonts w:eastAsiaTheme="minorEastAsia"/>
          <w:lang w:eastAsia="zh-CN"/>
        </w:rPr>
        <w:t xml:space="preserve">ur / </w:t>
      </w:r>
      <w:r w:rsidR="00EA28EA">
        <w:rPr>
          <w:rFonts w:eastAsiaTheme="minorEastAsia"/>
          <w:lang w:eastAsia="zh-CN"/>
        </w:rPr>
        <w:t>huile de chauffage/ m</w:t>
      </w:r>
      <w:r w:rsidR="00EA28EA" w:rsidRPr="005F229E">
        <w:rPr>
          <w:rFonts w:eastAsiaTheme="minorEastAsia"/>
          <w:lang w:eastAsia="zh-CN"/>
        </w:rPr>
        <w:t>azout n’ont aucun</w:t>
      </w:r>
      <w:r w:rsidR="00EA28EA">
        <w:rPr>
          <w:rFonts w:eastAsiaTheme="minorEastAsia"/>
          <w:lang w:eastAsia="zh-CN"/>
        </w:rPr>
        <w:t>e</w:t>
      </w:r>
      <w:r w:rsidR="00EA28EA" w:rsidRPr="005F229E">
        <w:rPr>
          <w:rFonts w:eastAsiaTheme="minorEastAsia"/>
          <w:lang w:eastAsia="zh-CN"/>
        </w:rPr>
        <w:t xml:space="preserve"> installations de recyclage </w:t>
      </w:r>
      <w:r w:rsidR="00EA28EA">
        <w:rPr>
          <w:rFonts w:eastAsiaTheme="minorEastAsia"/>
          <w:lang w:eastAsia="zh-CN"/>
        </w:rPr>
        <w:t xml:space="preserve">des </w:t>
      </w:r>
      <w:proofErr w:type="gramStart"/>
      <w:r w:rsidR="00EA28EA" w:rsidRPr="005F229E">
        <w:rPr>
          <w:rFonts w:eastAsiaTheme="minorEastAsia"/>
          <w:lang w:eastAsia="zh-CN"/>
        </w:rPr>
        <w:t>gaz,</w:t>
      </w:r>
      <w:r w:rsidR="00EA28EA">
        <w:rPr>
          <w:rFonts w:eastAsiaTheme="minorEastAsia"/>
          <w:lang w:eastAsia="zh-CN"/>
        </w:rPr>
        <w:t>.</w:t>
      </w:r>
      <w:proofErr w:type="gramEnd"/>
      <w:r w:rsidR="00EA28EA">
        <w:rPr>
          <w:rFonts w:eastAsiaTheme="minorEastAsia"/>
          <w:lang w:eastAsia="zh-CN"/>
        </w:rPr>
        <w:t xml:space="preserve"> C’est également le cas pour la</w:t>
      </w:r>
      <w:r w:rsidR="00EA28EA" w:rsidRPr="005F229E">
        <w:rPr>
          <w:rFonts w:eastAsiaTheme="minorEastAsia"/>
          <w:lang w:eastAsia="zh-CN"/>
        </w:rPr>
        <w:t xml:space="preserve"> plupart des producteurs de FAME.</w:t>
      </w:r>
    </w:p>
    <w:p w:rsidR="00EA28EA" w:rsidRPr="005F229E" w:rsidRDefault="00EA28EA" w:rsidP="00EA28EA">
      <w:pPr>
        <w:pStyle w:val="HChG"/>
        <w:ind w:firstLine="0"/>
      </w:pPr>
      <w:r w:rsidRPr="005F229E">
        <w:t>Questions</w:t>
      </w:r>
    </w:p>
    <w:p w:rsidR="00EA28EA" w:rsidRDefault="00F67807" w:rsidP="00EA28EA">
      <w:pPr>
        <w:pStyle w:val="SingleTxtG"/>
        <w:tabs>
          <w:tab w:val="left" w:pos="1701"/>
        </w:tabs>
        <w:ind w:left="2268" w:hanging="1134"/>
      </w:pPr>
      <w:r>
        <w:t>9</w:t>
      </w:r>
      <w:r w:rsidR="00EA28EA" w:rsidRPr="005F229E">
        <w:t>.</w:t>
      </w:r>
      <w:r w:rsidR="00EA28EA" w:rsidRPr="005F229E">
        <w:tab/>
        <w:t>a</w:t>
      </w:r>
      <w:r w:rsidR="00DD0198">
        <w:t>)</w:t>
      </w:r>
      <w:r w:rsidR="00EA28EA" w:rsidRPr="005F229E">
        <w:tab/>
        <w:t>Une telle procédure (aucune vidange des tubes avant de changer le produit chargé) correspo</w:t>
      </w:r>
      <w:r w:rsidR="00EA28EA">
        <w:t>nd-elle à l’état de la technique</w:t>
      </w:r>
      <w:r w:rsidR="00EA28EA" w:rsidRPr="005F229E">
        <w:t> ? Si ce n’est pas le cas, nous pouvons l’interdi</w:t>
      </w:r>
      <w:r w:rsidR="00EA28EA">
        <w:t>re</w:t>
      </w:r>
      <w:r w:rsidR="00EA28EA" w:rsidRPr="005F229E">
        <w:t xml:space="preserve"> dans l’ADR ou doit-on prendre en considération les dangers réels dans le véhicule-citerne et appliquer les marques correspondantes et les informations de la documentation ?</w:t>
      </w:r>
    </w:p>
    <w:p w:rsidR="00EA28EA" w:rsidRDefault="00EA28EA" w:rsidP="00EA28EA">
      <w:pPr>
        <w:pStyle w:val="SingleTxtG"/>
        <w:ind w:left="2268" w:hanging="567"/>
      </w:pPr>
      <w:r w:rsidRPr="0094174A">
        <w:t>b</w:t>
      </w:r>
      <w:r w:rsidR="00DD0198">
        <w:t>)</w:t>
      </w:r>
      <w:r w:rsidRPr="0094174A">
        <w:tab/>
        <w:t>Dans le passé, nous avons défini le transport d’additifs dans les véhicules-citernes (</w:t>
      </w:r>
      <w:r>
        <w:t xml:space="preserve">DS </w:t>
      </w:r>
      <w:r w:rsidRPr="0094174A">
        <w:t xml:space="preserve">664 pour </w:t>
      </w:r>
      <w:r>
        <w:t xml:space="preserve">une </w:t>
      </w:r>
      <w:r w:rsidRPr="0094174A">
        <w:t xml:space="preserve">capacité </w:t>
      </w:r>
      <w:r>
        <w:t xml:space="preserve">de </w:t>
      </w:r>
      <w:r w:rsidRPr="0094174A">
        <w:t xml:space="preserve">400 </w:t>
      </w:r>
      <w:r w:rsidR="00D37232" w:rsidRPr="00D37232">
        <w:rPr>
          <w:i/>
          <w:iCs/>
        </w:rPr>
        <w:t>l</w:t>
      </w:r>
      <w:r w:rsidRPr="0094174A">
        <w:t xml:space="preserve">. Étant donné que les quantités de marchandises dangereuses restant dans les tuyaux ne sont apparemment pas </w:t>
      </w:r>
      <w:r>
        <w:t>négligeables</w:t>
      </w:r>
      <w:r w:rsidR="00D37232">
        <w:t xml:space="preserve"> (plus de 100 </w:t>
      </w:r>
      <w:r w:rsidR="00D37232">
        <w:rPr>
          <w:i/>
          <w:iCs/>
        </w:rPr>
        <w:t>l</w:t>
      </w:r>
      <w:r w:rsidRPr="0094174A">
        <w:t xml:space="preserve">), </w:t>
      </w:r>
      <w:r>
        <w:t xml:space="preserve">est-ce que </w:t>
      </w:r>
      <w:r w:rsidRPr="0094174A">
        <w:t xml:space="preserve">l’introduction dans l’ADR d’une </w:t>
      </w:r>
      <w:r w:rsidRPr="0094174A">
        <w:lastRenderedPageBreak/>
        <w:t xml:space="preserve">approche similaire à celle des additifs serait </w:t>
      </w:r>
      <w:r>
        <w:t>néc</w:t>
      </w:r>
      <w:r w:rsidRPr="0094174A">
        <w:t>essaire pour des raisons de sécurité ?</w:t>
      </w:r>
    </w:p>
    <w:p w:rsidR="00EA28EA" w:rsidRDefault="00EA28EA" w:rsidP="00EA28EA">
      <w:pPr>
        <w:pStyle w:val="SingleTxtG"/>
        <w:ind w:left="2268" w:hanging="567"/>
      </w:pPr>
      <w:r w:rsidRPr="0094174A">
        <w:t>c</w:t>
      </w:r>
      <w:r w:rsidR="00BD2D68">
        <w:t>)</w:t>
      </w:r>
      <w:r w:rsidRPr="0094174A">
        <w:tab/>
        <w:t>Est-il intéressant d</w:t>
      </w:r>
      <w:r>
        <w:t xml:space="preserve">e prendre en considération </w:t>
      </w:r>
      <w:r w:rsidRPr="0094174A">
        <w:t xml:space="preserve">les vapeurs d’essence </w:t>
      </w:r>
      <w:r>
        <w:t xml:space="preserve">résiduelles </w:t>
      </w:r>
      <w:r w:rsidR="00D37232">
        <w:t>(ONU</w:t>
      </w:r>
      <w:r w:rsidRPr="0094174A">
        <w:t xml:space="preserve"> 120</w:t>
      </w:r>
      <w:r>
        <w:t>3</w:t>
      </w:r>
      <w:r w:rsidRPr="0094174A">
        <w:t>) contenue</w:t>
      </w:r>
      <w:r>
        <w:t>s</w:t>
      </w:r>
      <w:r w:rsidRPr="0094174A">
        <w:t xml:space="preserve"> dans le compartiment après le remplissage </w:t>
      </w:r>
      <w:r>
        <w:t>avec du</w:t>
      </w:r>
      <w:r w:rsidRPr="0094174A">
        <w:t xml:space="preserve"> diesel (ONU 1202) ou </w:t>
      </w:r>
      <w:r>
        <w:t xml:space="preserve">du </w:t>
      </w:r>
      <w:r w:rsidRPr="0094174A">
        <w:t>biodiesel</w:t>
      </w:r>
      <w:r>
        <w:t> ?</w:t>
      </w:r>
    </w:p>
    <w:p w:rsidR="00EA28EA" w:rsidRDefault="00F67807" w:rsidP="00EA28EA">
      <w:pPr>
        <w:pStyle w:val="SingleTxtG"/>
        <w:ind w:left="1560" w:hanging="426"/>
      </w:pPr>
      <w:r>
        <w:t>10</w:t>
      </w:r>
      <w:r w:rsidR="00EA28EA" w:rsidRPr="0094174A">
        <w:t>.</w:t>
      </w:r>
      <w:r w:rsidR="00EA28EA" w:rsidRPr="0094174A">
        <w:tab/>
        <w:t xml:space="preserve">Les industries concernées ne </w:t>
      </w:r>
      <w:r w:rsidR="00EA28EA">
        <w:t>sont pas en faveur du</w:t>
      </w:r>
      <w:r w:rsidR="00EA28EA" w:rsidRPr="0094174A">
        <w:t xml:space="preserve"> mélange de produits, mais la réalité semble être différente. Il semble que la situation n’est pas claire pour les utilisateurs et pour les organes de contrôle. </w:t>
      </w:r>
      <w:r w:rsidR="00EA28EA">
        <w:t>En f</w:t>
      </w:r>
      <w:r w:rsidR="00EA28EA" w:rsidRPr="0094174A">
        <w:t xml:space="preserve">onction de l’intérêt de </w:t>
      </w:r>
      <w:r w:rsidR="00EA28EA">
        <w:t xml:space="preserve">lever ces </w:t>
      </w:r>
      <w:r w:rsidR="00EA28EA" w:rsidRPr="0094174A">
        <w:t>incertitude</w:t>
      </w:r>
      <w:r w:rsidR="00EA28EA">
        <w:t>s</w:t>
      </w:r>
      <w:r w:rsidR="00EA28EA" w:rsidRPr="0094174A">
        <w:t>, nous serions prêts à faire des propositions en vue d</w:t>
      </w:r>
      <w:r w:rsidR="00EA28EA">
        <w:t xml:space="preserve">’y </w:t>
      </w:r>
      <w:r w:rsidR="00EA28EA" w:rsidRPr="0094174A">
        <w:t>remédier à une prochaine session.</w:t>
      </w:r>
    </w:p>
    <w:p w:rsidR="00EA28EA" w:rsidRPr="00FA16BB" w:rsidRDefault="00EA28EA" w:rsidP="00EA28EA">
      <w:pPr>
        <w:spacing w:before="240"/>
        <w:ind w:left="1134" w:right="992"/>
        <w:jc w:val="center"/>
        <w:rPr>
          <w:u w:val="single"/>
        </w:rPr>
      </w:pPr>
      <w:r>
        <w:t>__________________</w:t>
      </w:r>
    </w:p>
    <w:p w:rsidR="008D688D" w:rsidRPr="008D688D" w:rsidRDefault="008D688D" w:rsidP="006E0600">
      <w:pPr>
        <w:spacing w:before="240"/>
        <w:ind w:left="1134" w:right="1134"/>
        <w:jc w:val="center"/>
        <w:rPr>
          <w:rFonts w:ascii="TimesNewRomanPSMT" w:hAnsi="TimesNewRomanPSMT" w:cs="TimesNewRomanPSMT"/>
          <w:u w:val="single"/>
          <w:lang w:eastAsia="fr-CH"/>
        </w:rPr>
      </w:pPr>
    </w:p>
    <w:sectPr w:rsidR="008D688D" w:rsidRPr="008D688D" w:rsidSect="00DA7745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746" w:rsidRDefault="00047746" w:rsidP="00F95C08">
      <w:pPr>
        <w:spacing w:line="240" w:lineRule="auto"/>
      </w:pPr>
    </w:p>
  </w:endnote>
  <w:endnote w:type="continuationSeparator" w:id="0">
    <w:p w:rsidR="00047746" w:rsidRPr="00AC3823" w:rsidRDefault="00047746" w:rsidP="00AC3823">
      <w:pPr>
        <w:pStyle w:val="Footer"/>
      </w:pPr>
    </w:p>
  </w:endnote>
  <w:endnote w:type="continuationNotice" w:id="1">
    <w:p w:rsidR="00047746" w:rsidRDefault="0004774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46" w:rsidRPr="00DA7745" w:rsidRDefault="00047746" w:rsidP="00DA7745">
    <w:pPr>
      <w:pStyle w:val="Footer"/>
      <w:tabs>
        <w:tab w:val="right" w:pos="9638"/>
      </w:tabs>
    </w:pPr>
    <w:r w:rsidRPr="00DA7745">
      <w:rPr>
        <w:b/>
        <w:sz w:val="18"/>
      </w:rPr>
      <w:fldChar w:fldCharType="begin"/>
    </w:r>
    <w:r w:rsidRPr="00DA7745">
      <w:rPr>
        <w:b/>
        <w:sz w:val="18"/>
      </w:rPr>
      <w:instrText xml:space="preserve"> PAGE  \* MERGEFORMAT </w:instrText>
    </w:r>
    <w:r w:rsidRPr="00DA7745">
      <w:rPr>
        <w:b/>
        <w:sz w:val="18"/>
      </w:rPr>
      <w:fldChar w:fldCharType="separate"/>
    </w:r>
    <w:r w:rsidR="00D40610">
      <w:rPr>
        <w:b/>
        <w:noProof/>
        <w:sz w:val="18"/>
      </w:rPr>
      <w:t>2</w:t>
    </w:r>
    <w:r w:rsidRPr="00DA7745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253706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:rsidR="0031494D" w:rsidRPr="0031494D" w:rsidRDefault="0031494D">
        <w:pPr>
          <w:pStyle w:val="Footer"/>
          <w:jc w:val="right"/>
          <w:rPr>
            <w:b/>
            <w:sz w:val="18"/>
            <w:szCs w:val="18"/>
          </w:rPr>
        </w:pPr>
        <w:r w:rsidRPr="0031494D">
          <w:rPr>
            <w:b/>
            <w:sz w:val="18"/>
            <w:szCs w:val="18"/>
          </w:rPr>
          <w:fldChar w:fldCharType="begin"/>
        </w:r>
        <w:r w:rsidRPr="0031494D">
          <w:rPr>
            <w:b/>
            <w:sz w:val="18"/>
            <w:szCs w:val="18"/>
          </w:rPr>
          <w:instrText>PAGE   \* MERGEFORMAT</w:instrText>
        </w:r>
        <w:r w:rsidRPr="0031494D">
          <w:rPr>
            <w:b/>
            <w:sz w:val="18"/>
            <w:szCs w:val="18"/>
          </w:rPr>
          <w:fldChar w:fldCharType="separate"/>
        </w:r>
        <w:r w:rsidR="00D40610" w:rsidRPr="00D40610">
          <w:rPr>
            <w:b/>
            <w:noProof/>
            <w:sz w:val="18"/>
            <w:szCs w:val="18"/>
            <w:lang w:val="fr-FR"/>
          </w:rPr>
          <w:t>3</w:t>
        </w:r>
        <w:r w:rsidRPr="0031494D">
          <w:rPr>
            <w:b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746" w:rsidRPr="00AC3823" w:rsidRDefault="0004774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47746" w:rsidRPr="00AC3823" w:rsidRDefault="0004774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47746" w:rsidRPr="00AC3823" w:rsidRDefault="00047746">
      <w:pPr>
        <w:spacing w:line="240" w:lineRule="auto"/>
        <w:rPr>
          <w:sz w:val="2"/>
          <w:szCs w:val="2"/>
        </w:rPr>
      </w:pPr>
    </w:p>
  </w:footnote>
  <w:footnote w:id="2">
    <w:p w:rsidR="000E4011" w:rsidRPr="00DD3512" w:rsidRDefault="000E4011" w:rsidP="000E4011">
      <w:pPr>
        <w:pStyle w:val="FootnoteText"/>
        <w:tabs>
          <w:tab w:val="clear" w:pos="1021"/>
        </w:tabs>
        <w:kinsoku/>
        <w:overflowPunct/>
        <w:autoSpaceDE/>
        <w:autoSpaceDN/>
        <w:adjustRightInd/>
        <w:snapToGrid/>
        <w:ind w:left="1418" w:hanging="284"/>
        <w:jc w:val="both"/>
        <w:rPr>
          <w:lang w:val="fr-FR"/>
        </w:rPr>
      </w:pPr>
      <w:r w:rsidRPr="0087307F">
        <w:rPr>
          <w:rStyle w:val="FootnoteReference"/>
          <w:sz w:val="20"/>
        </w:rPr>
        <w:sym w:font="Symbol" w:char="F02A"/>
      </w:r>
      <w:r>
        <w:tab/>
      </w:r>
      <w:r>
        <w:rPr>
          <w:lang w:eastAsia="en-GB"/>
        </w:rPr>
        <w:t>Conformément au programme de travail du Comité des transports intérieurs pour 201</w:t>
      </w:r>
      <w:r w:rsidR="0092018D">
        <w:rPr>
          <w:lang w:eastAsia="en-GB"/>
        </w:rPr>
        <w:t>8</w:t>
      </w:r>
      <w:r>
        <w:rPr>
          <w:lang w:eastAsia="en-GB"/>
        </w:rPr>
        <w:t>-201</w:t>
      </w:r>
      <w:r w:rsidR="0092018D">
        <w:rPr>
          <w:lang w:eastAsia="en-GB"/>
        </w:rPr>
        <w:t>9</w:t>
      </w:r>
      <w:r>
        <w:rPr>
          <w:lang w:eastAsia="en-GB"/>
        </w:rPr>
        <w:t xml:space="preserve"> </w:t>
      </w:r>
      <w:r w:rsidR="0092018D" w:rsidRPr="008430D4">
        <w:rPr>
          <w:color w:val="000000"/>
          <w:lang w:eastAsia="en-GB"/>
        </w:rPr>
        <w:t>(ECE/TRANS/WP.15/237, annexe V, (9.1))</w:t>
      </w:r>
      <w:r>
        <w:rPr>
          <w:lang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46" w:rsidRPr="00DA7745" w:rsidRDefault="00047746">
    <w:pPr>
      <w:pStyle w:val="Header"/>
    </w:pPr>
    <w:r>
      <w:t>ECE/TRANS/WP.15/201</w:t>
    </w:r>
    <w:r w:rsidR="0092018D">
      <w:t>9</w:t>
    </w:r>
    <w:r>
      <w:t>/</w:t>
    </w:r>
    <w:r w:rsidR="00EA28EA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46" w:rsidRPr="00DA7745" w:rsidRDefault="00047746" w:rsidP="00DA7745">
    <w:pPr>
      <w:pStyle w:val="Header"/>
      <w:jc w:val="right"/>
    </w:pPr>
    <w:r>
      <w:t>ECE/TRANS/WP.15/201</w:t>
    </w:r>
    <w:r w:rsidR="0092018D">
      <w:t>9</w:t>
    </w:r>
    <w:r>
      <w:t>/</w:t>
    </w:r>
    <w:r w:rsidR="000E4096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662E18"/>
    <w:multiLevelType w:val="hybridMultilevel"/>
    <w:tmpl w:val="25882728"/>
    <w:lvl w:ilvl="0" w:tplc="7B26FC8C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1A12325"/>
    <w:multiLevelType w:val="hybridMultilevel"/>
    <w:tmpl w:val="7780053A"/>
    <w:lvl w:ilvl="0" w:tplc="F9E0C3B2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  <w:lang w:val="fr-C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457C69A9"/>
    <w:multiLevelType w:val="hybridMultilevel"/>
    <w:tmpl w:val="6F9E5C32"/>
    <w:lvl w:ilvl="0" w:tplc="0E5C5F32">
      <w:start w:val="1"/>
      <w:numFmt w:val="bullet"/>
      <w:lvlText w:val="•"/>
      <w:lvlJc w:val="left"/>
      <w:pPr>
        <w:ind w:left="2421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5F824C92"/>
    <w:multiLevelType w:val="hybridMultilevel"/>
    <w:tmpl w:val="875424BC"/>
    <w:lvl w:ilvl="0" w:tplc="49A47A4E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6578093C"/>
    <w:multiLevelType w:val="hybridMultilevel"/>
    <w:tmpl w:val="A9E66E24"/>
    <w:lvl w:ilvl="0" w:tplc="0409001B">
      <w:start w:val="1"/>
      <w:numFmt w:val="lowerRoman"/>
      <w:lvlText w:val="%1."/>
      <w:lvlJc w:val="righ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76282707"/>
    <w:multiLevelType w:val="hybridMultilevel"/>
    <w:tmpl w:val="E93E7D50"/>
    <w:lvl w:ilvl="0" w:tplc="3DC2B018">
      <w:start w:val="6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6"/>
  </w:num>
  <w:num w:numId="16">
    <w:abstractNumId w:val="18"/>
  </w:num>
  <w:num w:numId="17">
    <w:abstractNumId w:val="15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567"/>
  <w:hyphenationZone w:val="425"/>
  <w:evenAndOddHeaders/>
  <w:characterSpacingControl w:val="doNotCompress"/>
  <w:hdrShapeDefaults>
    <o:shapedefaults v:ext="edit" spidmax="481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73"/>
    <w:rsid w:val="00017F94"/>
    <w:rsid w:val="00023842"/>
    <w:rsid w:val="00031AE1"/>
    <w:rsid w:val="000334F9"/>
    <w:rsid w:val="00047746"/>
    <w:rsid w:val="0006052F"/>
    <w:rsid w:val="0007796D"/>
    <w:rsid w:val="000B7790"/>
    <w:rsid w:val="000C376B"/>
    <w:rsid w:val="000C6FA9"/>
    <w:rsid w:val="000E4011"/>
    <w:rsid w:val="000E4096"/>
    <w:rsid w:val="00111F2F"/>
    <w:rsid w:val="0014365E"/>
    <w:rsid w:val="00143C66"/>
    <w:rsid w:val="00176178"/>
    <w:rsid w:val="00185A1D"/>
    <w:rsid w:val="001F525A"/>
    <w:rsid w:val="002220FD"/>
    <w:rsid w:val="00223272"/>
    <w:rsid w:val="0024779E"/>
    <w:rsid w:val="00251867"/>
    <w:rsid w:val="00257168"/>
    <w:rsid w:val="00264DB4"/>
    <w:rsid w:val="002650AF"/>
    <w:rsid w:val="002744B8"/>
    <w:rsid w:val="0027794F"/>
    <w:rsid w:val="00281E68"/>
    <w:rsid w:val="002832AC"/>
    <w:rsid w:val="002D7C93"/>
    <w:rsid w:val="003049BA"/>
    <w:rsid w:val="00305801"/>
    <w:rsid w:val="0031494D"/>
    <w:rsid w:val="003916DE"/>
    <w:rsid w:val="003940FD"/>
    <w:rsid w:val="003C17BE"/>
    <w:rsid w:val="004140B7"/>
    <w:rsid w:val="00427080"/>
    <w:rsid w:val="00441C3B"/>
    <w:rsid w:val="00446FE5"/>
    <w:rsid w:val="00452396"/>
    <w:rsid w:val="00460713"/>
    <w:rsid w:val="004837D8"/>
    <w:rsid w:val="004955D9"/>
    <w:rsid w:val="004E468C"/>
    <w:rsid w:val="00506F03"/>
    <w:rsid w:val="0053649C"/>
    <w:rsid w:val="005505B7"/>
    <w:rsid w:val="00573BE5"/>
    <w:rsid w:val="005760CA"/>
    <w:rsid w:val="00586ED3"/>
    <w:rsid w:val="00596AA9"/>
    <w:rsid w:val="006E0600"/>
    <w:rsid w:val="006F50AB"/>
    <w:rsid w:val="0071601D"/>
    <w:rsid w:val="007643B0"/>
    <w:rsid w:val="007663BB"/>
    <w:rsid w:val="0077564B"/>
    <w:rsid w:val="007A62E6"/>
    <w:rsid w:val="007C3E6F"/>
    <w:rsid w:val="007D3663"/>
    <w:rsid w:val="007F1675"/>
    <w:rsid w:val="007F20FA"/>
    <w:rsid w:val="0080684C"/>
    <w:rsid w:val="00806B9F"/>
    <w:rsid w:val="008430D4"/>
    <w:rsid w:val="00871C75"/>
    <w:rsid w:val="00873AEF"/>
    <w:rsid w:val="008776DC"/>
    <w:rsid w:val="008844F7"/>
    <w:rsid w:val="008A62E3"/>
    <w:rsid w:val="008B2513"/>
    <w:rsid w:val="008C0D21"/>
    <w:rsid w:val="008D688D"/>
    <w:rsid w:val="0091095A"/>
    <w:rsid w:val="0092018D"/>
    <w:rsid w:val="00922B83"/>
    <w:rsid w:val="0096289E"/>
    <w:rsid w:val="009705C8"/>
    <w:rsid w:val="009C1CF4"/>
    <w:rsid w:val="009D7CF7"/>
    <w:rsid w:val="009F6B74"/>
    <w:rsid w:val="00A20AFA"/>
    <w:rsid w:val="00A30353"/>
    <w:rsid w:val="00A42A4A"/>
    <w:rsid w:val="00AC3823"/>
    <w:rsid w:val="00AD43D8"/>
    <w:rsid w:val="00AE323C"/>
    <w:rsid w:val="00AF0CB5"/>
    <w:rsid w:val="00AF514D"/>
    <w:rsid w:val="00B00181"/>
    <w:rsid w:val="00B00B0D"/>
    <w:rsid w:val="00B01BBD"/>
    <w:rsid w:val="00B30539"/>
    <w:rsid w:val="00B725C1"/>
    <w:rsid w:val="00B765F7"/>
    <w:rsid w:val="00BA0CA9"/>
    <w:rsid w:val="00BC0C3E"/>
    <w:rsid w:val="00BD2D68"/>
    <w:rsid w:val="00C02897"/>
    <w:rsid w:val="00C904B2"/>
    <w:rsid w:val="00CB368B"/>
    <w:rsid w:val="00D0388E"/>
    <w:rsid w:val="00D105AA"/>
    <w:rsid w:val="00D3439C"/>
    <w:rsid w:val="00D37232"/>
    <w:rsid w:val="00D40610"/>
    <w:rsid w:val="00DA7745"/>
    <w:rsid w:val="00DB1831"/>
    <w:rsid w:val="00DB2F69"/>
    <w:rsid w:val="00DD0198"/>
    <w:rsid w:val="00DD3BFD"/>
    <w:rsid w:val="00DE69CC"/>
    <w:rsid w:val="00DF6678"/>
    <w:rsid w:val="00E77F73"/>
    <w:rsid w:val="00E85C74"/>
    <w:rsid w:val="00E97257"/>
    <w:rsid w:val="00E9755E"/>
    <w:rsid w:val="00EA28EA"/>
    <w:rsid w:val="00EA6547"/>
    <w:rsid w:val="00EB0173"/>
    <w:rsid w:val="00EC317B"/>
    <w:rsid w:val="00EF2E22"/>
    <w:rsid w:val="00F06569"/>
    <w:rsid w:val="00F35BAF"/>
    <w:rsid w:val="00F53CCA"/>
    <w:rsid w:val="00F660DF"/>
    <w:rsid w:val="00F67807"/>
    <w:rsid w:val="00F80E1E"/>
    <w:rsid w:val="00F94664"/>
    <w:rsid w:val="00F9573C"/>
    <w:rsid w:val="00F95C08"/>
    <w:rsid w:val="00FA383B"/>
    <w:rsid w:val="00FC3EE6"/>
    <w:rsid w:val="00FD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3688F123"/>
  <w15:docId w15:val="{AEAD12F2-E289-4360-A664-8A94499E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ascii="Times New Roman" w:hAnsi="Times New Roman" w:cs="Times New Roman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uiPriority w:val="99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uiPriority w:val="99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uiPriority w:val="99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uiPriority w:val="99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line="240" w:lineRule="atLeas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nhideWhenUsed/>
    <w:rsid w:val="004837D8"/>
    <w:rPr>
      <w:color w:val="0000FF"/>
      <w:u w:val="none"/>
    </w:rPr>
  </w:style>
  <w:style w:type="character" w:styleId="FollowedHyperlink">
    <w:name w:val="FollowedHyperlink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A774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C376B"/>
    <w:rPr>
      <w:rFonts w:ascii="Times New Roman" w:hAnsi="Times New Roman" w:cs="Times New Roman"/>
      <w:b/>
      <w:sz w:val="28"/>
      <w:lang w:val="fr-CH" w:eastAsia="en-US"/>
    </w:rPr>
  </w:style>
  <w:style w:type="paragraph" w:styleId="NormalWeb">
    <w:name w:val="Normal (Web)"/>
    <w:basedOn w:val="Normal"/>
    <w:uiPriority w:val="99"/>
    <w:unhideWhenUsed/>
    <w:rsid w:val="00047746"/>
    <w:pPr>
      <w:suppressAutoHyphens w:val="0"/>
      <w:kinsoku/>
      <w:overflowPunct/>
      <w:autoSpaceDE/>
      <w:autoSpaceDN/>
      <w:adjustRightInd/>
      <w:snapToGrid/>
      <w:spacing w:before="100" w:beforeAutospacing="1" w:after="100" w:afterAutospacing="1" w:line="240" w:lineRule="auto"/>
    </w:pPr>
    <w:rPr>
      <w:sz w:val="24"/>
      <w:szCs w:val="24"/>
      <w:lang w:eastAsia="fr-CH"/>
    </w:rPr>
  </w:style>
  <w:style w:type="character" w:customStyle="1" w:styleId="ttext">
    <w:name w:val="t_text"/>
    <w:basedOn w:val="DefaultParagraphFont"/>
    <w:rsid w:val="0088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0BE74-9585-4F40-9D54-FD780340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1214</Words>
  <Characters>6061</Characters>
  <Application>Microsoft Office Word</Application>
  <DocSecurity>0</DocSecurity>
  <Lines>121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ECE/TRANS/WP.15/2015/1</vt:lpstr>
      <vt:lpstr>ECE/TRANS/WP.15/2015/1</vt:lpstr>
    </vt:vector>
  </TitlesOfParts>
  <Company>DCM</Company>
  <LinksUpToDate>false</LinksUpToDate>
  <CharactersWithSpaces>7212</CharactersWithSpaces>
  <SharedDoc>false</SharedDoc>
  <HLinks>
    <vt:vector size="6" baseType="variant">
      <vt:variant>
        <vt:i4>5439535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http://www.unece.org/trans/danger/publi/adr/adr_guidelines.html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ECE/TRANS/WP.15/2015/1</dc:title>
  <dc:subject>Final</dc:subject>
  <dc:creator>Crelier</dc:creator>
  <cp:lastModifiedBy>Christine Barrio-Champeau</cp:lastModifiedBy>
  <cp:revision>15</cp:revision>
  <cp:lastPrinted>2019-02-15T10:05:00Z</cp:lastPrinted>
  <dcterms:created xsi:type="dcterms:W3CDTF">2019-02-15T09:40:00Z</dcterms:created>
  <dcterms:modified xsi:type="dcterms:W3CDTF">2019-02-21T13:28:00Z</dcterms:modified>
</cp:coreProperties>
</file>