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26EB" w14:textId="77777777" w:rsidR="00215A1B" w:rsidRPr="00560572" w:rsidRDefault="00215A1B" w:rsidP="00881CD2">
      <w:pPr>
        <w:suppressAutoHyphens/>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0897E9A1"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7CB3B5F6" w14:textId="77777777" w:rsidR="005E0CF7" w:rsidRPr="005E0CF7" w:rsidRDefault="005E0CF7" w:rsidP="00881CD2">
      <w:pPr>
        <w:suppressAutoHyphens/>
        <w:spacing w:before="120" w:after="0" w:line="240" w:lineRule="atLeast"/>
        <w:rPr>
          <w:b/>
          <w:szCs w:val="24"/>
        </w:rPr>
      </w:pPr>
      <w:r w:rsidRPr="00881CD2">
        <w:rPr>
          <w:b/>
          <w:sz w:val="24"/>
          <w:szCs w:val="24"/>
        </w:rPr>
        <w:t>Working</w:t>
      </w:r>
      <w:r w:rsidRPr="005E0CF7">
        <w:rPr>
          <w:b/>
          <w:szCs w:val="24"/>
        </w:rPr>
        <w:t xml:space="preserve"> Party on the Transport of Dangerous Goods</w:t>
      </w:r>
    </w:p>
    <w:p w14:paraId="15588D6A" w14:textId="50766196" w:rsidR="005E0CF7" w:rsidRPr="005E0CF7" w:rsidRDefault="006211FA" w:rsidP="00881CD2">
      <w:pPr>
        <w:suppressAutoHyphens/>
        <w:spacing w:before="120" w:after="0" w:line="240" w:lineRule="atLeast"/>
        <w:rPr>
          <w:b/>
          <w:szCs w:val="24"/>
        </w:rPr>
      </w:pPr>
      <w:r>
        <w:rPr>
          <w:b/>
          <w:szCs w:val="24"/>
        </w:rPr>
        <w:t>107th session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2</w:t>
      </w:r>
      <w:r w:rsidR="00881CD2">
        <w:rPr>
          <w:b/>
          <w:szCs w:val="24"/>
        </w:rPr>
        <w:t>8</w:t>
      </w:r>
      <w:r w:rsidR="005E0CF7" w:rsidRPr="005E0CF7">
        <w:rPr>
          <w:b/>
          <w:szCs w:val="24"/>
        </w:rPr>
        <w:t xml:space="preserve"> October 2019</w:t>
      </w:r>
    </w:p>
    <w:p w14:paraId="0135D67B" w14:textId="77777777" w:rsidR="005E0CF7" w:rsidRPr="005E0CF7" w:rsidRDefault="005E0CF7" w:rsidP="005E0CF7">
      <w:pPr>
        <w:spacing w:after="0" w:line="240" w:lineRule="atLeast"/>
        <w:rPr>
          <w:szCs w:val="24"/>
        </w:rPr>
      </w:pPr>
      <w:r w:rsidRPr="005E0CF7">
        <w:rPr>
          <w:szCs w:val="24"/>
        </w:rPr>
        <w:t>Geneva, 11-15 November 2019</w:t>
      </w:r>
    </w:p>
    <w:p w14:paraId="0971DE4A" w14:textId="5947D13E" w:rsidR="005E0CF7" w:rsidRPr="005E0CF7" w:rsidRDefault="005E0CF7" w:rsidP="005E0CF7">
      <w:pPr>
        <w:spacing w:after="0" w:line="240" w:lineRule="atLeast"/>
        <w:rPr>
          <w:szCs w:val="24"/>
        </w:rPr>
      </w:pPr>
      <w:r w:rsidRPr="005E0CF7">
        <w:rPr>
          <w:szCs w:val="24"/>
        </w:rPr>
        <w:t xml:space="preserve">Item </w:t>
      </w:r>
      <w:r w:rsidR="00750E45">
        <w:rPr>
          <w:szCs w:val="24"/>
        </w:rPr>
        <w:t>6</w:t>
      </w:r>
      <w:r w:rsidRPr="005E0CF7">
        <w:rPr>
          <w:szCs w:val="24"/>
        </w:rPr>
        <w:t xml:space="preserve"> of the provisional agenda:</w:t>
      </w:r>
    </w:p>
    <w:p w14:paraId="161B9625" w14:textId="6C5FF0BB" w:rsidR="00427300" w:rsidRPr="00750E45" w:rsidRDefault="00750E45" w:rsidP="005E0CF7">
      <w:pPr>
        <w:spacing w:after="0" w:line="240" w:lineRule="atLeast"/>
        <w:rPr>
          <w:b/>
          <w:bCs/>
        </w:rPr>
      </w:pPr>
      <w:r w:rsidRPr="00750E45">
        <w:rPr>
          <w:b/>
          <w:bCs/>
        </w:rPr>
        <w:t>Interpretation of ADR</w:t>
      </w:r>
    </w:p>
    <w:p w14:paraId="2CD40FF8" w14:textId="1DE0F3B3" w:rsidR="00750E45" w:rsidRPr="00890ED4" w:rsidRDefault="002D736A" w:rsidP="00355BE0">
      <w:pPr>
        <w:pStyle w:val="HChG"/>
      </w:pPr>
      <w:r>
        <w:tab/>
      </w:r>
      <w:r>
        <w:tab/>
      </w:r>
      <w:r w:rsidR="00750E45" w:rsidRPr="002D736A">
        <w:t>Questions of interpretation:</w:t>
      </w:r>
      <w:r>
        <w:t xml:space="preserve"> </w:t>
      </w:r>
      <w:r w:rsidR="00750E45" w:rsidRPr="002D736A">
        <w:t>Transport of (damaged) vehicles as load</w:t>
      </w:r>
      <w:r w:rsidR="00355BE0">
        <w:t>,</w:t>
      </w:r>
      <w:r w:rsidR="00750E45" w:rsidRPr="002D736A">
        <w:t xml:space="preserve"> Battery</w:t>
      </w:r>
      <w:r w:rsidR="00750E45">
        <w:t xml:space="preserve"> electric (BEV), hydrogen powered and hybrid</w:t>
      </w:r>
      <w:r w:rsidR="005A79E5">
        <w:t xml:space="preserve"> vehicles</w:t>
      </w:r>
    </w:p>
    <w:p w14:paraId="5E7573EF" w14:textId="77777777" w:rsidR="00750E45" w:rsidRPr="00890ED4" w:rsidRDefault="00750E45" w:rsidP="00750E45">
      <w:pPr>
        <w:pStyle w:val="H1G"/>
      </w:pPr>
      <w:r>
        <w:tab/>
      </w:r>
      <w:r>
        <w:tab/>
      </w:r>
      <w:r w:rsidRPr="00890ED4">
        <w:t xml:space="preserve">Transmitted by the Government of </w:t>
      </w:r>
      <w:r>
        <w:t>Austria</w:t>
      </w:r>
    </w:p>
    <w:p w14:paraId="5AED85AB" w14:textId="77777777" w:rsidR="00750E45" w:rsidRPr="00890ED4" w:rsidRDefault="00750E45" w:rsidP="00750E45">
      <w:pPr>
        <w:pStyle w:val="HChG"/>
        <w:spacing w:before="480"/>
      </w:pPr>
      <w:r>
        <w:tab/>
      </w:r>
      <w:r>
        <w:tab/>
      </w:r>
      <w:r w:rsidRPr="00890ED4">
        <w:t>Introduction</w:t>
      </w:r>
    </w:p>
    <w:p w14:paraId="652DD5E6" w14:textId="44F4DCCB" w:rsidR="00750E45" w:rsidRPr="00355BE0" w:rsidRDefault="00355BE0" w:rsidP="00355BE0">
      <w:pPr>
        <w:pStyle w:val="SingleTxtG"/>
      </w:pPr>
      <w:r>
        <w:t>1.</w:t>
      </w:r>
      <w:r>
        <w:tab/>
      </w:r>
      <w:r w:rsidR="00750E45" w:rsidRPr="00355BE0">
        <w:t>This informal document welcomes the question raised in document ECE/TRANS/WP.15/2019/21 on what ADR rules apply to battery electric vehicles. Thank</w:t>
      </w:r>
      <w:r w:rsidR="005A79E5">
        <w:t>s to</w:t>
      </w:r>
      <w:r w:rsidR="00750E45" w:rsidRPr="00355BE0">
        <w:t xml:space="preserve"> Switzerland for the work and the figure.</w:t>
      </w:r>
    </w:p>
    <w:p w14:paraId="2A73BE29" w14:textId="45C2EF30" w:rsidR="00750E45" w:rsidRPr="00355BE0" w:rsidRDefault="00355BE0" w:rsidP="00355BE0">
      <w:pPr>
        <w:pStyle w:val="SingleTxtG"/>
      </w:pPr>
      <w:r>
        <w:t>2.</w:t>
      </w:r>
      <w:r>
        <w:tab/>
      </w:r>
      <w:r w:rsidR="00750E45" w:rsidRPr="00355BE0">
        <w:t xml:space="preserve">Question 1 of this informal document deals with the question </w:t>
      </w:r>
      <w:r w:rsidR="005A79E5" w:rsidRPr="00355BE0">
        <w:t xml:space="preserve">raised </w:t>
      </w:r>
      <w:r w:rsidR="00750E45" w:rsidRPr="00355BE0">
        <w:t xml:space="preserve">in </w:t>
      </w:r>
      <w:r w:rsidR="005A79E5">
        <w:t>item</w:t>
      </w:r>
      <w:r w:rsidR="00750E45" w:rsidRPr="00355BE0">
        <w:t xml:space="preserve"> 1 of the </w:t>
      </w:r>
      <w:bookmarkStart w:id="0" w:name="_GoBack"/>
      <w:r w:rsidR="00750E45" w:rsidRPr="00355BE0">
        <w:t>Swiss document, where the “?” is set in the figure.</w:t>
      </w:r>
    </w:p>
    <w:p w14:paraId="3552EA0F" w14:textId="6DB32A7A" w:rsidR="00750E45" w:rsidRPr="00355BE0" w:rsidRDefault="00355BE0" w:rsidP="00355BE0">
      <w:pPr>
        <w:pStyle w:val="SingleTxtG"/>
      </w:pPr>
      <w:r>
        <w:t>3</w:t>
      </w:r>
      <w:r>
        <w:tab/>
      </w:r>
      <w:r w:rsidR="00750E45" w:rsidRPr="00355BE0">
        <w:t xml:space="preserve">Furthermore, there are questions on the ADR rules for the other alternative powered </w:t>
      </w:r>
      <w:bookmarkEnd w:id="0"/>
      <w:r w:rsidR="00750E45" w:rsidRPr="00355BE0">
        <w:t>vehicles, like the ones fuelled with hydrogen or hybrid</w:t>
      </w:r>
      <w:r w:rsidR="005A79E5">
        <w:t xml:space="preserve"> vehicles</w:t>
      </w:r>
      <w:r w:rsidR="00750E45" w:rsidRPr="00355BE0">
        <w:t>.</w:t>
      </w:r>
    </w:p>
    <w:p w14:paraId="48EA2002" w14:textId="77777777" w:rsidR="00750E45" w:rsidRPr="00890ED4" w:rsidRDefault="00750E45" w:rsidP="00750E45">
      <w:pPr>
        <w:pStyle w:val="HChG"/>
        <w:ind w:firstLine="0"/>
      </w:pPr>
      <w:r>
        <w:tab/>
        <w:t>Brief overview of the specific ADR rules</w:t>
      </w:r>
    </w:p>
    <w:p w14:paraId="58DACF68" w14:textId="11E8A79C" w:rsidR="00750E45" w:rsidRPr="00355BE0" w:rsidRDefault="00355BE0" w:rsidP="00355BE0">
      <w:pPr>
        <w:pStyle w:val="SingleTxtG"/>
      </w:pPr>
      <w:r>
        <w:t>4.</w:t>
      </w:r>
      <w:r>
        <w:tab/>
      </w:r>
      <w:r w:rsidR="00750E45" w:rsidRPr="00355BE0">
        <w:t>In general, for vehicles as load, there are two specific UN-numbers with the same four Special Provisions (SP) in Table A to consider: SP 388, SP 666, SP 667 and SP 669.</w:t>
      </w:r>
    </w:p>
    <w:p w14:paraId="5D53AB16" w14:textId="3FD137E1" w:rsidR="00750E45" w:rsidRPr="00355BE0" w:rsidRDefault="00355BE0" w:rsidP="00355BE0">
      <w:pPr>
        <w:pStyle w:val="SingleTxtG"/>
      </w:pPr>
      <w:r>
        <w:t>5.</w:t>
      </w:r>
      <w:r>
        <w:tab/>
      </w:r>
      <w:r w:rsidR="00750E45" w:rsidRPr="00355BE0">
        <w:t>SP 388 includes:</w:t>
      </w:r>
    </w:p>
    <w:p w14:paraId="6DD750D1" w14:textId="181EB594" w:rsidR="00750E45" w:rsidRPr="00355BE0" w:rsidRDefault="00750E45" w:rsidP="00355BE0">
      <w:pPr>
        <w:pStyle w:val="Bullet1G"/>
      </w:pPr>
      <w:r w:rsidRPr="00355BE0">
        <w:t>definitions (vehicles…)</w:t>
      </w:r>
      <w:r w:rsidR="00C74701">
        <w:t>;</w:t>
      </w:r>
    </w:p>
    <w:p w14:paraId="78445C5B" w14:textId="3AAFC54D" w:rsidR="00750E45" w:rsidRPr="00355BE0" w:rsidRDefault="00750E45" w:rsidP="00355BE0">
      <w:pPr>
        <w:pStyle w:val="Bullet1G"/>
      </w:pPr>
      <w:r w:rsidRPr="00355BE0">
        <w:t>the assignment of the different vehicles, so we know that a BEV is UN 3171 and all other vehicles are UN 3166</w:t>
      </w:r>
      <w:r w:rsidR="00C74701">
        <w:t>;</w:t>
      </w:r>
    </w:p>
    <w:p w14:paraId="719807C4" w14:textId="79B9210B" w:rsidR="00750E45" w:rsidRPr="00355BE0" w:rsidRDefault="00750E45" w:rsidP="00355BE0">
      <w:pPr>
        <w:pStyle w:val="Bullet1G"/>
      </w:pPr>
      <w:r w:rsidRPr="00355BE0">
        <w:t>ex</w:t>
      </w:r>
      <w:r w:rsidR="005A79E5">
        <w:t>em</w:t>
      </w:r>
      <w:r w:rsidRPr="00355BE0">
        <w:t>ptions from ADR for other dangerous goods built within the car (</w:t>
      </w:r>
      <w:r w:rsidR="005A79E5">
        <w:t>a</w:t>
      </w:r>
      <w:r w:rsidRPr="00355BE0">
        <w:t>irbags, etc.)</w:t>
      </w:r>
      <w:r w:rsidR="00C74701">
        <w:t>;</w:t>
      </w:r>
    </w:p>
    <w:p w14:paraId="706EDC04" w14:textId="0430E7A1" w:rsidR="00750E45" w:rsidRPr="00355BE0" w:rsidRDefault="00750E45" w:rsidP="00355BE0">
      <w:pPr>
        <w:pStyle w:val="Bullet1G"/>
      </w:pPr>
      <w:r w:rsidRPr="00355BE0">
        <w:t>Li-batteries must meet 2.2.9.1.7 ADR if SP 667 does not exempt</w:t>
      </w:r>
      <w:r w:rsidR="00C74701">
        <w:t>;</w:t>
      </w:r>
    </w:p>
    <w:p w14:paraId="67FB825B" w14:textId="6332B7FE" w:rsidR="00750E45" w:rsidRPr="00355BE0" w:rsidRDefault="00750E45" w:rsidP="00355BE0">
      <w:pPr>
        <w:pStyle w:val="Bullet1G"/>
      </w:pPr>
      <w:r w:rsidRPr="00355BE0">
        <w:t xml:space="preserve">damaged/defective Li-batteries </w:t>
      </w:r>
      <w:proofErr w:type="gramStart"/>
      <w:r w:rsidRPr="00355BE0">
        <w:t>have to</w:t>
      </w:r>
      <w:proofErr w:type="gramEnd"/>
      <w:r w:rsidRPr="00355BE0">
        <w:t xml:space="preserve"> meet the conditions of SP 667</w:t>
      </w:r>
      <w:r w:rsidR="00C74701">
        <w:t>.</w:t>
      </w:r>
    </w:p>
    <w:p w14:paraId="36C4D578" w14:textId="076014A5" w:rsidR="00750E45" w:rsidRPr="000479AF" w:rsidRDefault="00355BE0" w:rsidP="00355BE0">
      <w:pPr>
        <w:pStyle w:val="SingleTxtG"/>
      </w:pPr>
      <w:r>
        <w:t>6.</w:t>
      </w:r>
      <w:r>
        <w:tab/>
      </w:r>
      <w:r w:rsidR="00750E45" w:rsidRPr="000479AF">
        <w:t>SP 666 defines an exe</w:t>
      </w:r>
      <w:r w:rsidR="005A79E5">
        <w:t>mp</w:t>
      </w:r>
      <w:r w:rsidR="00750E45" w:rsidRPr="000479AF">
        <w:t xml:space="preserve">tion from other ADR, if </w:t>
      </w:r>
      <w:r w:rsidR="005A79E5">
        <w:t xml:space="preserve">the </w:t>
      </w:r>
      <w:r w:rsidR="00750E45" w:rsidRPr="000479AF">
        <w:t>following conditions are met</w:t>
      </w:r>
      <w:r w:rsidR="00750E45">
        <w:t>:</w:t>
      </w:r>
    </w:p>
    <w:p w14:paraId="383E3276" w14:textId="77777777" w:rsidR="00750E45" w:rsidRPr="005A79E5" w:rsidRDefault="00750E45" w:rsidP="00355BE0">
      <w:pPr>
        <w:pStyle w:val="Bullet1G"/>
      </w:pPr>
      <w:r w:rsidRPr="005A79E5">
        <w:t>vehicles with liquid fuel:</w:t>
      </w:r>
    </w:p>
    <w:p w14:paraId="4522B8DA" w14:textId="2E2BA064" w:rsidR="00750E45" w:rsidRPr="005A79E5" w:rsidRDefault="005A79E5" w:rsidP="005A79E5">
      <w:pPr>
        <w:pStyle w:val="Bullet2G"/>
        <w:numPr>
          <w:ilvl w:val="0"/>
          <w:numId w:val="0"/>
        </w:numPr>
        <w:ind w:left="2098"/>
      </w:pPr>
      <w:r w:rsidRPr="005A79E5">
        <w:t>-</w:t>
      </w:r>
      <w:r w:rsidRPr="005A79E5">
        <w:tab/>
      </w:r>
      <w:r w:rsidR="00750E45" w:rsidRPr="005A79E5">
        <w:t>closed valves (unless essential to keep open), transport upright and secured against falling</w:t>
      </w:r>
      <w:r w:rsidR="00C74701" w:rsidRPr="005A79E5">
        <w:t>;</w:t>
      </w:r>
    </w:p>
    <w:p w14:paraId="601A50D2" w14:textId="69AB346E" w:rsidR="00750E45" w:rsidRPr="005A79E5" w:rsidRDefault="005A79E5" w:rsidP="005A79E5">
      <w:pPr>
        <w:pStyle w:val="Bullet2G"/>
        <w:numPr>
          <w:ilvl w:val="0"/>
          <w:numId w:val="0"/>
        </w:numPr>
        <w:ind w:left="2098"/>
      </w:pPr>
      <w:r w:rsidRPr="005A79E5">
        <w:t>-</w:t>
      </w:r>
      <w:r w:rsidRPr="005A79E5">
        <w:tab/>
      </w:r>
      <w:r w:rsidR="00750E45" w:rsidRPr="005A79E5">
        <w:t>OR empty of liquid fuel</w:t>
      </w:r>
      <w:r w:rsidR="00C74701" w:rsidRPr="005A79E5">
        <w:t>.</w:t>
      </w:r>
    </w:p>
    <w:p w14:paraId="6C9B6905" w14:textId="77777777" w:rsidR="00750E45" w:rsidRPr="005A79E5" w:rsidRDefault="00750E45" w:rsidP="00355BE0">
      <w:pPr>
        <w:pStyle w:val="Bullet1G"/>
      </w:pPr>
      <w:r w:rsidRPr="005A79E5">
        <w:t>vehicles with gaseous fuel:</w:t>
      </w:r>
    </w:p>
    <w:p w14:paraId="2118D1C4" w14:textId="5167A5EA" w:rsidR="00750E45" w:rsidRPr="005A79E5" w:rsidRDefault="005A79E5" w:rsidP="005A79E5">
      <w:pPr>
        <w:pStyle w:val="Bullet2G"/>
        <w:numPr>
          <w:ilvl w:val="0"/>
          <w:numId w:val="0"/>
        </w:numPr>
        <w:ind w:left="2098"/>
      </w:pPr>
      <w:r>
        <w:t>-</w:t>
      </w:r>
      <w:r>
        <w:tab/>
      </w:r>
      <w:r w:rsidR="00750E45" w:rsidRPr="005A79E5">
        <w:t>closed valves, no electric contact (unless essential to remain)</w:t>
      </w:r>
      <w:r w:rsidR="00C74701" w:rsidRPr="005A79E5">
        <w:t>;</w:t>
      </w:r>
    </w:p>
    <w:p w14:paraId="503403E0" w14:textId="2297049A" w:rsidR="00750E45" w:rsidRPr="005A79E5" w:rsidRDefault="005A79E5" w:rsidP="005A79E5">
      <w:pPr>
        <w:pStyle w:val="Bullet2G"/>
        <w:numPr>
          <w:ilvl w:val="0"/>
          <w:numId w:val="0"/>
        </w:numPr>
        <w:ind w:left="2098"/>
      </w:pPr>
      <w:r>
        <w:t>-</w:t>
      </w:r>
      <w:r>
        <w:tab/>
      </w:r>
      <w:r w:rsidR="00750E45" w:rsidRPr="005A79E5">
        <w:t>OR empty of gaseous fuel</w:t>
      </w:r>
      <w:r w:rsidR="00C74701" w:rsidRPr="005A79E5">
        <w:t>.</w:t>
      </w:r>
    </w:p>
    <w:p w14:paraId="768580A3" w14:textId="2BED473D" w:rsidR="00750E45" w:rsidRPr="005A79E5" w:rsidRDefault="00750E45" w:rsidP="00355BE0">
      <w:pPr>
        <w:pStyle w:val="Bullet1G"/>
      </w:pPr>
      <w:r w:rsidRPr="005A79E5">
        <w:t>vehicles with a metal-</w:t>
      </w:r>
      <w:r w:rsidR="00025AEE" w:rsidRPr="005A79E5">
        <w:t>hybrid</w:t>
      </w:r>
      <w:r w:rsidR="005A79E5">
        <w:t xml:space="preserve"> </w:t>
      </w:r>
      <w:r w:rsidRPr="005A79E5">
        <w:t>storage-system:</w:t>
      </w:r>
    </w:p>
    <w:p w14:paraId="7AA4EC5D" w14:textId="07853B24" w:rsidR="00750E45" w:rsidRPr="005A79E5" w:rsidRDefault="005A79E5" w:rsidP="005A79E5">
      <w:pPr>
        <w:pStyle w:val="Bullet2G"/>
        <w:numPr>
          <w:ilvl w:val="0"/>
          <w:numId w:val="0"/>
        </w:numPr>
        <w:ind w:left="2098"/>
      </w:pPr>
      <w:r w:rsidRPr="005A79E5">
        <w:t>-</w:t>
      </w:r>
      <w:r w:rsidRPr="005A79E5">
        <w:tab/>
      </w:r>
      <w:r w:rsidR="00750E45" w:rsidRPr="005A79E5">
        <w:t>approved or recognized by a competent authority of a contracting party</w:t>
      </w:r>
      <w:r w:rsidR="00C74701" w:rsidRPr="005A79E5">
        <w:t>.</w:t>
      </w:r>
    </w:p>
    <w:p w14:paraId="240CB56E" w14:textId="1A2BD006" w:rsidR="00750E45" w:rsidRPr="00355BE0" w:rsidRDefault="00355BE0" w:rsidP="00355BE0">
      <w:pPr>
        <w:pStyle w:val="SingleTxtG"/>
      </w:pPr>
      <w:r>
        <w:lastRenderedPageBreak/>
        <w:t>7</w:t>
      </w:r>
      <w:r w:rsidRPr="00355BE0">
        <w:t>.</w:t>
      </w:r>
      <w:r w:rsidRPr="00355BE0">
        <w:tab/>
      </w:r>
      <w:r w:rsidR="00750E45" w:rsidRPr="00355BE0">
        <w:t>SP 667 states for Li-batteries only:</w:t>
      </w:r>
    </w:p>
    <w:p w14:paraId="67D4C199" w14:textId="14C946F3" w:rsidR="00355BE0" w:rsidRPr="00355BE0" w:rsidRDefault="00355BE0" w:rsidP="00355BE0">
      <w:pPr>
        <w:pStyle w:val="SingleTxtG"/>
      </w:pPr>
      <w:r>
        <w:tab/>
      </w:r>
      <w:r>
        <w:tab/>
      </w:r>
      <w:r w:rsidR="00750E45" w:rsidRPr="00355BE0">
        <w:t>a)</w:t>
      </w:r>
      <w:r>
        <w:tab/>
      </w:r>
      <w:r w:rsidR="00750E45" w:rsidRPr="00355BE0">
        <w:t>Prototypes / low production volumes do not have to meet 2.2.9.1.7 a) ADR (=battery of tested type)</w:t>
      </w:r>
      <w:r w:rsidR="00C5580F">
        <w:t>;</w:t>
      </w:r>
    </w:p>
    <w:p w14:paraId="082F5D9E" w14:textId="12DCECA1" w:rsidR="00750E45" w:rsidRPr="00355BE0" w:rsidRDefault="00355BE0" w:rsidP="00355BE0">
      <w:pPr>
        <w:pStyle w:val="SingleTxtG"/>
      </w:pPr>
      <w:r>
        <w:tab/>
      </w:r>
      <w:r>
        <w:tab/>
      </w:r>
      <w:r w:rsidR="00750E45" w:rsidRPr="00355BE0">
        <w:t>b)</w:t>
      </w:r>
      <w:r>
        <w:tab/>
      </w:r>
      <w:r w:rsidR="00750E45" w:rsidRPr="00355BE0">
        <w:t>for damaged/defective vehicles 2.2.9.1.7 ADR does not apply, but</w:t>
      </w:r>
    </w:p>
    <w:p w14:paraId="1C2722FC" w14:textId="77777777" w:rsidR="00750E45" w:rsidRPr="00355BE0" w:rsidRDefault="00750E45" w:rsidP="00355BE0">
      <w:pPr>
        <w:pStyle w:val="Bullet2G"/>
      </w:pPr>
      <w:r w:rsidRPr="00355BE0">
        <w:t>if the damage has no significant impact on the safety of the battery:</w:t>
      </w:r>
    </w:p>
    <w:p w14:paraId="2475D3F2" w14:textId="1A709136" w:rsidR="00750E45" w:rsidRPr="00355BE0" w:rsidRDefault="00355BE0" w:rsidP="00355BE0">
      <w:pPr>
        <w:pStyle w:val="SingleTxtG"/>
        <w:ind w:left="2268"/>
      </w:pPr>
      <w:r>
        <w:t>-</w:t>
      </w:r>
      <w:r>
        <w:tab/>
      </w:r>
      <w:r w:rsidR="00750E45" w:rsidRPr="00355BE0">
        <w:t>the conditions from SP 666 have to be met</w:t>
      </w:r>
      <w:r w:rsidR="003F7A1E">
        <w:t>;</w:t>
      </w:r>
    </w:p>
    <w:p w14:paraId="5750BFCF" w14:textId="77777777" w:rsidR="00750E45" w:rsidRPr="00355BE0" w:rsidRDefault="00750E45" w:rsidP="00355BE0">
      <w:pPr>
        <w:pStyle w:val="Bullet2G"/>
      </w:pPr>
      <w:r w:rsidRPr="00355BE0">
        <w:t>if the damage has significant impact on the safety of the battery:</w:t>
      </w:r>
    </w:p>
    <w:p w14:paraId="4FDB3A52" w14:textId="6B7F905E" w:rsidR="00750E45" w:rsidRPr="00355BE0" w:rsidRDefault="00355BE0" w:rsidP="00355BE0">
      <w:pPr>
        <w:pStyle w:val="SingleTxtG"/>
        <w:ind w:left="2268"/>
      </w:pPr>
      <w:r>
        <w:t>-</w:t>
      </w:r>
      <w:r>
        <w:tab/>
      </w:r>
      <w:r w:rsidR="00750E45" w:rsidRPr="00355BE0">
        <w:t>the battery has to be safely removed and transported under SP 376</w:t>
      </w:r>
      <w:r w:rsidR="003F7A1E">
        <w:t>;</w:t>
      </w:r>
    </w:p>
    <w:p w14:paraId="285938A1" w14:textId="17D2587E" w:rsidR="00750E45" w:rsidRPr="00355BE0" w:rsidRDefault="00355BE0" w:rsidP="00355BE0">
      <w:pPr>
        <w:pStyle w:val="SingleTxtG"/>
        <w:ind w:left="2268"/>
      </w:pPr>
      <w:r>
        <w:t>-</w:t>
      </w:r>
      <w:r>
        <w:tab/>
      </w:r>
      <w:r w:rsidR="00750E45" w:rsidRPr="00355BE0">
        <w:t>OR: transport the vehicle under SP 666, if it is not possible to safely remove or to verify the status of the battery</w:t>
      </w:r>
      <w:r w:rsidR="003F7A1E">
        <w:t>;</w:t>
      </w:r>
    </w:p>
    <w:p w14:paraId="01DE2DFE" w14:textId="7B999470" w:rsidR="00750E45" w:rsidRPr="00355BE0" w:rsidRDefault="00C5580F" w:rsidP="00355BE0">
      <w:pPr>
        <w:pStyle w:val="SingleTxtG"/>
      </w:pPr>
      <w:r>
        <w:tab/>
      </w:r>
      <w:r>
        <w:tab/>
      </w:r>
      <w:r w:rsidR="00750E45" w:rsidRPr="00355BE0">
        <w:t>c)</w:t>
      </w:r>
      <w:r>
        <w:tab/>
      </w:r>
      <w:r w:rsidR="00750E45" w:rsidRPr="00355BE0">
        <w:t>for damaged/defective batteries also use b)</w:t>
      </w:r>
      <w:r w:rsidR="003F7A1E">
        <w:t>.</w:t>
      </w:r>
    </w:p>
    <w:p w14:paraId="439710E9" w14:textId="41F294A5" w:rsidR="00750E45" w:rsidRPr="000479AF" w:rsidRDefault="00355BE0" w:rsidP="00355BE0">
      <w:pPr>
        <w:pStyle w:val="SingleTxtG"/>
      </w:pPr>
      <w:r w:rsidRPr="00355BE0">
        <w:t>8.</w:t>
      </w:r>
      <w:r w:rsidRPr="00355BE0">
        <w:tab/>
      </w:r>
      <w:r w:rsidR="00750E45" w:rsidRPr="00355BE0">
        <w:t>SP 669 states, that the same regulations should apply to special trailers. However, trailers will be skipped for the purpose of this informal document</w:t>
      </w:r>
      <w:r w:rsidR="00750E45" w:rsidRPr="000479AF">
        <w:t>.</w:t>
      </w:r>
    </w:p>
    <w:p w14:paraId="157097DC" w14:textId="77777777" w:rsidR="00750E45" w:rsidRDefault="00750E45" w:rsidP="00750E45">
      <w:pPr>
        <w:pStyle w:val="HChG"/>
        <w:spacing w:before="400"/>
        <w:ind w:firstLine="0"/>
      </w:pPr>
      <w:r>
        <w:t>Discussion</w:t>
      </w:r>
    </w:p>
    <w:p w14:paraId="1B7E9BE8" w14:textId="4D6AC2B4" w:rsidR="00750E45" w:rsidRPr="00025AEE" w:rsidRDefault="00BF631C" w:rsidP="00BF631C">
      <w:pPr>
        <w:pStyle w:val="SingleTxtG"/>
      </w:pPr>
      <w:r w:rsidRPr="00025AEE">
        <w:t>9.</w:t>
      </w:r>
      <w:r w:rsidRPr="00025AEE">
        <w:tab/>
      </w:r>
      <w:r w:rsidR="00750E45" w:rsidRPr="00025AEE">
        <w:rPr>
          <w:u w:val="single"/>
        </w:rPr>
        <w:t>Is the interpretation of the ADR rules correct for the following cases</w:t>
      </w:r>
      <w:r w:rsidR="00750E45" w:rsidRPr="00025AEE">
        <w:t>:</w:t>
      </w:r>
    </w:p>
    <w:p w14:paraId="3A701795" w14:textId="299EC550" w:rsidR="00750E45" w:rsidRPr="00025AEE" w:rsidRDefault="00BF631C" w:rsidP="00BF631C">
      <w:pPr>
        <w:pStyle w:val="SingleTxtG"/>
      </w:pPr>
      <w:r w:rsidRPr="00025AEE">
        <w:t>10.</w:t>
      </w:r>
      <w:r w:rsidRPr="00025AEE">
        <w:tab/>
      </w:r>
      <w:r w:rsidR="00750E45" w:rsidRPr="00025AEE">
        <w:rPr>
          <w:u w:val="single"/>
        </w:rPr>
        <w:t>Case 1</w:t>
      </w:r>
      <w:r w:rsidR="00750E45" w:rsidRPr="00025AEE">
        <w:t>:</w:t>
      </w:r>
    </w:p>
    <w:p w14:paraId="794575C8" w14:textId="76448590" w:rsidR="00750E45" w:rsidRPr="00025AEE" w:rsidRDefault="00750E45" w:rsidP="00BF631C">
      <w:pPr>
        <w:pStyle w:val="SingleTxtG"/>
        <w:ind w:left="1701"/>
      </w:pPr>
      <w:r w:rsidRPr="00025AEE">
        <w:t xml:space="preserve">The raised question in </w:t>
      </w:r>
      <w:r w:rsidR="005A79E5" w:rsidRPr="00025AEE">
        <w:t>item</w:t>
      </w:r>
      <w:r w:rsidRPr="00025AEE">
        <w:t xml:space="preserve"> 1. of the Swiss document, where “?” is set in the figure - </w:t>
      </w:r>
      <w:r w:rsidRPr="00025AEE">
        <w:rPr>
          <w:i/>
          <w:iCs/>
        </w:rPr>
        <w:t>a BEV as load with a damaged/defective battery where there is a significant impact on safety of the battery and where the removal of the battery is not possible</w:t>
      </w:r>
      <w:r w:rsidRPr="00025AEE">
        <w:t>:</w:t>
      </w:r>
    </w:p>
    <w:p w14:paraId="78C484DF" w14:textId="77777777" w:rsidR="00750E45" w:rsidRPr="00025AEE" w:rsidRDefault="00750E45" w:rsidP="00BF631C">
      <w:pPr>
        <w:pStyle w:val="SingleTxtG"/>
        <w:ind w:left="1701"/>
      </w:pPr>
      <w:r w:rsidRPr="00025AEE">
        <w:t>There are four SPs given in the table for this UN-number 3171.</w:t>
      </w:r>
    </w:p>
    <w:p w14:paraId="262A4BBC" w14:textId="77777777" w:rsidR="00750E45" w:rsidRPr="00025AEE" w:rsidRDefault="00750E45" w:rsidP="00BF631C">
      <w:pPr>
        <w:pStyle w:val="SingleTxtG"/>
        <w:ind w:left="1701"/>
      </w:pPr>
      <w:r w:rsidRPr="00025AEE">
        <w:t xml:space="preserve">SP 388 is referring to SP 667 c). That leads from case (ii) to case (i) in SP 667 b), because the battery cannot be removed. Case (i) </w:t>
      </w:r>
      <w:r w:rsidRPr="00025AEE">
        <w:rPr>
          <w:u w:val="single"/>
        </w:rPr>
        <w:t>exempts from the provisions of 2.2.9.1.7 ADR</w:t>
      </w:r>
      <w:r w:rsidRPr="00025AEE">
        <w:t xml:space="preserve"> and refers to the conditions of SP 666 for the whole vehicle.</w:t>
      </w:r>
    </w:p>
    <w:p w14:paraId="3FA8345A" w14:textId="77777777" w:rsidR="00750E45" w:rsidRPr="00025AEE" w:rsidRDefault="00750E45" w:rsidP="00BF631C">
      <w:pPr>
        <w:pStyle w:val="SingleTxtG"/>
        <w:ind w:left="1701"/>
      </w:pPr>
      <w:r w:rsidRPr="00025AEE">
        <w:t xml:space="preserve">Note: in SP 667 there is also a reference to SP 363, but SP 363 a) clarifies: </w:t>
      </w:r>
      <w:r w:rsidRPr="00025AEE">
        <w:rPr>
          <w:i/>
        </w:rPr>
        <w:t>“…</w:t>
      </w:r>
      <w:r w:rsidRPr="00025AEE">
        <w:rPr>
          <w:rFonts w:eastAsia="Calibri"/>
          <w:i/>
        </w:rPr>
        <w:t>except vehicle equipment assigned to UN No. 3166 referred to in SP 666</w:t>
      </w:r>
      <w:r w:rsidRPr="00025AEE">
        <w:rPr>
          <w:rFonts w:eastAsia="Calibri"/>
        </w:rPr>
        <w:t>”</w:t>
      </w:r>
      <w:r w:rsidRPr="00025AEE">
        <w:t xml:space="preserve">. </w:t>
      </w:r>
      <w:proofErr w:type="gramStart"/>
      <w:r w:rsidRPr="00025AEE">
        <w:t>So</w:t>
      </w:r>
      <w:proofErr w:type="gramEnd"/>
      <w:r w:rsidRPr="00025AEE">
        <w:t xml:space="preserve"> SP 363 is for </w:t>
      </w:r>
      <w:r w:rsidRPr="00025AEE">
        <w:rPr>
          <w:rFonts w:eastAsia="Calibri"/>
        </w:rPr>
        <w:t>engines or machinery</w:t>
      </w:r>
      <w:r w:rsidRPr="00025AEE">
        <w:t xml:space="preserve"> only and not for whole vehicles.</w:t>
      </w:r>
    </w:p>
    <w:p w14:paraId="32ED3E5B" w14:textId="77777777" w:rsidR="00750E45" w:rsidRPr="00025AEE" w:rsidRDefault="00750E45" w:rsidP="00BF631C">
      <w:pPr>
        <w:pStyle w:val="SingleTxtG"/>
        <w:ind w:left="1701"/>
      </w:pPr>
      <w:r w:rsidRPr="00025AEE">
        <w:t>SP 666 declares that vehicles are not subject to any other provision of ADR, provided some conditions are met. Since these conditions are automatically met by a BEV because of its nature without any fuel, there are no further conditions to be met.</w:t>
      </w:r>
    </w:p>
    <w:p w14:paraId="527E04D8" w14:textId="5B55B377" w:rsidR="00750E45" w:rsidRPr="00025AEE" w:rsidRDefault="00750E45" w:rsidP="00BF631C">
      <w:pPr>
        <w:pStyle w:val="SingleTxtG"/>
        <w:ind w:left="1701"/>
      </w:pPr>
      <w:r w:rsidRPr="00025AEE">
        <w:rPr>
          <w:u w:val="single"/>
        </w:rPr>
        <w:t>Conclusio</w:t>
      </w:r>
      <w:r w:rsidR="00BF631C" w:rsidRPr="00025AEE">
        <w:rPr>
          <w:u w:val="single"/>
        </w:rPr>
        <w:t>n</w:t>
      </w:r>
      <w:r w:rsidRPr="00025AEE">
        <w:t>: such a damaged BEV as load has NO conditions at all to fulfil.</w:t>
      </w:r>
    </w:p>
    <w:p w14:paraId="478CBFDD" w14:textId="07C35943" w:rsidR="00750E45" w:rsidRPr="00025AEE" w:rsidRDefault="00BF631C" w:rsidP="00BF631C">
      <w:pPr>
        <w:pStyle w:val="SingleTxtG"/>
      </w:pPr>
      <w:r w:rsidRPr="00025AEE">
        <w:t>11.</w:t>
      </w:r>
      <w:r w:rsidRPr="00025AEE">
        <w:tab/>
      </w:r>
      <w:r w:rsidR="00750E45" w:rsidRPr="00025AEE">
        <w:rPr>
          <w:u w:val="single"/>
        </w:rPr>
        <w:t>Case 2</w:t>
      </w:r>
      <w:r w:rsidR="00750E45" w:rsidRPr="00025AEE">
        <w:t>:</w:t>
      </w:r>
    </w:p>
    <w:p w14:paraId="7DA9629D" w14:textId="6F228F05" w:rsidR="00750E45" w:rsidRPr="00025AEE" w:rsidRDefault="00750E45" w:rsidP="00750E45">
      <w:pPr>
        <w:pStyle w:val="SingleTxtG"/>
        <w:numPr>
          <w:ilvl w:val="0"/>
          <w:numId w:val="32"/>
        </w:numPr>
        <w:suppressAutoHyphens/>
        <w:spacing w:line="240" w:lineRule="atLeast"/>
        <w:rPr>
          <w:iCs/>
        </w:rPr>
      </w:pPr>
      <w:r w:rsidRPr="00025AEE">
        <w:rPr>
          <w:iCs/>
        </w:rPr>
        <w:t xml:space="preserve">The main battery of a BEV which is used for propulsion, is not exempted by </w:t>
      </w:r>
      <w:r w:rsidRPr="00025AEE">
        <w:t>SP 388 last but one paragraph</w:t>
      </w:r>
      <w:r w:rsidRPr="00025AEE">
        <w:rPr>
          <w:iCs/>
        </w:rPr>
        <w:t xml:space="preserve"> with the mentioned “</w:t>
      </w:r>
      <w:r w:rsidRPr="00025AEE">
        <w:rPr>
          <w:i/>
          <w:iCs/>
        </w:rPr>
        <w:t>batteries</w:t>
      </w:r>
      <w:r w:rsidRPr="00025AEE">
        <w:rPr>
          <w:iCs/>
        </w:rPr>
        <w:t>” and “</w:t>
      </w:r>
      <w:r w:rsidRPr="00025AEE">
        <w:rPr>
          <w:i/>
          <w:iCs/>
        </w:rPr>
        <w:t>integral components</w:t>
      </w:r>
      <w:r w:rsidRPr="00025AEE">
        <w:rPr>
          <w:iCs/>
        </w:rPr>
        <w:t>”, because they</w:t>
      </w:r>
      <w:r w:rsidRPr="00025AEE">
        <w:t xml:space="preserve"> are subject of SP 666 which contains conditions</w:t>
      </w:r>
      <w:r w:rsidR="00C74701" w:rsidRPr="00025AEE">
        <w:rPr>
          <w:iCs/>
        </w:rPr>
        <w:t>;</w:t>
      </w:r>
    </w:p>
    <w:p w14:paraId="66391F5D" w14:textId="77777777" w:rsidR="00750E45" w:rsidRPr="00025AEE" w:rsidRDefault="00750E45" w:rsidP="00750E45">
      <w:pPr>
        <w:pStyle w:val="SingleTxtG"/>
        <w:numPr>
          <w:ilvl w:val="0"/>
          <w:numId w:val="32"/>
        </w:numPr>
        <w:suppressAutoHyphens/>
        <w:spacing w:line="240" w:lineRule="atLeast"/>
        <w:rPr>
          <w:iCs/>
        </w:rPr>
      </w:pPr>
      <w:r w:rsidRPr="00025AEE">
        <w:rPr>
          <w:iCs/>
        </w:rPr>
        <w:t xml:space="preserve">Goods used for propulsion (e.g. diesel) are not exempted by </w:t>
      </w:r>
      <w:r w:rsidRPr="00025AEE">
        <w:t>SP 388 last but one paragraph</w:t>
      </w:r>
      <w:r w:rsidRPr="00025AEE">
        <w:rPr>
          <w:iCs/>
        </w:rPr>
        <w:t xml:space="preserve"> with the mentioned “</w:t>
      </w:r>
      <w:r w:rsidRPr="00025AEE">
        <w:rPr>
          <w:i/>
          <w:iCs/>
        </w:rPr>
        <w:t>integral components</w:t>
      </w:r>
      <w:r w:rsidRPr="00025AEE">
        <w:rPr>
          <w:iCs/>
        </w:rPr>
        <w:t>”, because they</w:t>
      </w:r>
      <w:r w:rsidRPr="00025AEE">
        <w:t xml:space="preserve"> are no components and/or are subject of SP 666 which contains conditions</w:t>
      </w:r>
      <w:r w:rsidRPr="00025AEE">
        <w:rPr>
          <w:iCs/>
        </w:rPr>
        <w:t>.</w:t>
      </w:r>
    </w:p>
    <w:p w14:paraId="38751637" w14:textId="77777777" w:rsidR="00750E45" w:rsidRPr="00025AEE" w:rsidRDefault="00750E45" w:rsidP="00750E45">
      <w:pPr>
        <w:pStyle w:val="SingleTxtG"/>
        <w:spacing w:after="240"/>
        <w:ind w:left="1690"/>
        <w:rPr>
          <w:iCs/>
        </w:rPr>
      </w:pPr>
      <w:r w:rsidRPr="00025AEE">
        <w:rPr>
          <w:u w:val="single"/>
        </w:rPr>
        <w:t>Note</w:t>
      </w:r>
      <w:r w:rsidRPr="00025AEE">
        <w:t>: Last but one paragraph of SP 388</w:t>
      </w:r>
      <w:proofErr w:type="gramStart"/>
      <w:r w:rsidRPr="00025AEE">
        <w:t>:  “</w:t>
      </w:r>
      <w:proofErr w:type="gramEnd"/>
      <w:r w:rsidRPr="00025AEE">
        <w:rPr>
          <w:i/>
          <w:iCs/>
        </w:rPr>
        <w:t xml:space="preserve">Dangerous goods, such as </w:t>
      </w:r>
      <w:r w:rsidRPr="00025AEE">
        <w:rPr>
          <w:i/>
          <w:iCs/>
          <w:u w:val="single"/>
        </w:rPr>
        <w:t>batteries</w:t>
      </w:r>
      <w:r w:rsidRPr="00025AEE">
        <w:rPr>
          <w:i/>
        </w:rPr>
        <w:t xml:space="preserve"> … </w:t>
      </w:r>
      <w:r w:rsidRPr="00025AEE">
        <w:rPr>
          <w:i/>
          <w:iCs/>
        </w:rPr>
        <w:t xml:space="preserve">and other </w:t>
      </w:r>
      <w:r w:rsidRPr="00025AEE">
        <w:rPr>
          <w:i/>
          <w:iCs/>
          <w:u w:val="single"/>
        </w:rPr>
        <w:t>integral components of the vehicle that are necessary for the operation</w:t>
      </w:r>
      <w:r w:rsidRPr="00025AEE">
        <w:rPr>
          <w:i/>
          <w:iCs/>
        </w:rPr>
        <w:t xml:space="preserve"> of the vehicle or for the safety of its operator or passengers, shall be securely installed in the vehicle </w:t>
      </w:r>
      <w:r w:rsidRPr="00025AEE">
        <w:rPr>
          <w:i/>
          <w:iCs/>
          <w:u w:val="single"/>
        </w:rPr>
        <w:t>and are not otherwise subject to ADR</w:t>
      </w:r>
      <w:r w:rsidRPr="00025AEE">
        <w:rPr>
          <w:iCs/>
        </w:rPr>
        <w:t>”.</w:t>
      </w:r>
    </w:p>
    <w:p w14:paraId="7EE2173D" w14:textId="401CE176" w:rsidR="00750E45" w:rsidRPr="00025AEE" w:rsidRDefault="00BF631C" w:rsidP="00BF631C">
      <w:pPr>
        <w:pStyle w:val="SingleTxtG"/>
      </w:pPr>
      <w:r w:rsidRPr="00025AEE">
        <w:t>12.</w:t>
      </w:r>
      <w:r w:rsidRPr="00025AEE">
        <w:tab/>
      </w:r>
      <w:r w:rsidR="00750E45" w:rsidRPr="00025AEE">
        <w:rPr>
          <w:u w:val="single"/>
        </w:rPr>
        <w:t>Case 3</w:t>
      </w:r>
      <w:r w:rsidR="00750E45" w:rsidRPr="00025AEE">
        <w:t xml:space="preserve">: </w:t>
      </w:r>
    </w:p>
    <w:p w14:paraId="42A28881" w14:textId="77777777" w:rsidR="00750E45" w:rsidRPr="00025AEE" w:rsidRDefault="00750E45" w:rsidP="00750E45">
      <w:pPr>
        <w:pStyle w:val="SingleTxtG"/>
        <w:ind w:left="1689"/>
      </w:pPr>
      <w:r w:rsidRPr="00025AEE">
        <w:rPr>
          <w:i/>
        </w:rPr>
        <w:t>BEV as load where the vehicle and battery are not damaged / not defective</w:t>
      </w:r>
      <w:r w:rsidRPr="00025AEE">
        <w:t>:</w:t>
      </w:r>
    </w:p>
    <w:p w14:paraId="705B94C0" w14:textId="77777777" w:rsidR="00750E45" w:rsidRPr="00025AEE" w:rsidRDefault="00750E45" w:rsidP="00750E45">
      <w:pPr>
        <w:pStyle w:val="SingleTxtG"/>
        <w:ind w:left="1689"/>
      </w:pPr>
      <w:r w:rsidRPr="00025AEE">
        <w:t xml:space="preserve">The Swiss document mentions SP 389 for not damaged vehicles. With UN 3171 as the specific UN-number for a BEV listing four SPs in Table A, there is no evidence to also take SP 389 into account, since there is no reference to it at all. Additionally, </w:t>
      </w:r>
      <w:r w:rsidRPr="00025AEE">
        <w:lastRenderedPageBreak/>
        <w:t xml:space="preserve">SP 389 only applies to batteries that are designed to provide power external to the unit. </w:t>
      </w:r>
      <w:proofErr w:type="gramStart"/>
      <w:r w:rsidRPr="00025AEE">
        <w:t>So</w:t>
      </w:r>
      <w:proofErr w:type="gramEnd"/>
      <w:r w:rsidRPr="00025AEE">
        <w:t xml:space="preserve"> for a regular BEV the SP 389 should not be applied.</w:t>
      </w:r>
    </w:p>
    <w:p w14:paraId="04668C6E" w14:textId="77777777" w:rsidR="00750E45" w:rsidRPr="00025AEE" w:rsidRDefault="00750E45" w:rsidP="00750E45">
      <w:pPr>
        <w:pStyle w:val="SingleTxtG"/>
        <w:ind w:left="1689"/>
      </w:pPr>
      <w:r w:rsidRPr="00025AEE">
        <w:t xml:space="preserve">Without a listed exemption of SP 667 (prototype or damages) </w:t>
      </w:r>
      <w:r w:rsidRPr="00025AEE">
        <w:rPr>
          <w:u w:val="single"/>
        </w:rPr>
        <w:t xml:space="preserve">batteries </w:t>
      </w:r>
      <w:proofErr w:type="gramStart"/>
      <w:r w:rsidRPr="00025AEE">
        <w:rPr>
          <w:u w:val="single"/>
        </w:rPr>
        <w:t>have to</w:t>
      </w:r>
      <w:proofErr w:type="gramEnd"/>
      <w:r w:rsidRPr="00025AEE">
        <w:rPr>
          <w:u w:val="single"/>
        </w:rPr>
        <w:t xml:space="preserve"> fulfil all provisions of 2.2.9.1.7 ADR</w:t>
      </w:r>
      <w:r w:rsidRPr="00025AEE">
        <w:t xml:space="preserve"> because of the reference in SP 388.</w:t>
      </w:r>
    </w:p>
    <w:p w14:paraId="6D26030B" w14:textId="77777777" w:rsidR="00750E45" w:rsidRPr="00025AEE" w:rsidRDefault="00750E45" w:rsidP="00750E45">
      <w:pPr>
        <w:pStyle w:val="SingleTxtG"/>
        <w:ind w:left="1689"/>
      </w:pPr>
      <w:r w:rsidRPr="00025AEE">
        <w:t>SP 666 does not add any further conditions and declares that vehicles are not subject to any other provisions of ADR.</w:t>
      </w:r>
    </w:p>
    <w:p w14:paraId="664FA7D8" w14:textId="20B0EA10" w:rsidR="00750E45" w:rsidRPr="00025AEE" w:rsidRDefault="00750E45" w:rsidP="00750E45">
      <w:pPr>
        <w:pStyle w:val="SingleTxtG"/>
        <w:spacing w:after="240"/>
        <w:ind w:left="1690"/>
      </w:pPr>
      <w:r w:rsidRPr="00025AEE">
        <w:rPr>
          <w:u w:val="single"/>
        </w:rPr>
        <w:t>Conclusio</w:t>
      </w:r>
      <w:r w:rsidR="00BF631C" w:rsidRPr="00025AEE">
        <w:rPr>
          <w:u w:val="single"/>
        </w:rPr>
        <w:t>n</w:t>
      </w:r>
      <w:r w:rsidRPr="00025AEE">
        <w:t xml:space="preserve">: a BEV as load only </w:t>
      </w:r>
      <w:proofErr w:type="gramStart"/>
      <w:r w:rsidRPr="00025AEE">
        <w:t>has to</w:t>
      </w:r>
      <w:proofErr w:type="gramEnd"/>
      <w:r w:rsidRPr="00025AEE">
        <w:t xml:space="preserve"> meet 2.2.9.1.7 ADR for the batteries.</w:t>
      </w:r>
    </w:p>
    <w:p w14:paraId="18E6E436" w14:textId="0CC273EC" w:rsidR="00750E45" w:rsidRPr="00025AEE" w:rsidRDefault="00BF631C" w:rsidP="00BF631C">
      <w:pPr>
        <w:pStyle w:val="SingleTxtG"/>
        <w:suppressAutoHyphens/>
        <w:spacing w:after="0" w:line="240" w:lineRule="atLeast"/>
      </w:pPr>
      <w:r w:rsidRPr="00025AEE">
        <w:t>13.</w:t>
      </w:r>
      <w:r w:rsidRPr="00025AEE">
        <w:tab/>
      </w:r>
      <w:r w:rsidR="005A79E5" w:rsidRPr="00025AEE">
        <w:rPr>
          <w:u w:val="single"/>
        </w:rPr>
        <w:t>Case</w:t>
      </w:r>
      <w:r w:rsidR="00750E45" w:rsidRPr="00025AEE">
        <w:rPr>
          <w:u w:val="single"/>
        </w:rPr>
        <w:t xml:space="preserve"> 4</w:t>
      </w:r>
      <w:r w:rsidR="00750E45" w:rsidRPr="00025AEE">
        <w:t>:</w:t>
      </w:r>
    </w:p>
    <w:p w14:paraId="6CCD9DD1" w14:textId="77777777" w:rsidR="00750E45" w:rsidRPr="00025AEE" w:rsidRDefault="00750E45" w:rsidP="00BF631C">
      <w:pPr>
        <w:pStyle w:val="SingleTxtG"/>
        <w:spacing w:before="120"/>
        <w:ind w:left="1690"/>
      </w:pPr>
      <w:r w:rsidRPr="00025AEE">
        <w:rPr>
          <w:i/>
        </w:rPr>
        <w:t xml:space="preserve">Damaged vehicles as load with a combustion engine (also hybrids), where the valves cannot be </w:t>
      </w:r>
      <w:proofErr w:type="gramStart"/>
      <w:r w:rsidRPr="00025AEE">
        <w:rPr>
          <w:i/>
        </w:rPr>
        <w:t>closed</w:t>
      </w:r>
      <w:proofErr w:type="gramEnd"/>
      <w:r w:rsidRPr="00025AEE">
        <w:rPr>
          <w:i/>
        </w:rPr>
        <w:t xml:space="preserve"> and the filled tanks cannot be emptied because of the damage</w:t>
      </w:r>
      <w:r w:rsidRPr="00025AEE">
        <w:t>:</w:t>
      </w:r>
    </w:p>
    <w:p w14:paraId="272C4F97" w14:textId="77777777" w:rsidR="00750E45" w:rsidRPr="00025AEE" w:rsidRDefault="00750E45" w:rsidP="00750E45">
      <w:pPr>
        <w:pStyle w:val="SingleTxtG"/>
        <w:ind w:left="1689"/>
      </w:pPr>
      <w:r w:rsidRPr="00025AEE">
        <w:t>With a combustion engine, we have UN 3166 with four SPs in Table A, where also SP 388 helps with definitions, assignment and exception of other dangerous goods within the vehicle (e.g. airbags).</w:t>
      </w:r>
    </w:p>
    <w:p w14:paraId="69F626A6" w14:textId="06382BC8" w:rsidR="00750E45" w:rsidRPr="00025AEE" w:rsidRDefault="00750E45" w:rsidP="00750E45">
      <w:pPr>
        <w:pStyle w:val="SingleTxtG"/>
        <w:ind w:left="1689"/>
      </w:pPr>
      <w:r w:rsidRPr="00025AEE">
        <w:t xml:space="preserve">UN 3166 also includes hybrids with a battery for the electric powertrain. These hybrids additionally </w:t>
      </w:r>
      <w:proofErr w:type="gramStart"/>
      <w:r w:rsidRPr="00025AEE">
        <w:t>have to</w:t>
      </w:r>
      <w:proofErr w:type="gramEnd"/>
      <w:r w:rsidRPr="00025AEE">
        <w:t xml:space="preserve"> fulfil the condition of SP 667, stating to safely remove the battery if possible and transport it under SP 376 if the damage has a significant impact on the safety of the battery. The damage can be to the battery according to SP 388 and SP 667 c), or to the vehicle according to SP 667 b). For all other cases there are no additional conditions resulting from the battery. [</w:t>
      </w:r>
      <w:r w:rsidR="005A79E5" w:rsidRPr="00025AEE">
        <w:t>Similar to case</w:t>
      </w:r>
      <w:r w:rsidRPr="00025AEE">
        <w:t xml:space="preserve"> 1]</w:t>
      </w:r>
    </w:p>
    <w:p w14:paraId="2335A37F" w14:textId="77777777" w:rsidR="00750E45" w:rsidRPr="00025AEE" w:rsidRDefault="00750E45" w:rsidP="00750E45">
      <w:pPr>
        <w:pStyle w:val="SingleTxtG"/>
        <w:ind w:left="1689"/>
      </w:pPr>
      <w:r w:rsidRPr="00025AEE">
        <w:t>SP 666 declares for all UN 3166 vehicles, that “</w:t>
      </w:r>
      <w:r w:rsidRPr="00025AEE">
        <w:rPr>
          <w:i/>
        </w:rPr>
        <w:t>vehicles … are not subject to any other provisions of ADR provided the following conditions are met</w:t>
      </w:r>
      <w:r w:rsidRPr="00025AEE">
        <w:t>”.</w:t>
      </w:r>
    </w:p>
    <w:p w14:paraId="5BCDF5E8" w14:textId="77777777" w:rsidR="00750E45" w:rsidRPr="00025AEE" w:rsidRDefault="00750E45" w:rsidP="00750E45">
      <w:pPr>
        <w:pStyle w:val="SingleTxtG"/>
        <w:ind w:left="1689"/>
      </w:pPr>
      <w:r w:rsidRPr="00025AEE">
        <w:t>In the scenario of this question 4, the conditions cannot be met. In that case and with the wording of SP 666, these vehicles are indeed subject to other provisions of ADR.</w:t>
      </w:r>
    </w:p>
    <w:p w14:paraId="075FBD05" w14:textId="77777777" w:rsidR="00750E45" w:rsidRPr="00025AEE" w:rsidRDefault="00750E45" w:rsidP="00750E45">
      <w:pPr>
        <w:pStyle w:val="SingleTxtG"/>
        <w:ind w:left="1689"/>
      </w:pPr>
      <w:r w:rsidRPr="00025AEE">
        <w:t>Since Table A is poorly filled with data for UN 3166, we need to remember 3.2.1 ADR stating, that “</w:t>
      </w:r>
      <w:r w:rsidRPr="00025AEE">
        <w:rPr>
          <w:i/>
        </w:rPr>
        <w:t>The applicable general requirements are not referred to in the corresponding cells</w:t>
      </w:r>
      <w:r w:rsidRPr="00025AEE">
        <w:t>.”</w:t>
      </w:r>
    </w:p>
    <w:p w14:paraId="7EE32654" w14:textId="77777777" w:rsidR="00750E45" w:rsidRPr="00025AEE" w:rsidRDefault="00750E45" w:rsidP="00750E45">
      <w:pPr>
        <w:pStyle w:val="SingleTxtG"/>
        <w:spacing w:after="100"/>
        <w:ind w:left="1689"/>
      </w:pPr>
      <w:r w:rsidRPr="00025AEE">
        <w:t>Without data in the cells in Table A, some general requirements are:</w:t>
      </w:r>
    </w:p>
    <w:p w14:paraId="6B426996" w14:textId="77777777" w:rsidR="00750E45" w:rsidRPr="00025AEE" w:rsidRDefault="00750E45" w:rsidP="00750E45">
      <w:pPr>
        <w:pStyle w:val="SingleTxtG"/>
        <w:numPr>
          <w:ilvl w:val="0"/>
          <w:numId w:val="31"/>
        </w:numPr>
        <w:suppressAutoHyphens/>
        <w:spacing w:after="100" w:line="240" w:lineRule="atLeast"/>
        <w:ind w:hanging="424"/>
      </w:pPr>
      <w:r w:rsidRPr="00025AEE">
        <w:t>5.2.1.1 ADR states for “</w:t>
      </w:r>
      <w:r w:rsidRPr="00025AEE">
        <w:rPr>
          <w:i/>
          <w:lang w:val="en-US"/>
        </w:rPr>
        <w:t>marking and labelling</w:t>
      </w:r>
      <w:r w:rsidRPr="00025AEE">
        <w:rPr>
          <w:lang w:val="en-US"/>
        </w:rPr>
        <w:t>”:</w:t>
      </w:r>
    </w:p>
    <w:p w14:paraId="6DD9901B" w14:textId="3CCC5ACE" w:rsidR="00750E45" w:rsidRPr="00025AEE" w:rsidRDefault="005A79E5" w:rsidP="005A79E5">
      <w:pPr>
        <w:pStyle w:val="SingleTxtG"/>
        <w:suppressAutoHyphens/>
        <w:spacing w:after="100" w:line="240" w:lineRule="atLeast"/>
        <w:ind w:left="2769"/>
      </w:pPr>
      <w:r w:rsidRPr="00025AEE">
        <w:rPr>
          <w:lang w:val="en-US"/>
        </w:rPr>
        <w:t>-</w:t>
      </w:r>
      <w:r w:rsidRPr="00025AEE">
        <w:rPr>
          <w:lang w:val="en-US"/>
        </w:rPr>
        <w:tab/>
      </w:r>
      <w:r w:rsidR="00750E45" w:rsidRPr="00025AEE">
        <w:rPr>
          <w:lang w:val="en-US"/>
        </w:rPr>
        <w:t>“</w:t>
      </w:r>
      <w:r w:rsidR="00750E45" w:rsidRPr="00025AEE">
        <w:rPr>
          <w:i/>
        </w:rPr>
        <w:t xml:space="preserve">Unless provided otherwise in ADR, the </w:t>
      </w:r>
      <w:r w:rsidR="00750E45" w:rsidRPr="00025AEE">
        <w:rPr>
          <w:i/>
          <w:u w:val="single"/>
        </w:rPr>
        <w:t>UN number</w:t>
      </w:r>
      <w:r w:rsidR="00750E45" w:rsidRPr="00025AEE">
        <w:rPr>
          <w:i/>
        </w:rPr>
        <w:t xml:space="preserve"> corresponding to the dangerous goods contained, preceded by the letters "</w:t>
      </w:r>
      <w:r w:rsidR="00750E45" w:rsidRPr="00025AEE">
        <w:rPr>
          <w:i/>
          <w:u w:val="single"/>
        </w:rPr>
        <w:t>UN</w:t>
      </w:r>
      <w:r w:rsidR="00750E45" w:rsidRPr="00025AEE">
        <w:rPr>
          <w:i/>
        </w:rPr>
        <w:t xml:space="preserve">" shall be clearly and durably </w:t>
      </w:r>
      <w:r w:rsidR="00750E45" w:rsidRPr="00025AEE">
        <w:rPr>
          <w:i/>
          <w:u w:val="single"/>
        </w:rPr>
        <w:t>marked</w:t>
      </w:r>
      <w:r w:rsidR="00750E45" w:rsidRPr="00025AEE">
        <w:rPr>
          <w:i/>
        </w:rPr>
        <w:t xml:space="preserve"> on each package</w:t>
      </w:r>
      <w:r w:rsidR="00750E45" w:rsidRPr="00025AEE">
        <w:t>”</w:t>
      </w:r>
      <w:r w:rsidR="00C74701" w:rsidRPr="00025AEE">
        <w:t>;</w:t>
      </w:r>
    </w:p>
    <w:p w14:paraId="4E7A5C4F" w14:textId="36B3723D" w:rsidR="00750E45" w:rsidRPr="00025AEE" w:rsidRDefault="005A79E5" w:rsidP="005A79E5">
      <w:pPr>
        <w:pStyle w:val="SingleTxtG"/>
        <w:suppressAutoHyphens/>
        <w:spacing w:after="100" w:line="240" w:lineRule="atLeast"/>
        <w:ind w:left="2769"/>
      </w:pPr>
      <w:r w:rsidRPr="00025AEE">
        <w:t>-</w:t>
      </w:r>
      <w:r w:rsidRPr="00025AEE">
        <w:tab/>
      </w:r>
      <w:r w:rsidR="00750E45" w:rsidRPr="00025AEE">
        <w:t>“</w:t>
      </w:r>
      <w:r w:rsidR="00750E45" w:rsidRPr="00025AEE">
        <w:rPr>
          <w:i/>
        </w:rPr>
        <w:t xml:space="preserve">In the case of unpackaged </w:t>
      </w:r>
      <w:proofErr w:type="gramStart"/>
      <w:r w:rsidR="00750E45" w:rsidRPr="00025AEE">
        <w:rPr>
          <w:i/>
        </w:rPr>
        <w:t>articles</w:t>
      </w:r>
      <w:proofErr w:type="gramEnd"/>
      <w:r w:rsidR="00750E45" w:rsidRPr="00025AEE">
        <w:rPr>
          <w:i/>
        </w:rPr>
        <w:t xml:space="preserve"> the mark shall be displayed </w:t>
      </w:r>
      <w:r w:rsidR="00750E45" w:rsidRPr="00025AEE">
        <w:rPr>
          <w:i/>
          <w:u w:val="single"/>
        </w:rPr>
        <w:t>on the article</w:t>
      </w:r>
      <w:r w:rsidR="00750E45" w:rsidRPr="00025AEE">
        <w:rPr>
          <w:i/>
        </w:rPr>
        <w:t>, on its cradle or on its handling, storage or launching device</w:t>
      </w:r>
      <w:r w:rsidR="00750E45" w:rsidRPr="00025AEE">
        <w:t>.”</w:t>
      </w:r>
    </w:p>
    <w:p w14:paraId="47343052" w14:textId="6DB2360C" w:rsidR="00750E45" w:rsidRPr="00025AEE" w:rsidRDefault="00750E45" w:rsidP="00750E45">
      <w:pPr>
        <w:pStyle w:val="SingleTxtG"/>
        <w:numPr>
          <w:ilvl w:val="0"/>
          <w:numId w:val="31"/>
        </w:numPr>
        <w:suppressAutoHyphens/>
        <w:spacing w:after="100" w:line="240" w:lineRule="atLeast"/>
        <w:ind w:hanging="424"/>
        <w:rPr>
          <w:lang w:val="en-US"/>
        </w:rPr>
      </w:pPr>
      <w:r w:rsidRPr="00025AEE">
        <w:rPr>
          <w:bCs/>
          <w:iCs/>
        </w:rPr>
        <w:t>5.2.1.8.2 ADR</w:t>
      </w:r>
      <w:proofErr w:type="gramStart"/>
      <w:r w:rsidRPr="00025AEE">
        <w:rPr>
          <w:bCs/>
          <w:iCs/>
        </w:rPr>
        <w:t>: ”</w:t>
      </w:r>
      <w:r w:rsidRPr="00025AEE">
        <w:rPr>
          <w:bCs/>
          <w:i/>
          <w:iCs/>
        </w:rPr>
        <w:t>The</w:t>
      </w:r>
      <w:proofErr w:type="gramEnd"/>
      <w:r w:rsidRPr="00025AEE">
        <w:rPr>
          <w:bCs/>
          <w:i/>
          <w:iCs/>
        </w:rPr>
        <w:t xml:space="preserve"> </w:t>
      </w:r>
      <w:r w:rsidRPr="00025AEE">
        <w:rPr>
          <w:bCs/>
          <w:i/>
          <w:iCs/>
          <w:u w:val="single"/>
        </w:rPr>
        <w:t>environmentally hazardous substance mark</w:t>
      </w:r>
      <w:r w:rsidRPr="00025AEE">
        <w:rPr>
          <w:bCs/>
          <w:i/>
          <w:iCs/>
        </w:rPr>
        <w:t xml:space="preserve"> shall be located adjacent to the marks </w:t>
      </w:r>
      <w:r w:rsidRPr="00025AEE">
        <w:rPr>
          <w:bCs/>
          <w:i/>
        </w:rPr>
        <w:t>required by 5.2.1.1.</w:t>
      </w:r>
      <w:r w:rsidRPr="00025AEE">
        <w:rPr>
          <w:bCs/>
        </w:rPr>
        <w:t>”</w:t>
      </w:r>
      <w:r w:rsidR="00C74701" w:rsidRPr="00025AEE">
        <w:rPr>
          <w:bCs/>
        </w:rPr>
        <w:t>;</w:t>
      </w:r>
    </w:p>
    <w:p w14:paraId="382E89AA" w14:textId="1CA39E83" w:rsidR="00750E45" w:rsidRPr="00025AEE" w:rsidRDefault="00750E45" w:rsidP="00750E45">
      <w:pPr>
        <w:pStyle w:val="SingleTxtG"/>
        <w:numPr>
          <w:ilvl w:val="0"/>
          <w:numId w:val="31"/>
        </w:numPr>
        <w:suppressAutoHyphens/>
        <w:spacing w:after="100" w:line="240" w:lineRule="atLeast"/>
        <w:ind w:hanging="424"/>
        <w:rPr>
          <w:lang w:val="en-US"/>
        </w:rPr>
      </w:pPr>
      <w:r w:rsidRPr="00025AEE">
        <w:rPr>
          <w:rFonts w:eastAsia="SimSun"/>
          <w:bCs/>
        </w:rPr>
        <w:t xml:space="preserve">5.2.1.9.1 ADR: </w:t>
      </w:r>
      <w:r w:rsidRPr="00025AEE">
        <w:rPr>
          <w:rFonts w:eastAsia="SimSun"/>
          <w:bCs/>
          <w:u w:val="single"/>
        </w:rPr>
        <w:t xml:space="preserve">No </w:t>
      </w:r>
      <w:r w:rsidRPr="00025AEE">
        <w:rPr>
          <w:u w:val="single"/>
        </w:rPr>
        <w:t>Lithium battery mark</w:t>
      </w:r>
      <w:r w:rsidRPr="00025AEE">
        <w:t>, because only</w:t>
      </w:r>
      <w:r w:rsidRPr="00025AEE">
        <w:rPr>
          <w:i/>
        </w:rPr>
        <w:t xml:space="preserve"> “p</w:t>
      </w:r>
      <w:r w:rsidRPr="00025AEE">
        <w:rPr>
          <w:rFonts w:eastAsia="SimSun"/>
          <w:bCs/>
          <w:i/>
        </w:rPr>
        <w:t>ackages containing lithium cells or batteries prepared in accordance with special provision 188 shall be marked</w:t>
      </w:r>
      <w:r w:rsidRPr="00025AEE">
        <w:rPr>
          <w:rFonts w:eastAsia="SimSun"/>
          <w:bCs/>
        </w:rPr>
        <w:t>”</w:t>
      </w:r>
      <w:r w:rsidR="00C74701" w:rsidRPr="00025AEE">
        <w:rPr>
          <w:rFonts w:eastAsia="SimSun"/>
          <w:bCs/>
        </w:rPr>
        <w:t>;</w:t>
      </w:r>
    </w:p>
    <w:p w14:paraId="6C640A5C" w14:textId="6C2A711D" w:rsidR="00750E45" w:rsidRPr="00025AEE" w:rsidRDefault="00750E45" w:rsidP="00750E45">
      <w:pPr>
        <w:pStyle w:val="SingleTxtG"/>
        <w:numPr>
          <w:ilvl w:val="0"/>
          <w:numId w:val="31"/>
        </w:numPr>
        <w:suppressAutoHyphens/>
        <w:spacing w:after="100" w:line="240" w:lineRule="atLeast"/>
        <w:ind w:left="2410" w:hanging="425"/>
        <w:rPr>
          <w:lang w:val="en-US"/>
        </w:rPr>
      </w:pPr>
      <w:r w:rsidRPr="00025AEE">
        <w:t xml:space="preserve">5.2.1.10.1 ADR: </w:t>
      </w:r>
      <w:r w:rsidRPr="00025AEE">
        <w:rPr>
          <w:u w:val="single"/>
        </w:rPr>
        <w:t>No orientation arrows</w:t>
      </w:r>
      <w:r w:rsidRPr="00025AEE">
        <w:t xml:space="preserve"> should be needed, because they are not strictly mentioned. The lastly modified case in this entry states machinery and apparatus, but no vehicle</w:t>
      </w:r>
      <w:r w:rsidR="00C74701" w:rsidRPr="00025AEE">
        <w:t>;</w:t>
      </w:r>
    </w:p>
    <w:p w14:paraId="54EE4FD3" w14:textId="1296D43E" w:rsidR="00750E45" w:rsidRPr="00025AEE" w:rsidRDefault="00750E45" w:rsidP="00750E45">
      <w:pPr>
        <w:pStyle w:val="SingleTxtG"/>
        <w:numPr>
          <w:ilvl w:val="0"/>
          <w:numId w:val="31"/>
        </w:numPr>
        <w:suppressAutoHyphens/>
        <w:spacing w:after="100" w:line="240" w:lineRule="atLeast"/>
        <w:ind w:left="2410" w:hanging="425"/>
        <w:rPr>
          <w:lang w:val="en-US"/>
        </w:rPr>
      </w:pPr>
      <w:r w:rsidRPr="00025AEE">
        <w:rPr>
          <w:lang w:val="en-US"/>
        </w:rPr>
        <w:t xml:space="preserve">5.2.2 ADR: Table A does not list any labeling requirements for UN 3166, so there is </w:t>
      </w:r>
      <w:r w:rsidRPr="00025AEE">
        <w:rPr>
          <w:u w:val="single"/>
          <w:lang w:val="en-US"/>
        </w:rPr>
        <w:t>no labeling</w:t>
      </w:r>
      <w:r w:rsidRPr="00025AEE">
        <w:rPr>
          <w:lang w:val="en-US"/>
        </w:rPr>
        <w:t xml:space="preserve"> in accordance with 5.2.2.1.1. ADR</w:t>
      </w:r>
      <w:r w:rsidR="00C74701" w:rsidRPr="00025AEE">
        <w:rPr>
          <w:lang w:val="en-US"/>
        </w:rPr>
        <w:t>;</w:t>
      </w:r>
    </w:p>
    <w:p w14:paraId="55793AC7" w14:textId="3F591B66" w:rsidR="00750E45" w:rsidRPr="00025AEE" w:rsidRDefault="00750E45" w:rsidP="00750E45">
      <w:pPr>
        <w:pStyle w:val="SingleTxtG"/>
        <w:numPr>
          <w:ilvl w:val="0"/>
          <w:numId w:val="31"/>
        </w:numPr>
        <w:suppressAutoHyphens/>
        <w:spacing w:after="100" w:line="240" w:lineRule="atLeast"/>
        <w:ind w:left="2410" w:hanging="425"/>
        <w:rPr>
          <w:lang w:val="en-US"/>
        </w:rPr>
      </w:pPr>
      <w:r w:rsidRPr="00025AEE">
        <w:rPr>
          <w:lang w:val="en-US"/>
        </w:rPr>
        <w:t xml:space="preserve">5.4 ADR: Table A does not list any placarding requirements for UN 3166, so there is </w:t>
      </w:r>
      <w:r w:rsidRPr="00025AEE">
        <w:rPr>
          <w:u w:val="single"/>
          <w:lang w:val="en-US"/>
        </w:rPr>
        <w:t>no placarding</w:t>
      </w:r>
      <w:r w:rsidRPr="00025AEE">
        <w:rPr>
          <w:lang w:val="en-US"/>
        </w:rPr>
        <w:t xml:space="preserve"> in accordance with 5.3.1.1.1. ADR</w:t>
      </w:r>
      <w:r w:rsidR="00C74701" w:rsidRPr="00025AEE">
        <w:rPr>
          <w:lang w:val="en-US"/>
        </w:rPr>
        <w:t>;</w:t>
      </w:r>
    </w:p>
    <w:p w14:paraId="26D0B811" w14:textId="77777777" w:rsidR="00750E45" w:rsidRPr="00025AEE" w:rsidRDefault="00750E45" w:rsidP="00750E45">
      <w:pPr>
        <w:pStyle w:val="SingleTxtG"/>
        <w:numPr>
          <w:ilvl w:val="0"/>
          <w:numId w:val="31"/>
        </w:numPr>
        <w:suppressAutoHyphens/>
        <w:spacing w:after="100" w:line="240" w:lineRule="atLeast"/>
        <w:ind w:left="2410" w:hanging="425"/>
        <w:rPr>
          <w:lang w:val="en-US"/>
        </w:rPr>
      </w:pPr>
      <w:r w:rsidRPr="00025AEE">
        <w:rPr>
          <w:lang w:val="en-US"/>
        </w:rPr>
        <w:t xml:space="preserve">5.3.2 ADR: </w:t>
      </w:r>
      <w:r w:rsidRPr="00025AEE">
        <w:rPr>
          <w:i/>
          <w:iCs/>
        </w:rPr>
        <w:t>orange-coloured plate marking:</w:t>
      </w:r>
    </w:p>
    <w:p w14:paraId="30321A80" w14:textId="0F65F4FC" w:rsidR="00750E45" w:rsidRPr="00025AEE" w:rsidRDefault="005A79E5" w:rsidP="005A79E5">
      <w:pPr>
        <w:pStyle w:val="SingleTxtG"/>
        <w:suppressAutoHyphens/>
        <w:spacing w:after="100" w:line="240" w:lineRule="atLeast"/>
        <w:ind w:left="2127"/>
        <w:rPr>
          <w:lang w:val="en-US"/>
        </w:rPr>
      </w:pPr>
      <w:r w:rsidRPr="00025AEE">
        <w:t>-</w:t>
      </w:r>
      <w:r w:rsidRPr="00025AEE">
        <w:tab/>
      </w:r>
      <w:r w:rsidR="00750E45" w:rsidRPr="00025AEE">
        <w:t xml:space="preserve">Transport units carrying UN 3166 shall display </w:t>
      </w:r>
      <w:r w:rsidR="00750E45" w:rsidRPr="00025AEE">
        <w:rPr>
          <w:u w:val="single"/>
        </w:rPr>
        <w:t>two rectangular orange-coloured plates</w:t>
      </w:r>
      <w:r w:rsidR="00750E45" w:rsidRPr="00025AEE">
        <w:t xml:space="preserve"> conforming to 5.3.2.2.1 ADR, one at the front and the other at the rear of the transport unit</w:t>
      </w:r>
      <w:r w:rsidR="00C74701" w:rsidRPr="00025AEE">
        <w:t>;</w:t>
      </w:r>
    </w:p>
    <w:p w14:paraId="0D2F6E6E" w14:textId="6514C621" w:rsidR="00750E45" w:rsidRPr="00025AEE" w:rsidRDefault="005A79E5" w:rsidP="005A79E5">
      <w:pPr>
        <w:pStyle w:val="SingleTxtG"/>
        <w:suppressAutoHyphens/>
        <w:spacing w:after="100" w:line="240" w:lineRule="atLeast"/>
        <w:ind w:left="2127"/>
        <w:rPr>
          <w:lang w:val="en-US"/>
        </w:rPr>
      </w:pPr>
      <w:r w:rsidRPr="00025AEE">
        <w:rPr>
          <w:lang w:val="en-US"/>
        </w:rPr>
        <w:lastRenderedPageBreak/>
        <w:t>-</w:t>
      </w:r>
      <w:r w:rsidRPr="00025AEE">
        <w:rPr>
          <w:lang w:val="en-US"/>
        </w:rPr>
        <w:tab/>
      </w:r>
      <w:r w:rsidR="00750E45" w:rsidRPr="00025AEE">
        <w:rPr>
          <w:u w:val="single"/>
          <w:lang w:val="en-US"/>
        </w:rPr>
        <w:t xml:space="preserve">No </w:t>
      </w:r>
      <w:r w:rsidR="00750E45" w:rsidRPr="00025AEE">
        <w:rPr>
          <w:u w:val="single"/>
        </w:rPr>
        <w:t>hazard identification</w:t>
      </w:r>
      <w:r w:rsidR="00750E45" w:rsidRPr="00025AEE">
        <w:t xml:space="preserve"> number</w:t>
      </w:r>
      <w:r w:rsidR="00750E45" w:rsidRPr="00025AEE">
        <w:rPr>
          <w:lang w:val="en-US"/>
        </w:rPr>
        <w:t>, because Table A does not list any</w:t>
      </w:r>
      <w:r w:rsidR="00750E45" w:rsidRPr="00025AEE">
        <w:t>.</w:t>
      </w:r>
    </w:p>
    <w:p w14:paraId="6FAC21D6" w14:textId="2ECA22CA" w:rsidR="00750E45" w:rsidRPr="00025AEE" w:rsidRDefault="00750E45" w:rsidP="00750E45">
      <w:pPr>
        <w:pStyle w:val="SingleTxtG"/>
        <w:numPr>
          <w:ilvl w:val="0"/>
          <w:numId w:val="31"/>
        </w:numPr>
        <w:suppressAutoHyphens/>
        <w:spacing w:after="100" w:line="240" w:lineRule="atLeast"/>
        <w:ind w:left="2410" w:hanging="425"/>
        <w:rPr>
          <w:lang w:val="en-US"/>
        </w:rPr>
      </w:pPr>
      <w:r w:rsidRPr="00025AEE">
        <w:rPr>
          <w:rFonts w:eastAsia="Batang"/>
        </w:rPr>
        <w:t xml:space="preserve">5.3.6.1 ADR: Since there are no other placards to be displayed, </w:t>
      </w:r>
      <w:r w:rsidRPr="00025AEE">
        <w:rPr>
          <w:rFonts w:eastAsia="Batang"/>
          <w:u w:val="single"/>
        </w:rPr>
        <w:t>no e</w:t>
      </w:r>
      <w:r w:rsidRPr="00025AEE">
        <w:rPr>
          <w:u w:val="single"/>
        </w:rPr>
        <w:t>nvironmentally hazardous substance mark</w:t>
      </w:r>
      <w:r w:rsidRPr="00025AEE">
        <w:t xml:space="preserve"> </w:t>
      </w:r>
      <w:proofErr w:type="gramStart"/>
      <w:r w:rsidRPr="00025AEE">
        <w:t>has to</w:t>
      </w:r>
      <w:proofErr w:type="gramEnd"/>
      <w:r w:rsidRPr="00025AEE">
        <w:t xml:space="preserve"> be displayed on </w:t>
      </w:r>
      <w:r w:rsidRPr="00025AEE">
        <w:rPr>
          <w:rFonts w:eastAsia="Batang"/>
        </w:rPr>
        <w:t>the transport unit</w:t>
      </w:r>
      <w:r w:rsidR="00C74701" w:rsidRPr="00025AEE">
        <w:t>;</w:t>
      </w:r>
    </w:p>
    <w:p w14:paraId="399B1191" w14:textId="77777777" w:rsidR="00750E45" w:rsidRPr="00025AEE" w:rsidRDefault="00750E45" w:rsidP="00750E45">
      <w:pPr>
        <w:pStyle w:val="SingleTxtG"/>
        <w:numPr>
          <w:ilvl w:val="0"/>
          <w:numId w:val="31"/>
        </w:numPr>
        <w:suppressAutoHyphens/>
        <w:spacing w:after="100" w:line="240" w:lineRule="atLeast"/>
        <w:ind w:left="2410" w:hanging="425"/>
        <w:rPr>
          <w:lang w:val="en-US"/>
        </w:rPr>
      </w:pPr>
      <w:r w:rsidRPr="00025AEE">
        <w:rPr>
          <w:lang w:val="en-US"/>
        </w:rPr>
        <w:t xml:space="preserve">5.4 ADR: The </w:t>
      </w:r>
      <w:r w:rsidRPr="00025AEE">
        <w:rPr>
          <w:u w:val="single"/>
          <w:lang w:val="en-US"/>
        </w:rPr>
        <w:t>transport document</w:t>
      </w:r>
      <w:r w:rsidRPr="00025AEE">
        <w:rPr>
          <w:lang w:val="en-US"/>
        </w:rPr>
        <w:t xml:space="preserve"> shall contain:</w:t>
      </w:r>
    </w:p>
    <w:p w14:paraId="0CFDC736" w14:textId="2ED580E4" w:rsidR="00750E45" w:rsidRPr="00025AEE" w:rsidRDefault="005A79E5" w:rsidP="005A79E5">
      <w:pPr>
        <w:pStyle w:val="SingleTxtG"/>
        <w:suppressAutoHyphens/>
        <w:spacing w:after="100" w:line="240" w:lineRule="atLeast"/>
        <w:ind w:left="2127"/>
        <w:rPr>
          <w:lang w:val="en-US"/>
        </w:rPr>
      </w:pPr>
      <w:r w:rsidRPr="00025AEE">
        <w:rPr>
          <w:lang w:val="en-US"/>
        </w:rPr>
        <w:t>-</w:t>
      </w:r>
      <w:r w:rsidRPr="00025AEE">
        <w:rPr>
          <w:lang w:val="en-US"/>
        </w:rPr>
        <w:tab/>
      </w:r>
      <w:r w:rsidR="00750E45" w:rsidRPr="00025AEE">
        <w:rPr>
          <w:lang w:val="en-US"/>
        </w:rPr>
        <w:t xml:space="preserve">“UN 3166”, </w:t>
      </w:r>
      <w:r w:rsidR="00750E45" w:rsidRPr="00025AEE">
        <w:t xml:space="preserve">proper shipping name as assigned in SP 388, 9, </w:t>
      </w:r>
      <w:r w:rsidR="00750E45" w:rsidRPr="00025AEE">
        <w:rPr>
          <w:u w:val="single"/>
        </w:rPr>
        <w:t xml:space="preserve">the number and a description of the packages (e.g. one package? </w:t>
      </w:r>
      <w:r w:rsidR="00750E45" w:rsidRPr="00025AEE">
        <w:rPr>
          <w:i/>
          <w:u w:val="single"/>
        </w:rPr>
        <w:t>or is “one article” correct?</w:t>
      </w:r>
      <w:r w:rsidR="00750E45" w:rsidRPr="00025AEE">
        <w:t>), the total quantity, the name and address of the consignor, the name and address of the consignee(s)</w:t>
      </w:r>
      <w:r w:rsidR="00C74701" w:rsidRPr="00025AEE">
        <w:t>.</w:t>
      </w:r>
    </w:p>
    <w:p w14:paraId="7ED02CCB" w14:textId="07D413D8" w:rsidR="00750E45" w:rsidRPr="00025AEE" w:rsidRDefault="00750E45" w:rsidP="00750E45">
      <w:pPr>
        <w:pStyle w:val="SingleTxtG"/>
        <w:numPr>
          <w:ilvl w:val="0"/>
          <w:numId w:val="31"/>
        </w:numPr>
        <w:suppressAutoHyphens/>
        <w:spacing w:after="100" w:line="240" w:lineRule="atLeast"/>
        <w:ind w:left="2410" w:hanging="425"/>
        <w:rPr>
          <w:lang w:val="en-US"/>
        </w:rPr>
      </w:pPr>
      <w:r w:rsidRPr="00025AEE">
        <w:rPr>
          <w:lang w:val="en-US"/>
        </w:rPr>
        <w:t xml:space="preserve">5.4 ADR: </w:t>
      </w:r>
      <w:r w:rsidRPr="00025AEE">
        <w:rPr>
          <w:u w:val="single"/>
        </w:rPr>
        <w:t>Instructions in writing</w:t>
      </w:r>
      <w:r w:rsidR="00C74701" w:rsidRPr="00025AEE">
        <w:rPr>
          <w:u w:val="single"/>
        </w:rPr>
        <w:t>;</w:t>
      </w:r>
    </w:p>
    <w:p w14:paraId="13536135" w14:textId="6E09F9EB" w:rsidR="00750E45" w:rsidRPr="00025AEE" w:rsidRDefault="00750E45" w:rsidP="00750E45">
      <w:pPr>
        <w:pStyle w:val="SingleTxtG"/>
        <w:numPr>
          <w:ilvl w:val="0"/>
          <w:numId w:val="31"/>
        </w:numPr>
        <w:suppressAutoHyphens/>
        <w:spacing w:after="100" w:line="240" w:lineRule="atLeast"/>
        <w:ind w:left="2410" w:hanging="425"/>
        <w:jc w:val="left"/>
      </w:pPr>
      <w:r w:rsidRPr="00025AEE">
        <w:t xml:space="preserve">General requirements of </w:t>
      </w:r>
      <w:r w:rsidRPr="00025AEE">
        <w:rPr>
          <w:u w:val="single"/>
        </w:rPr>
        <w:t>part 7</w:t>
      </w:r>
      <w:r w:rsidRPr="00025AEE">
        <w:t xml:space="preserve"> ADR: like the prohibition of smoking</w:t>
      </w:r>
      <w:r w:rsidR="00C74701" w:rsidRPr="00025AEE">
        <w:t>;</w:t>
      </w:r>
    </w:p>
    <w:p w14:paraId="00C4F2AB" w14:textId="77777777" w:rsidR="00750E45" w:rsidRPr="00025AEE" w:rsidRDefault="00750E45" w:rsidP="00750E45">
      <w:pPr>
        <w:pStyle w:val="SingleTxtG"/>
        <w:numPr>
          <w:ilvl w:val="0"/>
          <w:numId w:val="31"/>
        </w:numPr>
        <w:suppressAutoHyphens/>
        <w:spacing w:line="240" w:lineRule="atLeast"/>
        <w:ind w:left="2410" w:hanging="425"/>
        <w:jc w:val="left"/>
      </w:pPr>
      <w:r w:rsidRPr="00025AEE">
        <w:t xml:space="preserve">General requirements of </w:t>
      </w:r>
      <w:r w:rsidRPr="00025AEE">
        <w:rPr>
          <w:u w:val="single"/>
        </w:rPr>
        <w:t>part 8</w:t>
      </w:r>
      <w:r w:rsidRPr="00025AEE">
        <w:t xml:space="preserve"> and </w:t>
      </w:r>
      <w:r w:rsidRPr="00025AEE">
        <w:rPr>
          <w:u w:val="single"/>
        </w:rPr>
        <w:t>part 9</w:t>
      </w:r>
      <w:r w:rsidRPr="00025AEE">
        <w:t xml:space="preserve"> ADR.</w:t>
      </w:r>
    </w:p>
    <w:p w14:paraId="1E9E3761" w14:textId="77777777" w:rsidR="00750E45" w:rsidRPr="00025AEE" w:rsidRDefault="00750E45" w:rsidP="00750E45">
      <w:pPr>
        <w:pStyle w:val="SingleTxtG"/>
        <w:spacing w:after="0"/>
        <w:ind w:firstLine="567"/>
        <w:jc w:val="left"/>
        <w:rPr>
          <w:u w:val="single"/>
        </w:rPr>
      </w:pPr>
      <w:r w:rsidRPr="00025AEE">
        <w:rPr>
          <w:u w:val="single"/>
        </w:rPr>
        <w:t>Further discussion: Changes because of other goods (e.g. diesel in the tank)?</w:t>
      </w:r>
    </w:p>
    <w:p w14:paraId="36BF52FD" w14:textId="77777777" w:rsidR="00750E45" w:rsidRPr="00BF631C" w:rsidRDefault="00750E45" w:rsidP="00750E45">
      <w:pPr>
        <w:pStyle w:val="SingleTxtG"/>
        <w:spacing w:before="240" w:after="0"/>
        <w:ind w:left="0" w:right="992"/>
        <w:jc w:val="center"/>
        <w:rPr>
          <w:u w:val="single"/>
        </w:rPr>
      </w:pPr>
      <w:r w:rsidRPr="00BF631C">
        <w:t>____________</w:t>
      </w:r>
    </w:p>
    <w:sectPr w:rsidR="00750E45" w:rsidRPr="00BF631C" w:rsidSect="008B71E7">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F3EEA" w14:textId="77777777" w:rsidR="00F50712" w:rsidRDefault="00F50712"/>
  </w:endnote>
  <w:endnote w:type="continuationSeparator" w:id="0">
    <w:p w14:paraId="63F1026C" w14:textId="77777777" w:rsidR="00F50712" w:rsidRDefault="00F50712"/>
  </w:endnote>
  <w:endnote w:type="continuationNotice" w:id="1">
    <w:p w14:paraId="28C06069" w14:textId="77777777" w:rsidR="00F50712" w:rsidRDefault="00F50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7C2A"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A43B9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5ADB"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A43B9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0132" w14:textId="77777777" w:rsidR="00F50712" w:rsidRPr="000B175B" w:rsidRDefault="00F50712" w:rsidP="000B175B">
      <w:pPr>
        <w:tabs>
          <w:tab w:val="right" w:pos="2155"/>
        </w:tabs>
        <w:spacing w:after="80"/>
        <w:ind w:left="680"/>
        <w:rPr>
          <w:u w:val="single"/>
        </w:rPr>
      </w:pPr>
      <w:r>
        <w:rPr>
          <w:u w:val="single"/>
        </w:rPr>
        <w:tab/>
      </w:r>
    </w:p>
  </w:footnote>
  <w:footnote w:type="continuationSeparator" w:id="0">
    <w:p w14:paraId="6919631B" w14:textId="77777777" w:rsidR="00F50712" w:rsidRPr="00FC68B7" w:rsidRDefault="00F50712" w:rsidP="00FC68B7">
      <w:pPr>
        <w:tabs>
          <w:tab w:val="left" w:pos="2155"/>
        </w:tabs>
        <w:spacing w:after="80"/>
        <w:ind w:left="680"/>
        <w:rPr>
          <w:u w:val="single"/>
        </w:rPr>
      </w:pPr>
      <w:r>
        <w:rPr>
          <w:u w:val="single"/>
        </w:rPr>
        <w:tab/>
      </w:r>
    </w:p>
  </w:footnote>
  <w:footnote w:type="continuationNotice" w:id="1">
    <w:p w14:paraId="1369312D" w14:textId="77777777" w:rsidR="00F50712" w:rsidRDefault="00F50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2E34" w14:textId="0F6098BC" w:rsidR="002B16A1" w:rsidRPr="0009455D" w:rsidRDefault="002B16A1">
    <w:pPr>
      <w:pStyle w:val="Header"/>
      <w:rPr>
        <w:lang w:val="fr-CH"/>
      </w:rPr>
    </w:pPr>
    <w:r>
      <w:rPr>
        <w:lang w:val="fr-CH"/>
      </w:rPr>
      <w:t>INF.</w:t>
    </w:r>
    <w:r w:rsidR="00750E45">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C7CB" w14:textId="0907F6FF" w:rsidR="002B16A1" w:rsidRPr="00073BC9" w:rsidRDefault="002B16A1" w:rsidP="0009455D">
    <w:pPr>
      <w:pStyle w:val="Header"/>
      <w:jc w:val="right"/>
    </w:pPr>
    <w:r>
      <w:t>INF.</w:t>
    </w:r>
    <w:r w:rsidR="00750E45">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73D1" w14:textId="542D041C" w:rsidR="002B16A1" w:rsidRPr="00560572" w:rsidRDefault="002B16A1" w:rsidP="00E37495">
    <w:pPr>
      <w:pStyle w:val="Header"/>
      <w:pBdr>
        <w:bottom w:val="single" w:sz="4" w:space="1" w:color="auto"/>
      </w:pBdr>
      <w:jc w:val="right"/>
      <w:rPr>
        <w:sz w:val="28"/>
        <w:szCs w:val="28"/>
      </w:rPr>
    </w:pPr>
    <w:r w:rsidRPr="00560572">
      <w:rPr>
        <w:sz w:val="28"/>
        <w:szCs w:val="28"/>
      </w:rPr>
      <w:t>INF.</w:t>
    </w:r>
    <w:r w:rsidR="00750E45">
      <w:rPr>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F4113"/>
    <w:multiLevelType w:val="hybridMultilevel"/>
    <w:tmpl w:val="84402A42"/>
    <w:lvl w:ilvl="0" w:tplc="04070001">
      <w:start w:val="1"/>
      <w:numFmt w:val="bullet"/>
      <w:lvlText w:val=""/>
      <w:lvlJc w:val="left"/>
      <w:pPr>
        <w:ind w:left="2409" w:hanging="360"/>
      </w:pPr>
      <w:rPr>
        <w:rFonts w:ascii="Symbol" w:hAnsi="Symbol" w:hint="default"/>
      </w:rPr>
    </w:lvl>
    <w:lvl w:ilvl="1" w:tplc="04070003" w:tentative="1">
      <w:start w:val="1"/>
      <w:numFmt w:val="bullet"/>
      <w:lvlText w:val="o"/>
      <w:lvlJc w:val="left"/>
      <w:pPr>
        <w:ind w:left="3129" w:hanging="360"/>
      </w:pPr>
      <w:rPr>
        <w:rFonts w:ascii="Courier New" w:hAnsi="Courier New" w:cs="Courier New" w:hint="default"/>
      </w:rPr>
    </w:lvl>
    <w:lvl w:ilvl="2" w:tplc="04070005" w:tentative="1">
      <w:start w:val="1"/>
      <w:numFmt w:val="bullet"/>
      <w:lvlText w:val=""/>
      <w:lvlJc w:val="left"/>
      <w:pPr>
        <w:ind w:left="3849" w:hanging="360"/>
      </w:pPr>
      <w:rPr>
        <w:rFonts w:ascii="Wingdings" w:hAnsi="Wingdings" w:hint="default"/>
      </w:rPr>
    </w:lvl>
    <w:lvl w:ilvl="3" w:tplc="04070001" w:tentative="1">
      <w:start w:val="1"/>
      <w:numFmt w:val="bullet"/>
      <w:lvlText w:val=""/>
      <w:lvlJc w:val="left"/>
      <w:pPr>
        <w:ind w:left="4569" w:hanging="360"/>
      </w:pPr>
      <w:rPr>
        <w:rFonts w:ascii="Symbol" w:hAnsi="Symbol" w:hint="default"/>
      </w:rPr>
    </w:lvl>
    <w:lvl w:ilvl="4" w:tplc="04070003" w:tentative="1">
      <w:start w:val="1"/>
      <w:numFmt w:val="bullet"/>
      <w:lvlText w:val="o"/>
      <w:lvlJc w:val="left"/>
      <w:pPr>
        <w:ind w:left="5289" w:hanging="360"/>
      </w:pPr>
      <w:rPr>
        <w:rFonts w:ascii="Courier New" w:hAnsi="Courier New" w:cs="Courier New" w:hint="default"/>
      </w:rPr>
    </w:lvl>
    <w:lvl w:ilvl="5" w:tplc="04070005" w:tentative="1">
      <w:start w:val="1"/>
      <w:numFmt w:val="bullet"/>
      <w:lvlText w:val=""/>
      <w:lvlJc w:val="left"/>
      <w:pPr>
        <w:ind w:left="6009" w:hanging="360"/>
      </w:pPr>
      <w:rPr>
        <w:rFonts w:ascii="Wingdings" w:hAnsi="Wingdings" w:hint="default"/>
      </w:rPr>
    </w:lvl>
    <w:lvl w:ilvl="6" w:tplc="04070001" w:tentative="1">
      <w:start w:val="1"/>
      <w:numFmt w:val="bullet"/>
      <w:lvlText w:val=""/>
      <w:lvlJc w:val="left"/>
      <w:pPr>
        <w:ind w:left="6729" w:hanging="360"/>
      </w:pPr>
      <w:rPr>
        <w:rFonts w:ascii="Symbol" w:hAnsi="Symbol" w:hint="default"/>
      </w:rPr>
    </w:lvl>
    <w:lvl w:ilvl="7" w:tplc="04070003" w:tentative="1">
      <w:start w:val="1"/>
      <w:numFmt w:val="bullet"/>
      <w:lvlText w:val="o"/>
      <w:lvlJc w:val="left"/>
      <w:pPr>
        <w:ind w:left="7449" w:hanging="360"/>
      </w:pPr>
      <w:rPr>
        <w:rFonts w:ascii="Courier New" w:hAnsi="Courier New" w:cs="Courier New" w:hint="default"/>
      </w:rPr>
    </w:lvl>
    <w:lvl w:ilvl="8" w:tplc="04070005" w:tentative="1">
      <w:start w:val="1"/>
      <w:numFmt w:val="bullet"/>
      <w:lvlText w:val=""/>
      <w:lvlJc w:val="left"/>
      <w:pPr>
        <w:ind w:left="8169"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3CDC16CA"/>
    <w:multiLevelType w:val="hybridMultilevel"/>
    <w:tmpl w:val="914A458E"/>
    <w:lvl w:ilvl="0" w:tplc="04070001">
      <w:start w:val="1"/>
      <w:numFmt w:val="bullet"/>
      <w:lvlText w:val=""/>
      <w:lvlJc w:val="left"/>
      <w:pPr>
        <w:ind w:left="2409" w:hanging="360"/>
      </w:pPr>
      <w:rPr>
        <w:rFonts w:ascii="Symbol" w:hAnsi="Symbol" w:hint="default"/>
      </w:rPr>
    </w:lvl>
    <w:lvl w:ilvl="1" w:tplc="04070003">
      <w:start w:val="1"/>
      <w:numFmt w:val="bullet"/>
      <w:lvlText w:val="o"/>
      <w:lvlJc w:val="left"/>
      <w:pPr>
        <w:ind w:left="3129" w:hanging="360"/>
      </w:pPr>
      <w:rPr>
        <w:rFonts w:ascii="Courier New" w:hAnsi="Courier New" w:cs="Courier New" w:hint="default"/>
      </w:rPr>
    </w:lvl>
    <w:lvl w:ilvl="2" w:tplc="04070005">
      <w:start w:val="1"/>
      <w:numFmt w:val="bullet"/>
      <w:lvlText w:val=""/>
      <w:lvlJc w:val="left"/>
      <w:pPr>
        <w:ind w:left="3849" w:hanging="360"/>
      </w:pPr>
      <w:rPr>
        <w:rFonts w:ascii="Wingdings" w:hAnsi="Wingdings" w:hint="default"/>
      </w:rPr>
    </w:lvl>
    <w:lvl w:ilvl="3" w:tplc="04070001" w:tentative="1">
      <w:start w:val="1"/>
      <w:numFmt w:val="bullet"/>
      <w:lvlText w:val=""/>
      <w:lvlJc w:val="left"/>
      <w:pPr>
        <w:ind w:left="4569" w:hanging="360"/>
      </w:pPr>
      <w:rPr>
        <w:rFonts w:ascii="Symbol" w:hAnsi="Symbol" w:hint="default"/>
      </w:rPr>
    </w:lvl>
    <w:lvl w:ilvl="4" w:tplc="04070003" w:tentative="1">
      <w:start w:val="1"/>
      <w:numFmt w:val="bullet"/>
      <w:lvlText w:val="o"/>
      <w:lvlJc w:val="left"/>
      <w:pPr>
        <w:ind w:left="5289" w:hanging="360"/>
      </w:pPr>
      <w:rPr>
        <w:rFonts w:ascii="Courier New" w:hAnsi="Courier New" w:cs="Courier New" w:hint="default"/>
      </w:rPr>
    </w:lvl>
    <w:lvl w:ilvl="5" w:tplc="04070005" w:tentative="1">
      <w:start w:val="1"/>
      <w:numFmt w:val="bullet"/>
      <w:lvlText w:val=""/>
      <w:lvlJc w:val="left"/>
      <w:pPr>
        <w:ind w:left="6009" w:hanging="360"/>
      </w:pPr>
      <w:rPr>
        <w:rFonts w:ascii="Wingdings" w:hAnsi="Wingdings" w:hint="default"/>
      </w:rPr>
    </w:lvl>
    <w:lvl w:ilvl="6" w:tplc="04070001" w:tentative="1">
      <w:start w:val="1"/>
      <w:numFmt w:val="bullet"/>
      <w:lvlText w:val=""/>
      <w:lvlJc w:val="left"/>
      <w:pPr>
        <w:ind w:left="6729" w:hanging="360"/>
      </w:pPr>
      <w:rPr>
        <w:rFonts w:ascii="Symbol" w:hAnsi="Symbol" w:hint="default"/>
      </w:rPr>
    </w:lvl>
    <w:lvl w:ilvl="7" w:tplc="04070003" w:tentative="1">
      <w:start w:val="1"/>
      <w:numFmt w:val="bullet"/>
      <w:lvlText w:val="o"/>
      <w:lvlJc w:val="left"/>
      <w:pPr>
        <w:ind w:left="7449" w:hanging="360"/>
      </w:pPr>
      <w:rPr>
        <w:rFonts w:ascii="Courier New" w:hAnsi="Courier New" w:cs="Courier New" w:hint="default"/>
      </w:rPr>
    </w:lvl>
    <w:lvl w:ilvl="8" w:tplc="04070005" w:tentative="1">
      <w:start w:val="1"/>
      <w:numFmt w:val="bullet"/>
      <w:lvlText w:val=""/>
      <w:lvlJc w:val="left"/>
      <w:pPr>
        <w:ind w:left="8169" w:hanging="360"/>
      </w:pPr>
      <w:rPr>
        <w:rFonts w:ascii="Wingdings" w:hAnsi="Wingdings" w:hint="default"/>
      </w:rPr>
    </w:lvl>
  </w:abstractNum>
  <w:abstractNum w:abstractNumId="23"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4C784B8A"/>
    <w:multiLevelType w:val="hybridMultilevel"/>
    <w:tmpl w:val="2F8EA238"/>
    <w:lvl w:ilvl="0" w:tplc="E14A4EF2">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547857B3"/>
    <w:multiLevelType w:val="hybridMultilevel"/>
    <w:tmpl w:val="94B6796A"/>
    <w:lvl w:ilvl="0" w:tplc="0C06A294">
      <w:start w:val="1"/>
      <w:numFmt w:val="decimal"/>
      <w:lvlText w:val="%1."/>
      <w:lvlJc w:val="left"/>
      <w:pPr>
        <w:ind w:left="1689"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9611A"/>
    <w:multiLevelType w:val="hybridMultilevel"/>
    <w:tmpl w:val="E9E0DD28"/>
    <w:lvl w:ilvl="0" w:tplc="04070001">
      <w:start w:val="1"/>
      <w:numFmt w:val="bullet"/>
      <w:lvlText w:val=""/>
      <w:lvlJc w:val="left"/>
      <w:pPr>
        <w:ind w:left="2409" w:hanging="360"/>
      </w:pPr>
      <w:rPr>
        <w:rFonts w:ascii="Symbol" w:hAnsi="Symbol" w:hint="default"/>
      </w:rPr>
    </w:lvl>
    <w:lvl w:ilvl="1" w:tplc="04070003">
      <w:start w:val="1"/>
      <w:numFmt w:val="bullet"/>
      <w:lvlText w:val="o"/>
      <w:lvlJc w:val="left"/>
      <w:pPr>
        <w:ind w:left="3129" w:hanging="360"/>
      </w:pPr>
      <w:rPr>
        <w:rFonts w:ascii="Courier New" w:hAnsi="Courier New" w:cs="Courier New" w:hint="default"/>
      </w:rPr>
    </w:lvl>
    <w:lvl w:ilvl="2" w:tplc="04070005" w:tentative="1">
      <w:start w:val="1"/>
      <w:numFmt w:val="bullet"/>
      <w:lvlText w:val=""/>
      <w:lvlJc w:val="left"/>
      <w:pPr>
        <w:ind w:left="3849" w:hanging="360"/>
      </w:pPr>
      <w:rPr>
        <w:rFonts w:ascii="Wingdings" w:hAnsi="Wingdings" w:hint="default"/>
      </w:rPr>
    </w:lvl>
    <w:lvl w:ilvl="3" w:tplc="04070001" w:tentative="1">
      <w:start w:val="1"/>
      <w:numFmt w:val="bullet"/>
      <w:lvlText w:val=""/>
      <w:lvlJc w:val="left"/>
      <w:pPr>
        <w:ind w:left="4569" w:hanging="360"/>
      </w:pPr>
      <w:rPr>
        <w:rFonts w:ascii="Symbol" w:hAnsi="Symbol" w:hint="default"/>
      </w:rPr>
    </w:lvl>
    <w:lvl w:ilvl="4" w:tplc="04070003" w:tentative="1">
      <w:start w:val="1"/>
      <w:numFmt w:val="bullet"/>
      <w:lvlText w:val="o"/>
      <w:lvlJc w:val="left"/>
      <w:pPr>
        <w:ind w:left="5289" w:hanging="360"/>
      </w:pPr>
      <w:rPr>
        <w:rFonts w:ascii="Courier New" w:hAnsi="Courier New" w:cs="Courier New" w:hint="default"/>
      </w:rPr>
    </w:lvl>
    <w:lvl w:ilvl="5" w:tplc="04070005" w:tentative="1">
      <w:start w:val="1"/>
      <w:numFmt w:val="bullet"/>
      <w:lvlText w:val=""/>
      <w:lvlJc w:val="left"/>
      <w:pPr>
        <w:ind w:left="6009" w:hanging="360"/>
      </w:pPr>
      <w:rPr>
        <w:rFonts w:ascii="Wingdings" w:hAnsi="Wingdings" w:hint="default"/>
      </w:rPr>
    </w:lvl>
    <w:lvl w:ilvl="6" w:tplc="04070001" w:tentative="1">
      <w:start w:val="1"/>
      <w:numFmt w:val="bullet"/>
      <w:lvlText w:val=""/>
      <w:lvlJc w:val="left"/>
      <w:pPr>
        <w:ind w:left="6729" w:hanging="360"/>
      </w:pPr>
      <w:rPr>
        <w:rFonts w:ascii="Symbol" w:hAnsi="Symbol" w:hint="default"/>
      </w:rPr>
    </w:lvl>
    <w:lvl w:ilvl="7" w:tplc="04070003" w:tentative="1">
      <w:start w:val="1"/>
      <w:numFmt w:val="bullet"/>
      <w:lvlText w:val="o"/>
      <w:lvlJc w:val="left"/>
      <w:pPr>
        <w:ind w:left="7449" w:hanging="360"/>
      </w:pPr>
      <w:rPr>
        <w:rFonts w:ascii="Courier New" w:hAnsi="Courier New" w:cs="Courier New" w:hint="default"/>
      </w:rPr>
    </w:lvl>
    <w:lvl w:ilvl="8" w:tplc="04070005" w:tentative="1">
      <w:start w:val="1"/>
      <w:numFmt w:val="bullet"/>
      <w:lvlText w:val=""/>
      <w:lvlJc w:val="left"/>
      <w:pPr>
        <w:ind w:left="8169" w:hanging="360"/>
      </w:pPr>
      <w:rPr>
        <w:rFonts w:ascii="Wingdings" w:hAnsi="Wingdings" w:hint="default"/>
      </w:rPr>
    </w:lvl>
  </w:abstractNum>
  <w:abstractNum w:abstractNumId="3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8"/>
  </w:num>
  <w:num w:numId="16">
    <w:abstractNumId w:val="13"/>
  </w:num>
  <w:num w:numId="17">
    <w:abstractNumId w:val="27"/>
  </w:num>
  <w:num w:numId="18">
    <w:abstractNumId w:val="29"/>
  </w:num>
  <w:num w:numId="19">
    <w:abstractNumId w:val="26"/>
  </w:num>
  <w:num w:numId="20">
    <w:abstractNumId w:val="12"/>
  </w:num>
  <w:num w:numId="21">
    <w:abstractNumId w:val="20"/>
  </w:num>
  <w:num w:numId="22">
    <w:abstractNumId w:val="31"/>
  </w:num>
  <w:num w:numId="23">
    <w:abstractNumId w:val="19"/>
  </w:num>
  <w:num w:numId="24">
    <w:abstractNumId w:val="23"/>
  </w:num>
  <w:num w:numId="25">
    <w:abstractNumId w:val="28"/>
  </w:num>
  <w:num w:numId="26">
    <w:abstractNumId w:val="21"/>
  </w:num>
  <w:num w:numId="27">
    <w:abstractNumId w:val="15"/>
  </w:num>
  <w:num w:numId="28">
    <w:abstractNumId w:val="25"/>
  </w:num>
  <w:num w:numId="29">
    <w:abstractNumId w:val="17"/>
  </w:num>
  <w:num w:numId="30">
    <w:abstractNumId w:val="30"/>
  </w:num>
  <w:num w:numId="31">
    <w:abstractNumId w:val="22"/>
  </w:num>
  <w:num w:numId="32">
    <w:abstractNumId w:val="24"/>
  </w:num>
  <w:num w:numId="33">
    <w:abstractNumId w:val="27"/>
  </w:num>
  <w:num w:numId="34">
    <w:abstractNumId w:val="27"/>
  </w:num>
  <w:num w:numId="35">
    <w:abstractNumId w:val="29"/>
  </w:num>
  <w:num w:numId="36">
    <w:abstractNumId w:val="29"/>
  </w:num>
  <w:num w:numId="37">
    <w:abstractNumId w:val="29"/>
  </w:num>
  <w:num w:numId="38">
    <w:abstractNumId w:val="29"/>
  </w:num>
  <w:num w:numId="39">
    <w:abstractNumId w:val="29"/>
  </w:num>
  <w:num w:numId="40">
    <w:abstractNumId w:val="27"/>
  </w:num>
  <w:num w:numId="41">
    <w:abstractNumId w:val="27"/>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5AEE"/>
    <w:rsid w:val="00027624"/>
    <w:rsid w:val="0004316B"/>
    <w:rsid w:val="00050B2C"/>
    <w:rsid w:val="00050F6B"/>
    <w:rsid w:val="00056E1C"/>
    <w:rsid w:val="00057D31"/>
    <w:rsid w:val="00057F00"/>
    <w:rsid w:val="00060675"/>
    <w:rsid w:val="00062540"/>
    <w:rsid w:val="000642F3"/>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076FE"/>
    <w:rsid w:val="001113FD"/>
    <w:rsid w:val="00116363"/>
    <w:rsid w:val="0011637D"/>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96F5A"/>
    <w:rsid w:val="001A0452"/>
    <w:rsid w:val="001A06C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0635F"/>
    <w:rsid w:val="00211E0B"/>
    <w:rsid w:val="00215A1B"/>
    <w:rsid w:val="00216BB2"/>
    <w:rsid w:val="00222F2C"/>
    <w:rsid w:val="00230496"/>
    <w:rsid w:val="00232575"/>
    <w:rsid w:val="00235659"/>
    <w:rsid w:val="0023589F"/>
    <w:rsid w:val="00247258"/>
    <w:rsid w:val="00250356"/>
    <w:rsid w:val="002565C8"/>
    <w:rsid w:val="002574B9"/>
    <w:rsid w:val="00257CAC"/>
    <w:rsid w:val="00264807"/>
    <w:rsid w:val="002815FC"/>
    <w:rsid w:val="00295F1A"/>
    <w:rsid w:val="002974E9"/>
    <w:rsid w:val="002A0603"/>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36A"/>
    <w:rsid w:val="002D743E"/>
    <w:rsid w:val="002E0C3F"/>
    <w:rsid w:val="002E2296"/>
    <w:rsid w:val="002E23C9"/>
    <w:rsid w:val="002E6DB4"/>
    <w:rsid w:val="002F024B"/>
    <w:rsid w:val="002F046D"/>
    <w:rsid w:val="002F56B1"/>
    <w:rsid w:val="003007E7"/>
    <w:rsid w:val="00301764"/>
    <w:rsid w:val="00302B3E"/>
    <w:rsid w:val="003035A1"/>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5BE0"/>
    <w:rsid w:val="0035638C"/>
    <w:rsid w:val="003564DC"/>
    <w:rsid w:val="00366634"/>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3B3A"/>
    <w:rsid w:val="003D4B23"/>
    <w:rsid w:val="003D58A1"/>
    <w:rsid w:val="003D6C76"/>
    <w:rsid w:val="003E278A"/>
    <w:rsid w:val="003E3D94"/>
    <w:rsid w:val="003F07CB"/>
    <w:rsid w:val="003F7A1E"/>
    <w:rsid w:val="004019C8"/>
    <w:rsid w:val="004032CF"/>
    <w:rsid w:val="00405A9A"/>
    <w:rsid w:val="0040608F"/>
    <w:rsid w:val="00406B23"/>
    <w:rsid w:val="00413520"/>
    <w:rsid w:val="00414F7A"/>
    <w:rsid w:val="00427300"/>
    <w:rsid w:val="00431D4D"/>
    <w:rsid w:val="004325CB"/>
    <w:rsid w:val="00433A82"/>
    <w:rsid w:val="00440A07"/>
    <w:rsid w:val="00456441"/>
    <w:rsid w:val="00462880"/>
    <w:rsid w:val="0046357A"/>
    <w:rsid w:val="0047298C"/>
    <w:rsid w:val="0047429E"/>
    <w:rsid w:val="00476F24"/>
    <w:rsid w:val="0048402E"/>
    <w:rsid w:val="004909E7"/>
    <w:rsid w:val="0049311D"/>
    <w:rsid w:val="004954A3"/>
    <w:rsid w:val="004A3C2B"/>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2055"/>
    <w:rsid w:val="00564BF4"/>
    <w:rsid w:val="005670DF"/>
    <w:rsid w:val="00573297"/>
    <w:rsid w:val="00584173"/>
    <w:rsid w:val="005850DE"/>
    <w:rsid w:val="00587C17"/>
    <w:rsid w:val="00590137"/>
    <w:rsid w:val="00595520"/>
    <w:rsid w:val="005A0287"/>
    <w:rsid w:val="005A44B9"/>
    <w:rsid w:val="005A548A"/>
    <w:rsid w:val="005A79E5"/>
    <w:rsid w:val="005B1BA0"/>
    <w:rsid w:val="005B3DB3"/>
    <w:rsid w:val="005C58F0"/>
    <w:rsid w:val="005C700B"/>
    <w:rsid w:val="005D15CA"/>
    <w:rsid w:val="005D1867"/>
    <w:rsid w:val="005D2C39"/>
    <w:rsid w:val="005D390C"/>
    <w:rsid w:val="005E0CF7"/>
    <w:rsid w:val="005E6AAF"/>
    <w:rsid w:val="005F3066"/>
    <w:rsid w:val="005F3E61"/>
    <w:rsid w:val="005F51F6"/>
    <w:rsid w:val="005F69C7"/>
    <w:rsid w:val="005F7732"/>
    <w:rsid w:val="00604DDD"/>
    <w:rsid w:val="006115CC"/>
    <w:rsid w:val="00611FC4"/>
    <w:rsid w:val="00613302"/>
    <w:rsid w:val="006176FB"/>
    <w:rsid w:val="006211FA"/>
    <w:rsid w:val="0062380F"/>
    <w:rsid w:val="0062564C"/>
    <w:rsid w:val="00630FCB"/>
    <w:rsid w:val="00632069"/>
    <w:rsid w:val="00632F10"/>
    <w:rsid w:val="00633628"/>
    <w:rsid w:val="0064017F"/>
    <w:rsid w:val="00640B26"/>
    <w:rsid w:val="00642312"/>
    <w:rsid w:val="00642502"/>
    <w:rsid w:val="0064748F"/>
    <w:rsid w:val="00651A29"/>
    <w:rsid w:val="006643C6"/>
    <w:rsid w:val="00667D6B"/>
    <w:rsid w:val="00670177"/>
    <w:rsid w:val="00671B0D"/>
    <w:rsid w:val="006770B2"/>
    <w:rsid w:val="00682407"/>
    <w:rsid w:val="006853B3"/>
    <w:rsid w:val="006940E1"/>
    <w:rsid w:val="00696072"/>
    <w:rsid w:val="006A1D39"/>
    <w:rsid w:val="006A3C72"/>
    <w:rsid w:val="006A7392"/>
    <w:rsid w:val="006B03A1"/>
    <w:rsid w:val="006B364D"/>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0E45"/>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73D"/>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CD2"/>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B6FCE"/>
    <w:rsid w:val="008B71E7"/>
    <w:rsid w:val="008C0064"/>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7A8"/>
    <w:rsid w:val="00915C95"/>
    <w:rsid w:val="00916B9C"/>
    <w:rsid w:val="00924CF0"/>
    <w:rsid w:val="00926E47"/>
    <w:rsid w:val="009324AE"/>
    <w:rsid w:val="00945B24"/>
    <w:rsid w:val="00946D3D"/>
    <w:rsid w:val="00946EAC"/>
    <w:rsid w:val="00947162"/>
    <w:rsid w:val="009471E0"/>
    <w:rsid w:val="009479C1"/>
    <w:rsid w:val="00953163"/>
    <w:rsid w:val="00956238"/>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9F7AB3"/>
    <w:rsid w:val="00A00D3D"/>
    <w:rsid w:val="00A07EBB"/>
    <w:rsid w:val="00A10F4F"/>
    <w:rsid w:val="00A11067"/>
    <w:rsid w:val="00A138AB"/>
    <w:rsid w:val="00A1704A"/>
    <w:rsid w:val="00A23E9E"/>
    <w:rsid w:val="00A370D7"/>
    <w:rsid w:val="00A41BB8"/>
    <w:rsid w:val="00A425EB"/>
    <w:rsid w:val="00A43B9F"/>
    <w:rsid w:val="00A45CB7"/>
    <w:rsid w:val="00A47439"/>
    <w:rsid w:val="00A5062D"/>
    <w:rsid w:val="00A72F22"/>
    <w:rsid w:val="00A733BC"/>
    <w:rsid w:val="00A748A6"/>
    <w:rsid w:val="00A749C1"/>
    <w:rsid w:val="00A76A69"/>
    <w:rsid w:val="00A77D0C"/>
    <w:rsid w:val="00A824E7"/>
    <w:rsid w:val="00A865A7"/>
    <w:rsid w:val="00A879A4"/>
    <w:rsid w:val="00A910B4"/>
    <w:rsid w:val="00A93D59"/>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2F5E"/>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2E51"/>
    <w:rsid w:val="00BE36A9"/>
    <w:rsid w:val="00BE618E"/>
    <w:rsid w:val="00BE7BEC"/>
    <w:rsid w:val="00BF0A5A"/>
    <w:rsid w:val="00BF0E63"/>
    <w:rsid w:val="00BF103C"/>
    <w:rsid w:val="00BF12A3"/>
    <w:rsid w:val="00BF16D7"/>
    <w:rsid w:val="00BF218C"/>
    <w:rsid w:val="00BF2373"/>
    <w:rsid w:val="00BF4EA5"/>
    <w:rsid w:val="00BF631C"/>
    <w:rsid w:val="00C03A88"/>
    <w:rsid w:val="00C044E2"/>
    <w:rsid w:val="00C048CB"/>
    <w:rsid w:val="00C066F3"/>
    <w:rsid w:val="00C06865"/>
    <w:rsid w:val="00C07CA9"/>
    <w:rsid w:val="00C10783"/>
    <w:rsid w:val="00C11B07"/>
    <w:rsid w:val="00C129D5"/>
    <w:rsid w:val="00C13F36"/>
    <w:rsid w:val="00C15DC2"/>
    <w:rsid w:val="00C250FE"/>
    <w:rsid w:val="00C27BFC"/>
    <w:rsid w:val="00C31A6C"/>
    <w:rsid w:val="00C36878"/>
    <w:rsid w:val="00C37A49"/>
    <w:rsid w:val="00C443B6"/>
    <w:rsid w:val="00C44BB0"/>
    <w:rsid w:val="00C45BBB"/>
    <w:rsid w:val="00C463DD"/>
    <w:rsid w:val="00C5580F"/>
    <w:rsid w:val="00C60D93"/>
    <w:rsid w:val="00C62A7A"/>
    <w:rsid w:val="00C70809"/>
    <w:rsid w:val="00C745C3"/>
    <w:rsid w:val="00C74701"/>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1DA7"/>
    <w:rsid w:val="00D02F12"/>
    <w:rsid w:val="00D03595"/>
    <w:rsid w:val="00D15B04"/>
    <w:rsid w:val="00D20265"/>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8768A"/>
    <w:rsid w:val="00D90395"/>
    <w:rsid w:val="00D90415"/>
    <w:rsid w:val="00D917F9"/>
    <w:rsid w:val="00D91E8D"/>
    <w:rsid w:val="00D978C6"/>
    <w:rsid w:val="00DA0956"/>
    <w:rsid w:val="00DA121A"/>
    <w:rsid w:val="00DA357F"/>
    <w:rsid w:val="00DA3E12"/>
    <w:rsid w:val="00DB0BFD"/>
    <w:rsid w:val="00DB5900"/>
    <w:rsid w:val="00DB66FA"/>
    <w:rsid w:val="00DC0FFC"/>
    <w:rsid w:val="00DC18AD"/>
    <w:rsid w:val="00DC36B8"/>
    <w:rsid w:val="00DC584A"/>
    <w:rsid w:val="00DD3FE8"/>
    <w:rsid w:val="00DE0CB9"/>
    <w:rsid w:val="00DE178B"/>
    <w:rsid w:val="00DE5105"/>
    <w:rsid w:val="00DF0A94"/>
    <w:rsid w:val="00DF1147"/>
    <w:rsid w:val="00DF1A1E"/>
    <w:rsid w:val="00DF4518"/>
    <w:rsid w:val="00DF45EB"/>
    <w:rsid w:val="00DF6A82"/>
    <w:rsid w:val="00DF7CAE"/>
    <w:rsid w:val="00E02011"/>
    <w:rsid w:val="00E1773B"/>
    <w:rsid w:val="00E24460"/>
    <w:rsid w:val="00E31B18"/>
    <w:rsid w:val="00E324A0"/>
    <w:rsid w:val="00E37495"/>
    <w:rsid w:val="00E423C0"/>
    <w:rsid w:val="00E470D1"/>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01C6"/>
    <w:rsid w:val="00EA586A"/>
    <w:rsid w:val="00EB5B1B"/>
    <w:rsid w:val="00EC10B9"/>
    <w:rsid w:val="00ED18DC"/>
    <w:rsid w:val="00ED6201"/>
    <w:rsid w:val="00ED7A2A"/>
    <w:rsid w:val="00ED7F40"/>
    <w:rsid w:val="00EE4832"/>
    <w:rsid w:val="00EF1D7F"/>
    <w:rsid w:val="00EF4426"/>
    <w:rsid w:val="00F00868"/>
    <w:rsid w:val="00F0137E"/>
    <w:rsid w:val="00F0148F"/>
    <w:rsid w:val="00F15CF0"/>
    <w:rsid w:val="00F21786"/>
    <w:rsid w:val="00F237F4"/>
    <w:rsid w:val="00F241D6"/>
    <w:rsid w:val="00F347BC"/>
    <w:rsid w:val="00F3742B"/>
    <w:rsid w:val="00F40CCF"/>
    <w:rsid w:val="00F41FDB"/>
    <w:rsid w:val="00F50712"/>
    <w:rsid w:val="00F5337D"/>
    <w:rsid w:val="00F5390C"/>
    <w:rsid w:val="00F56D63"/>
    <w:rsid w:val="00F609A9"/>
    <w:rsid w:val="00F6280E"/>
    <w:rsid w:val="00F7472D"/>
    <w:rsid w:val="00F80C99"/>
    <w:rsid w:val="00F867EC"/>
    <w:rsid w:val="00F91B2B"/>
    <w:rsid w:val="00FA28CC"/>
    <w:rsid w:val="00FA3135"/>
    <w:rsid w:val="00FA3269"/>
    <w:rsid w:val="00FA5836"/>
    <w:rsid w:val="00FB468B"/>
    <w:rsid w:val="00FC03CD"/>
    <w:rsid w:val="00FC0646"/>
    <w:rsid w:val="00FC0826"/>
    <w:rsid w:val="00FC161F"/>
    <w:rsid w:val="00FC2FC6"/>
    <w:rsid w:val="00FC55A7"/>
    <w:rsid w:val="00FC68B7"/>
    <w:rsid w:val="00FD0A90"/>
    <w:rsid w:val="00FD14C5"/>
    <w:rsid w:val="00FD6E23"/>
    <w:rsid w:val="00FE58E6"/>
    <w:rsid w:val="00FE6985"/>
    <w:rsid w:val="00FE7A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081F79EE"/>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qFormat/>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character" w:customStyle="1" w:styleId="FootnoteTextChar">
    <w:name w:val="Footnote Text Char"/>
    <w:aliases w:val="5_G Char,5_GR Char"/>
    <w:basedOn w:val="DefaultParagraphFont"/>
    <w:link w:val="FootnoteText"/>
    <w:rsid w:val="00A93D59"/>
    <w:rPr>
      <w:sz w:val="18"/>
      <w:lang w:val="en-GB"/>
    </w:rPr>
  </w:style>
  <w:style w:type="paragraph" w:customStyle="1" w:styleId="Tabletitle">
    <w:name w:val="Table title"/>
    <w:basedOn w:val="Normal"/>
    <w:link w:val="TabletitleChar"/>
    <w:rsid w:val="00427300"/>
    <w:pPr>
      <w:keepNext/>
      <w:suppressAutoHyphens/>
      <w:spacing w:before="120" w:after="120" w:line="240" w:lineRule="atLeast"/>
      <w:jc w:val="center"/>
    </w:pPr>
    <w:rPr>
      <w:rFonts w:ascii="Cambria" w:eastAsia="Calibri" w:hAnsi="Cambria"/>
      <w:b/>
      <w:sz w:val="22"/>
      <w:szCs w:val="22"/>
    </w:rPr>
  </w:style>
  <w:style w:type="character" w:customStyle="1" w:styleId="TabletitleChar">
    <w:name w:val="Table title Char"/>
    <w:link w:val="Tabletitle"/>
    <w:locked/>
    <w:rsid w:val="00427300"/>
    <w:rPr>
      <w:rFonts w:ascii="Cambria" w:eastAsia="Calibri" w:hAnsi="Cambria"/>
      <w:b/>
      <w:sz w:val="22"/>
      <w:szCs w:val="22"/>
      <w:lang w:val="en-GB"/>
    </w:rPr>
  </w:style>
  <w:style w:type="character" w:styleId="PlaceholderText">
    <w:name w:val="Placeholder Text"/>
    <w:basedOn w:val="DefaultParagraphFont"/>
    <w:uiPriority w:val="99"/>
    <w:semiHidden/>
    <w:rsid w:val="00FD14C5"/>
    <w:rPr>
      <w:color w:val="808080"/>
    </w:rPr>
  </w:style>
  <w:style w:type="character" w:styleId="CommentReference">
    <w:name w:val="annotation reference"/>
    <w:basedOn w:val="DefaultParagraphFont"/>
    <w:rsid w:val="00F00868"/>
    <w:rPr>
      <w:sz w:val="16"/>
      <w:szCs w:val="16"/>
    </w:rPr>
  </w:style>
  <w:style w:type="paragraph" w:styleId="CommentText">
    <w:name w:val="annotation text"/>
    <w:basedOn w:val="Normal"/>
    <w:link w:val="CommentTextChar"/>
    <w:rsid w:val="00F00868"/>
  </w:style>
  <w:style w:type="character" w:customStyle="1" w:styleId="CommentTextChar">
    <w:name w:val="Comment Text Char"/>
    <w:basedOn w:val="DefaultParagraphFont"/>
    <w:link w:val="CommentText"/>
    <w:rsid w:val="00F00868"/>
    <w:rPr>
      <w:lang w:val="en-GB"/>
    </w:rPr>
  </w:style>
  <w:style w:type="paragraph" w:styleId="CommentSubject">
    <w:name w:val="annotation subject"/>
    <w:basedOn w:val="CommentText"/>
    <w:next w:val="CommentText"/>
    <w:link w:val="CommentSubjectChar"/>
    <w:rsid w:val="00F00868"/>
    <w:rPr>
      <w:b/>
      <w:bCs/>
    </w:rPr>
  </w:style>
  <w:style w:type="character" w:customStyle="1" w:styleId="CommentSubjectChar">
    <w:name w:val="Comment Subject Char"/>
    <w:basedOn w:val="CommentTextChar"/>
    <w:link w:val="CommentSubject"/>
    <w:rsid w:val="00F0086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6C74-AA98-44B5-A7E1-32C3F119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1516</Words>
  <Characters>7596</Characters>
  <Application>Microsoft Office Word</Application>
  <DocSecurity>0</DocSecurity>
  <Lines>172</Lines>
  <Paragraphs>96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Iliass Zerktouni</dc:creator>
  <cp:keywords/>
  <cp:lastModifiedBy>Christine Barrio-Champeau</cp:lastModifiedBy>
  <cp:revision>6</cp:revision>
  <cp:lastPrinted>2019-10-28T09:59:00Z</cp:lastPrinted>
  <dcterms:created xsi:type="dcterms:W3CDTF">2019-10-28T10:03:00Z</dcterms:created>
  <dcterms:modified xsi:type="dcterms:W3CDTF">2019-10-30T08:07:00Z</dcterms:modified>
</cp:coreProperties>
</file>