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DC" w:rsidRPr="00274A7B" w:rsidRDefault="00E604DC">
      <w:pPr>
        <w:spacing w:before="120"/>
        <w:rPr>
          <w:b/>
          <w:sz w:val="28"/>
          <w:szCs w:val="28"/>
          <w:lang w:val="en-US"/>
        </w:rPr>
      </w:pPr>
      <w:r w:rsidRPr="00274A7B">
        <w:rPr>
          <w:b/>
          <w:sz w:val="28"/>
          <w:szCs w:val="28"/>
          <w:lang w:val="en-US"/>
        </w:rPr>
        <w:t>Economic Commission for Europe</w:t>
      </w:r>
    </w:p>
    <w:p w:rsidR="00E604DC" w:rsidRPr="00274A7B" w:rsidRDefault="00E604DC">
      <w:pPr>
        <w:spacing w:before="120"/>
        <w:rPr>
          <w:sz w:val="28"/>
          <w:szCs w:val="28"/>
          <w:lang w:val="en-US"/>
        </w:rPr>
      </w:pPr>
      <w:r w:rsidRPr="00274A7B">
        <w:rPr>
          <w:sz w:val="28"/>
          <w:szCs w:val="28"/>
          <w:lang w:val="en-US"/>
        </w:rPr>
        <w:t>Inland Transport Committee</w:t>
      </w:r>
    </w:p>
    <w:p w:rsidR="00E604DC" w:rsidRPr="00274A7B" w:rsidRDefault="00E604DC">
      <w:pPr>
        <w:spacing w:before="120" w:after="120"/>
        <w:rPr>
          <w:b/>
          <w:sz w:val="24"/>
          <w:szCs w:val="24"/>
          <w:lang w:val="en-US"/>
        </w:rPr>
      </w:pPr>
      <w:r w:rsidRPr="00274A7B">
        <w:rPr>
          <w:b/>
          <w:sz w:val="24"/>
          <w:szCs w:val="24"/>
          <w:lang w:val="en-US"/>
        </w:rPr>
        <w:t>Working Party on the Transport of Dangerous Goods</w:t>
      </w:r>
    </w:p>
    <w:p w:rsidR="00E604DC" w:rsidRPr="00274A7B" w:rsidRDefault="00830530" w:rsidP="0047131A">
      <w:pPr>
        <w:tabs>
          <w:tab w:val="right" w:pos="9498"/>
        </w:tabs>
        <w:rPr>
          <w:b/>
          <w:lang w:val="en-US"/>
        </w:rPr>
      </w:pPr>
      <w:r>
        <w:rPr>
          <w:b/>
          <w:lang w:val="en-US"/>
        </w:rPr>
        <w:t>107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session</w:t>
      </w:r>
      <w:r w:rsidR="0015267E">
        <w:rPr>
          <w:b/>
          <w:lang w:val="en-US"/>
        </w:rPr>
        <w:tab/>
      </w:r>
      <w:r w:rsidR="005A2A9D">
        <w:rPr>
          <w:b/>
          <w:lang w:val="en-US"/>
        </w:rPr>
        <w:t>4</w:t>
      </w:r>
      <w:r w:rsidR="00CE5320">
        <w:rPr>
          <w:b/>
          <w:lang w:val="en-US"/>
        </w:rPr>
        <w:t xml:space="preserve"> </w:t>
      </w:r>
      <w:r>
        <w:rPr>
          <w:b/>
          <w:lang w:val="en-US"/>
        </w:rPr>
        <w:t>November</w:t>
      </w:r>
      <w:r w:rsidR="008C5B63" w:rsidRPr="00274A7B">
        <w:rPr>
          <w:b/>
          <w:lang w:val="en-US"/>
        </w:rPr>
        <w:t xml:space="preserve"> 2019</w:t>
      </w:r>
    </w:p>
    <w:p w:rsidR="008C5B63" w:rsidRPr="00274A7B" w:rsidRDefault="00830530" w:rsidP="008C5B63">
      <w:pPr>
        <w:rPr>
          <w:lang w:val="en-US"/>
        </w:rPr>
      </w:pPr>
      <w:r>
        <w:rPr>
          <w:lang w:val="en-US"/>
        </w:rPr>
        <w:t>Geneva</w:t>
      </w:r>
      <w:r w:rsidR="008C5B63" w:rsidRPr="00274A7B">
        <w:rPr>
          <w:lang w:val="en-US"/>
        </w:rPr>
        <w:t>, 1</w:t>
      </w:r>
      <w:r>
        <w:rPr>
          <w:lang w:val="en-US"/>
        </w:rPr>
        <w:t>1</w:t>
      </w:r>
      <w:r w:rsidR="008C5B63" w:rsidRPr="00274A7B">
        <w:rPr>
          <w:lang w:val="en-US"/>
        </w:rPr>
        <w:t>-</w:t>
      </w:r>
      <w:r>
        <w:rPr>
          <w:lang w:val="en-US"/>
        </w:rPr>
        <w:t xml:space="preserve">15 November </w:t>
      </w:r>
      <w:r w:rsidR="008C5B63" w:rsidRPr="00274A7B">
        <w:rPr>
          <w:lang w:val="en-US"/>
        </w:rPr>
        <w:t>2019</w:t>
      </w:r>
    </w:p>
    <w:p w:rsidR="00E95E73" w:rsidRPr="00274A7B" w:rsidRDefault="00E95E73" w:rsidP="00E95E73">
      <w:pPr>
        <w:rPr>
          <w:lang w:val="en-US"/>
        </w:rPr>
      </w:pPr>
      <w:r w:rsidRPr="00274A7B">
        <w:rPr>
          <w:lang w:val="en-US"/>
        </w:rPr>
        <w:t>Item 5 (</w:t>
      </w:r>
      <w:r w:rsidR="00830530">
        <w:rPr>
          <w:lang w:val="en-US"/>
        </w:rPr>
        <w:t>a</w:t>
      </w:r>
      <w:r w:rsidRPr="00274A7B">
        <w:rPr>
          <w:lang w:val="en-US"/>
        </w:rPr>
        <w:t>) of the provisional agenda</w:t>
      </w:r>
    </w:p>
    <w:p w:rsidR="00E95E73" w:rsidRPr="00274A7B" w:rsidRDefault="00E95E73" w:rsidP="00E95E73">
      <w:pPr>
        <w:spacing w:line="235" w:lineRule="exact"/>
        <w:rPr>
          <w:b/>
          <w:lang w:val="en-US"/>
        </w:rPr>
      </w:pPr>
      <w:r w:rsidRPr="00274A7B">
        <w:rPr>
          <w:b/>
          <w:lang w:val="en-US"/>
        </w:rPr>
        <w:t xml:space="preserve">Proposals for amendments to </w:t>
      </w:r>
      <w:r w:rsidR="00830530">
        <w:rPr>
          <w:b/>
          <w:lang w:val="en-US"/>
        </w:rPr>
        <w:t xml:space="preserve">annexes A </w:t>
      </w:r>
      <w:r w:rsidR="00290FD6">
        <w:rPr>
          <w:b/>
          <w:lang w:val="en-US"/>
        </w:rPr>
        <w:t>and</w:t>
      </w:r>
      <w:r w:rsidR="00830530">
        <w:rPr>
          <w:b/>
          <w:lang w:val="en-US"/>
        </w:rPr>
        <w:t xml:space="preserve"> B of </w:t>
      </w:r>
      <w:r w:rsidRPr="00274A7B">
        <w:rPr>
          <w:b/>
          <w:lang w:val="en-US"/>
        </w:rPr>
        <w:t>ADR:</w:t>
      </w:r>
    </w:p>
    <w:p w:rsidR="00E95E73" w:rsidRPr="00952E4B" w:rsidRDefault="003348D4" w:rsidP="007247CC">
      <w:pPr>
        <w:rPr>
          <w:rStyle w:val="SubtleEmphasis"/>
          <w:b/>
        </w:rPr>
      </w:pPr>
      <w:r>
        <w:rPr>
          <w:b/>
        </w:rPr>
        <w:t>c</w:t>
      </w:r>
      <w:r w:rsidR="00830530" w:rsidRPr="00952E4B">
        <w:rPr>
          <w:b/>
        </w:rPr>
        <w:t>onstruction and approval of vehicles</w:t>
      </w:r>
    </w:p>
    <w:p w:rsidR="008C5B63" w:rsidRPr="00274A7B" w:rsidRDefault="008C5B63" w:rsidP="00872079">
      <w:pPr>
        <w:pStyle w:val="HChG"/>
        <w:rPr>
          <w:color w:val="000000"/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="007247CC">
        <w:rPr>
          <w:lang w:val="en-US"/>
        </w:rPr>
        <w:t>Progress report on the u</w:t>
      </w:r>
      <w:r w:rsidR="006B1505" w:rsidRPr="00481EA8">
        <w:rPr>
          <w:lang w:val="en-GB"/>
        </w:rPr>
        <w:t>se of Electric and</w:t>
      </w:r>
      <w:r w:rsidR="006B1505" w:rsidRPr="001D0293">
        <w:rPr>
          <w:lang w:val="en-GB"/>
        </w:rPr>
        <w:t xml:space="preserve"> hybrid</w:t>
      </w:r>
      <w:r w:rsidR="006B1505" w:rsidRPr="00481EA8">
        <w:rPr>
          <w:lang w:val="en-GB"/>
        </w:rPr>
        <w:t xml:space="preserve"> Electric</w:t>
      </w:r>
      <w:r w:rsidR="006B1505" w:rsidRPr="00290FD6">
        <w:rPr>
          <w:lang w:val="en-GB"/>
        </w:rPr>
        <w:t xml:space="preserve"> vehicles</w:t>
      </w:r>
      <w:r w:rsidR="006B1505" w:rsidRPr="00481EA8">
        <w:rPr>
          <w:lang w:val="en-GB"/>
        </w:rPr>
        <w:t xml:space="preserve"> for the carriage of dangerous goods</w:t>
      </w:r>
      <w:r w:rsidR="006B1505" w:rsidRPr="00274A7B">
        <w:rPr>
          <w:lang w:val="en-US"/>
        </w:rPr>
        <w:t xml:space="preserve"> </w:t>
      </w:r>
    </w:p>
    <w:p w:rsidR="00E604DC" w:rsidRPr="00274A7B" w:rsidRDefault="008C5B63" w:rsidP="00872079">
      <w:pPr>
        <w:pStyle w:val="H1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="0070514D">
        <w:rPr>
          <w:lang w:val="en-US"/>
        </w:rPr>
        <w:t>T</w:t>
      </w:r>
      <w:r w:rsidR="004804CE" w:rsidRPr="00274A7B">
        <w:rPr>
          <w:lang w:val="en-US"/>
        </w:rPr>
        <w:t>ransmitted by th</w:t>
      </w:r>
      <w:r w:rsidR="00D52557" w:rsidRPr="00274A7B">
        <w:rPr>
          <w:lang w:val="en-US"/>
        </w:rPr>
        <w:t>e Government of the Netherlands</w:t>
      </w:r>
    </w:p>
    <w:p w:rsidR="004804CE" w:rsidRPr="00632E91" w:rsidRDefault="004804CE" w:rsidP="00872079">
      <w:pPr>
        <w:pStyle w:val="HCh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Pr="00632E91">
        <w:rPr>
          <w:lang w:val="en-US"/>
        </w:rPr>
        <w:t>Introduction</w:t>
      </w:r>
    </w:p>
    <w:p w:rsidR="00616AD7" w:rsidRPr="00616AD7" w:rsidRDefault="00872079" w:rsidP="00872079">
      <w:pPr>
        <w:pStyle w:val="SingleTxtG"/>
      </w:pPr>
      <w:r>
        <w:t>1.</w:t>
      </w:r>
      <w:r>
        <w:tab/>
      </w:r>
      <w:proofErr w:type="spellStart"/>
      <w:r w:rsidR="007247CC" w:rsidRPr="00616AD7">
        <w:t>During</w:t>
      </w:r>
      <w:proofErr w:type="spellEnd"/>
      <w:r w:rsidR="007247CC" w:rsidRPr="00616AD7">
        <w:t xml:space="preserve"> the </w:t>
      </w:r>
      <w:proofErr w:type="spellStart"/>
      <w:r w:rsidR="007247CC" w:rsidRPr="00616AD7">
        <w:t>November</w:t>
      </w:r>
      <w:proofErr w:type="spellEnd"/>
      <w:r w:rsidR="007247CC" w:rsidRPr="00616AD7">
        <w:t xml:space="preserve"> 2018 session of the </w:t>
      </w:r>
      <w:r w:rsidR="0015267E" w:rsidRPr="00616AD7">
        <w:t>Working Party on the Transport of Dangerous Goo</w:t>
      </w:r>
      <w:r w:rsidR="00290FD6">
        <w:t>d</w:t>
      </w:r>
      <w:r w:rsidR="0015267E" w:rsidRPr="00616AD7">
        <w:t xml:space="preserve">s </w:t>
      </w:r>
      <w:r w:rsidR="007247CC" w:rsidRPr="00616AD7">
        <w:t xml:space="preserve">the Netherlands introduced </w:t>
      </w:r>
      <w:r w:rsidR="0015267E" w:rsidRPr="00616AD7">
        <w:t xml:space="preserve">informal </w:t>
      </w:r>
      <w:r w:rsidR="007247CC" w:rsidRPr="00616AD7">
        <w:t xml:space="preserve">document INF.13 to start discussion on the use of battery electric and hydrogen fueled vehicles for the transport of dangerous goods. </w:t>
      </w:r>
    </w:p>
    <w:p w:rsidR="00616AD7" w:rsidRPr="00616AD7" w:rsidRDefault="00872079" w:rsidP="00872079">
      <w:pPr>
        <w:pStyle w:val="SingleTxtG"/>
      </w:pPr>
      <w:r>
        <w:t>2.</w:t>
      </w:r>
      <w:r>
        <w:tab/>
      </w:r>
      <w:r w:rsidR="0015267E" w:rsidRPr="00616AD7">
        <w:t xml:space="preserve">The </w:t>
      </w:r>
      <w:proofErr w:type="spellStart"/>
      <w:r w:rsidR="0015267E" w:rsidRPr="00616AD7">
        <w:t>Working</w:t>
      </w:r>
      <w:proofErr w:type="spellEnd"/>
      <w:r w:rsidR="0015267E" w:rsidRPr="00616AD7">
        <w:t xml:space="preserve"> Party </w:t>
      </w:r>
      <w:proofErr w:type="spellStart"/>
      <w:r w:rsidR="007247CC" w:rsidRPr="00616AD7">
        <w:t>recognized</w:t>
      </w:r>
      <w:proofErr w:type="spellEnd"/>
      <w:r w:rsidR="007247CC" w:rsidRPr="00616AD7">
        <w:t xml:space="preserve"> the importance of this topic for the future</w:t>
      </w:r>
      <w:r w:rsidR="0015267E" w:rsidRPr="00616AD7">
        <w:t xml:space="preserve"> and strongly supported the analysis made by Netherlands in informal document INF.13</w:t>
      </w:r>
      <w:r w:rsidR="00616AD7" w:rsidRPr="00616AD7">
        <w:t xml:space="preserve"> (ECE/TRANS/WP.15/244, para 31-33).</w:t>
      </w:r>
      <w:r w:rsidR="00616AD7">
        <w:t xml:space="preserve"> The Working Party has also place</w:t>
      </w:r>
      <w:r w:rsidR="00FD6374">
        <w:t>d</w:t>
      </w:r>
      <w:r w:rsidR="00616AD7">
        <w:t xml:space="preserve"> this topic on the </w:t>
      </w:r>
      <w:proofErr w:type="spellStart"/>
      <w:r w:rsidR="00616AD7">
        <w:t>Programme</w:t>
      </w:r>
      <w:proofErr w:type="spellEnd"/>
      <w:r w:rsidR="00616AD7">
        <w:t xml:space="preserve"> of work for the </w:t>
      </w:r>
      <w:r w:rsidR="00616AD7" w:rsidRPr="00616AD7">
        <w:t>biennium</w:t>
      </w:r>
      <w:r w:rsidR="00616AD7">
        <w:t xml:space="preserve"> 201</w:t>
      </w:r>
      <w:r w:rsidR="00FD6374">
        <w:t>9</w:t>
      </w:r>
      <w:r w:rsidR="00616AD7">
        <w:t>-2020 (ECE/TRANS/WP.15/246, para. 60)</w:t>
      </w:r>
      <w:r w:rsidR="00616AD7" w:rsidRPr="00616AD7">
        <w:t>.</w:t>
      </w:r>
    </w:p>
    <w:p w:rsidR="00616AD7" w:rsidRPr="00616AD7" w:rsidRDefault="00872079" w:rsidP="00872079">
      <w:pPr>
        <w:pStyle w:val="SingleTxtG"/>
      </w:pPr>
      <w:r>
        <w:t>3.</w:t>
      </w:r>
      <w:r>
        <w:tab/>
      </w:r>
      <w:r w:rsidR="00616AD7" w:rsidRPr="00616AD7">
        <w:t>So far production of heavy goods electric vehicles has been based on modified traditional</w:t>
      </w:r>
      <w:r w:rsidR="00616AD7">
        <w:t xml:space="preserve"> </w:t>
      </w:r>
      <w:r w:rsidR="00616AD7" w:rsidRPr="00616AD7">
        <w:t>trucks.</w:t>
      </w:r>
      <w:r w:rsidR="00616AD7">
        <w:t xml:space="preserve"> </w:t>
      </w:r>
      <w:r w:rsidR="00616AD7" w:rsidRPr="00616AD7">
        <w:t>New designs for heavy goods vehicles specific</w:t>
      </w:r>
      <w:r w:rsidR="00FD6374">
        <w:t>ally</w:t>
      </w:r>
      <w:r w:rsidR="00616AD7" w:rsidRPr="00616AD7">
        <w:t xml:space="preserve"> developed for electric driv</w:t>
      </w:r>
      <w:r w:rsidR="00FD6374">
        <w:t>ing</w:t>
      </w:r>
      <w:r w:rsidR="00616AD7" w:rsidRPr="00616AD7">
        <w:t xml:space="preserve"> have not yet emerged onto the market</w:t>
      </w:r>
      <w:r w:rsidR="00CA5E6B">
        <w:t>. A</w:t>
      </w:r>
      <w:r w:rsidR="00616AD7" w:rsidRPr="00616AD7">
        <w:t>lthough</w:t>
      </w:r>
      <w:r w:rsidR="00CA5E6B">
        <w:t>,</w:t>
      </w:r>
      <w:r w:rsidR="00616AD7" w:rsidRPr="00616AD7">
        <w:t xml:space="preserve"> one American manufacturer may be close to doing so. It is expected that </w:t>
      </w:r>
      <w:r w:rsidR="00CA5E6B">
        <w:t xml:space="preserve">new designs </w:t>
      </w:r>
      <w:r w:rsidR="00616AD7" w:rsidRPr="00616AD7">
        <w:t xml:space="preserve">will change the whole configuration of heavy goods vehicles and </w:t>
      </w:r>
      <w:r w:rsidR="00CA5E6B">
        <w:t xml:space="preserve">that </w:t>
      </w:r>
      <w:r w:rsidR="00616AD7" w:rsidRPr="00616AD7">
        <w:t>placing of components such as electric motors, batteries and hydrogen storage systems</w:t>
      </w:r>
      <w:r w:rsidR="00CA5E6B">
        <w:t xml:space="preserve"> are foreseen</w:t>
      </w:r>
      <w:r w:rsidR="00616AD7" w:rsidRPr="00616AD7">
        <w:t xml:space="preserve">. </w:t>
      </w:r>
      <w:r w:rsidR="00290FD6" w:rsidRPr="00616AD7">
        <w:t>This development</w:t>
      </w:r>
      <w:r w:rsidR="00616AD7" w:rsidRPr="00616AD7">
        <w:t xml:space="preserve"> may also be seen on passenger cars where it started as modified combustion engine cars into special design around the electric drive package.</w:t>
      </w:r>
    </w:p>
    <w:p w:rsidR="000E1B70" w:rsidRPr="00274A7B" w:rsidRDefault="000E1B70" w:rsidP="000E1B70">
      <w:pPr>
        <w:pStyle w:val="HCh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  <w:t>Considerations</w:t>
      </w:r>
    </w:p>
    <w:p w:rsidR="00632E91" w:rsidRDefault="00872079" w:rsidP="00872079">
      <w:pPr>
        <w:pStyle w:val="SingleTxtG"/>
      </w:pPr>
      <w:r>
        <w:t>4.</w:t>
      </w:r>
      <w:r>
        <w:tab/>
      </w:r>
      <w:r w:rsidR="00632E91" w:rsidRPr="00632E91">
        <w:t xml:space="preserve">The </w:t>
      </w:r>
      <w:proofErr w:type="spellStart"/>
      <w:r w:rsidR="00632E91" w:rsidRPr="00632E91">
        <w:t>technology</w:t>
      </w:r>
      <w:proofErr w:type="spellEnd"/>
      <w:r w:rsidR="00632E91" w:rsidRPr="00632E91">
        <w:t xml:space="preserve"> </w:t>
      </w:r>
      <w:proofErr w:type="spellStart"/>
      <w:r w:rsidR="00632E91" w:rsidRPr="00632E91">
        <w:t>under</w:t>
      </w:r>
      <w:proofErr w:type="spellEnd"/>
      <w:r w:rsidR="00632E91" w:rsidRPr="00632E91">
        <w:t xml:space="preserve"> </w:t>
      </w:r>
      <w:proofErr w:type="spellStart"/>
      <w:r w:rsidR="00632E91" w:rsidRPr="00632E91">
        <w:t>development</w:t>
      </w:r>
      <w:proofErr w:type="spellEnd"/>
      <w:r w:rsidR="00632E91" w:rsidRPr="00632E91">
        <w:t xml:space="preserve"> means that it proved difficult to find experts on battery development, electric driveline and hydrogen fuel cell systems development for heavy goods vehicles </w:t>
      </w:r>
      <w:r w:rsidR="00CA5E6B">
        <w:t xml:space="preserve">who </w:t>
      </w:r>
      <w:r w:rsidR="00632E91" w:rsidRPr="00632E91">
        <w:t xml:space="preserve">could inform </w:t>
      </w:r>
      <w:r w:rsidR="00632E91">
        <w:t xml:space="preserve">the Working Party </w:t>
      </w:r>
      <w:r w:rsidR="00632E91" w:rsidRPr="00632E91">
        <w:t>in more detail and discuss the particular risks for the carriage of dangerous goods</w:t>
      </w:r>
      <w:r w:rsidR="00632E91">
        <w:t xml:space="preserve"> in these types of vehicles</w:t>
      </w:r>
      <w:r w:rsidR="00632E91" w:rsidRPr="00632E91">
        <w:t xml:space="preserve">. </w:t>
      </w:r>
      <w:r w:rsidR="00BA5615">
        <w:t xml:space="preserve"> </w:t>
      </w:r>
    </w:p>
    <w:p w:rsidR="00C74C38" w:rsidRPr="00F838CB" w:rsidRDefault="00872079" w:rsidP="00872079">
      <w:pPr>
        <w:pStyle w:val="SingleTxtG"/>
      </w:pPr>
      <w:r>
        <w:t>5.</w:t>
      </w:r>
      <w:r>
        <w:tab/>
      </w:r>
      <w:r w:rsidR="00BA5615" w:rsidRPr="00F838CB">
        <w:t xml:space="preserve">In the </w:t>
      </w:r>
      <w:proofErr w:type="spellStart"/>
      <w:r w:rsidR="00BA5615" w:rsidRPr="00F838CB">
        <w:t>meantime</w:t>
      </w:r>
      <w:proofErr w:type="spellEnd"/>
      <w:r w:rsidR="00C74C38" w:rsidRPr="00F838CB">
        <w:t>,</w:t>
      </w:r>
      <w:r w:rsidR="00BA5615" w:rsidRPr="00F838CB">
        <w:t xml:space="preserve"> </w:t>
      </w:r>
      <w:r w:rsidR="00C74C38" w:rsidRPr="00F838CB">
        <w:t xml:space="preserve">the Government of the Netherlands has been </w:t>
      </w:r>
      <w:r w:rsidR="00BA5615" w:rsidRPr="00F838CB">
        <w:t>request</w:t>
      </w:r>
      <w:r w:rsidR="00C74C38" w:rsidRPr="00F838CB">
        <w:t xml:space="preserve">ed </w:t>
      </w:r>
      <w:r w:rsidR="00BA5615" w:rsidRPr="00F838CB">
        <w:t xml:space="preserve">to allow carriage of dangerous goods with </w:t>
      </w:r>
      <w:r w:rsidR="00FD6374">
        <w:t xml:space="preserve">an </w:t>
      </w:r>
      <w:r w:rsidR="00BA5615" w:rsidRPr="00F838CB">
        <w:t xml:space="preserve">electric and fuel cell heavy goods vehicle for the time being </w:t>
      </w:r>
      <w:r w:rsidR="00C74C38" w:rsidRPr="00F838CB">
        <w:t xml:space="preserve">for </w:t>
      </w:r>
      <w:r w:rsidR="00BA5615" w:rsidRPr="00F838CB">
        <w:t>short distance</w:t>
      </w:r>
      <w:r w:rsidR="00C74C38" w:rsidRPr="00F838CB">
        <w:t>s</w:t>
      </w:r>
      <w:r w:rsidR="00F838CB">
        <w:t>,</w:t>
      </w:r>
      <w:r w:rsidR="00C74C38" w:rsidRPr="00F838CB">
        <w:t xml:space="preserve"> </w:t>
      </w:r>
      <w:r w:rsidR="00BA5615" w:rsidRPr="00F838CB">
        <w:t>but in some cases also for international carriage.</w:t>
      </w:r>
    </w:p>
    <w:p w:rsidR="00BA5615" w:rsidRDefault="00872079" w:rsidP="00872079">
      <w:pPr>
        <w:pStyle w:val="SingleTxtG"/>
      </w:pPr>
      <w:r>
        <w:t>6.</w:t>
      </w:r>
      <w:r>
        <w:tab/>
      </w:r>
      <w:r w:rsidR="00580801">
        <w:t xml:space="preserve">It </w:t>
      </w:r>
      <w:proofErr w:type="spellStart"/>
      <w:r w:rsidR="00580801">
        <w:t>is</w:t>
      </w:r>
      <w:proofErr w:type="spellEnd"/>
      <w:r w:rsidR="00580801">
        <w:t xml:space="preserve"> </w:t>
      </w:r>
      <w:proofErr w:type="spellStart"/>
      <w:r w:rsidR="00580801">
        <w:t>expected</w:t>
      </w:r>
      <w:proofErr w:type="spellEnd"/>
      <w:r w:rsidR="00580801">
        <w:t xml:space="preserve"> </w:t>
      </w:r>
      <w:proofErr w:type="spellStart"/>
      <w:r w:rsidR="00580801">
        <w:t>that</w:t>
      </w:r>
      <w:proofErr w:type="spellEnd"/>
      <w:r w:rsidR="00580801">
        <w:t xml:space="preserve"> a </w:t>
      </w:r>
      <w:r w:rsidR="00BA5615" w:rsidRPr="00F838CB">
        <w:t>widespread introduction of special</w:t>
      </w:r>
      <w:r w:rsidR="00FD6374">
        <w:t>ly</w:t>
      </w:r>
      <w:r w:rsidR="00BA5615" w:rsidRPr="00F838CB">
        <w:t xml:space="preserve"> designed heavy goods vehicles will be between 5 and 10 years away</w:t>
      </w:r>
      <w:r w:rsidR="00580801">
        <w:t xml:space="preserve">. However, at the moment </w:t>
      </w:r>
      <w:r w:rsidR="00F838CB" w:rsidRPr="00F838CB">
        <w:t>there is a</w:t>
      </w:r>
      <w:r w:rsidR="00BA5615" w:rsidRPr="00F838CB">
        <w:t xml:space="preserve"> lack of practical use to learn from</w:t>
      </w:r>
      <w:r w:rsidR="00F838CB" w:rsidRPr="00F838CB">
        <w:t xml:space="preserve"> it. I</w:t>
      </w:r>
      <w:r w:rsidR="00BA5615" w:rsidRPr="00F838CB">
        <w:t xml:space="preserve">t is </w:t>
      </w:r>
      <w:r w:rsidR="00290FD6">
        <w:t>therefore</w:t>
      </w:r>
      <w:r w:rsidR="00580801">
        <w:t xml:space="preserve"> </w:t>
      </w:r>
      <w:r w:rsidR="00BA5615" w:rsidRPr="00F838CB">
        <w:t xml:space="preserve">proposed for the short term to start evaluation on these traditional designs and </w:t>
      </w:r>
      <w:r w:rsidR="00C74C38" w:rsidRPr="00F838CB">
        <w:t xml:space="preserve">to </w:t>
      </w:r>
      <w:r w:rsidR="00F838CB" w:rsidRPr="00F838CB">
        <w:t xml:space="preserve">examine what are the potential </w:t>
      </w:r>
      <w:r w:rsidR="00F838CB">
        <w:t xml:space="preserve">risks </w:t>
      </w:r>
      <w:r w:rsidR="00BA5615" w:rsidRPr="00F838CB">
        <w:t xml:space="preserve">for AT and FL vehicles </w:t>
      </w:r>
      <w:r w:rsidR="00F838CB" w:rsidRPr="00F838CB">
        <w:t xml:space="preserve">and what </w:t>
      </w:r>
      <w:r w:rsidR="00BA5615" w:rsidRPr="00F838CB">
        <w:t>necessary mitigation measures</w:t>
      </w:r>
      <w:r w:rsidR="00F838CB" w:rsidRPr="00F838CB">
        <w:t xml:space="preserve"> could be taken</w:t>
      </w:r>
      <w:r w:rsidR="00580801">
        <w:t xml:space="preserve"> for the safe use of these types of vehicles for the transport of dangerous goods</w:t>
      </w:r>
      <w:r w:rsidR="00BA5615" w:rsidRPr="00F838CB">
        <w:t xml:space="preserve">. </w:t>
      </w:r>
    </w:p>
    <w:p w:rsidR="00580801" w:rsidRPr="00580801" w:rsidRDefault="00872079" w:rsidP="00872079">
      <w:pPr>
        <w:pStyle w:val="SingleTxtG"/>
      </w:pPr>
      <w:r>
        <w:t>7.</w:t>
      </w:r>
      <w:r>
        <w:tab/>
      </w:r>
      <w:r w:rsidR="00580801" w:rsidRPr="00580801">
        <w:t xml:space="preserve">It </w:t>
      </w:r>
      <w:proofErr w:type="spellStart"/>
      <w:r w:rsidR="00580801" w:rsidRPr="00580801">
        <w:t>is</w:t>
      </w:r>
      <w:proofErr w:type="spellEnd"/>
      <w:r w:rsidR="00580801" w:rsidRPr="00580801">
        <w:t xml:space="preserve"> </w:t>
      </w:r>
      <w:proofErr w:type="spellStart"/>
      <w:r w:rsidR="00580801" w:rsidRPr="00580801">
        <w:t>proposed</w:t>
      </w:r>
      <w:proofErr w:type="spellEnd"/>
      <w:r w:rsidR="00580801" w:rsidRPr="00580801">
        <w:t xml:space="preserve"> to mandate an informal working group to study the risks and</w:t>
      </w:r>
      <w:r w:rsidR="00290FD6">
        <w:t xml:space="preserve"> n</w:t>
      </w:r>
      <w:r w:rsidR="00580801" w:rsidRPr="00580801">
        <w:t>ecessary mitigation measures.</w:t>
      </w:r>
    </w:p>
    <w:p w:rsidR="004804CE" w:rsidRPr="00274A7B" w:rsidRDefault="00365836" w:rsidP="00290FD6">
      <w:pPr>
        <w:pStyle w:val="HChG"/>
        <w:jc w:val="both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  <w:t>Request</w:t>
      </w:r>
    </w:p>
    <w:p w:rsidR="004804CE" w:rsidRPr="00274A7B" w:rsidRDefault="00290FD6" w:rsidP="00872079">
      <w:pPr>
        <w:pStyle w:val="SingleTxtG"/>
        <w:rPr>
          <w:lang w:val="en-US"/>
        </w:rPr>
      </w:pPr>
      <w:r>
        <w:rPr>
          <w:lang w:val="en-US"/>
        </w:rPr>
        <w:t>8</w:t>
      </w:r>
      <w:r w:rsidR="004804CE" w:rsidRPr="00274A7B">
        <w:rPr>
          <w:lang w:val="en-US"/>
        </w:rPr>
        <w:t>.</w:t>
      </w:r>
      <w:r w:rsidR="004804CE" w:rsidRPr="00274A7B">
        <w:rPr>
          <w:lang w:val="en-US"/>
        </w:rPr>
        <w:tab/>
      </w:r>
      <w:r w:rsidR="00365836" w:rsidRPr="00274A7B">
        <w:rPr>
          <w:lang w:val="en-US"/>
        </w:rPr>
        <w:t xml:space="preserve">The Dutch delegation is interested to hear the opinions of the other delegations and invites the </w:t>
      </w:r>
      <w:r>
        <w:rPr>
          <w:lang w:val="en-US"/>
        </w:rPr>
        <w:t xml:space="preserve">Working Party </w:t>
      </w:r>
      <w:r w:rsidR="00365836" w:rsidRPr="00274A7B">
        <w:rPr>
          <w:lang w:val="en-US"/>
        </w:rPr>
        <w:t xml:space="preserve">to </w:t>
      </w:r>
      <w:proofErr w:type="gramStart"/>
      <w:r w:rsidR="00365836" w:rsidRPr="00274A7B">
        <w:rPr>
          <w:lang w:val="en-US"/>
        </w:rPr>
        <w:t>take action</w:t>
      </w:r>
      <w:proofErr w:type="gramEnd"/>
      <w:r w:rsidR="00274A7B">
        <w:rPr>
          <w:lang w:val="en-US"/>
        </w:rPr>
        <w:t>,</w:t>
      </w:r>
      <w:r w:rsidR="00365836" w:rsidRPr="00274A7B">
        <w:rPr>
          <w:lang w:val="en-US"/>
        </w:rPr>
        <w:t xml:space="preserve"> as it deems appropriate. </w:t>
      </w:r>
    </w:p>
    <w:p w:rsidR="004804CE" w:rsidRPr="004804CE" w:rsidRDefault="004804CE" w:rsidP="004804C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04CE" w:rsidRPr="004804CE" w:rsidSect="00872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96" w:rsidRDefault="00C23796">
      <w:pPr>
        <w:spacing w:line="240" w:lineRule="auto"/>
      </w:pPr>
      <w:r>
        <w:separator/>
      </w:r>
    </w:p>
  </w:endnote>
  <w:endnote w:type="continuationSeparator" w:id="0">
    <w:p w:rsidR="00C23796" w:rsidRDefault="00C23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96" w:rsidRPr="00E023B1" w:rsidRDefault="00C23796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481EA8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96" w:rsidRPr="00E023B1" w:rsidRDefault="00C23796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79" w:rsidRDefault="00872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96" w:rsidRDefault="00C23796">
      <w:r>
        <w:separator/>
      </w:r>
    </w:p>
  </w:footnote>
  <w:footnote w:type="continuationSeparator" w:id="0">
    <w:p w:rsidR="00C23796" w:rsidRDefault="00C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96" w:rsidRPr="00630413" w:rsidRDefault="00C23796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</w:t>
    </w:r>
    <w:r w:rsidR="00604860">
      <w:rPr>
        <w:szCs w:val="18"/>
      </w:rPr>
      <w:t>10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604860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4AF34E2"/>
    <w:multiLevelType w:val="hybridMultilevel"/>
    <w:tmpl w:val="1BC013A4"/>
    <w:lvl w:ilvl="0" w:tplc="CF081C9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5"/>
  </w:num>
  <w:num w:numId="45">
    <w:abstractNumId w:val="1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73"/>
    <w:rsid w:val="00001347"/>
    <w:rsid w:val="00004F9C"/>
    <w:rsid w:val="000244CF"/>
    <w:rsid w:val="00030553"/>
    <w:rsid w:val="00032ED8"/>
    <w:rsid w:val="00037051"/>
    <w:rsid w:val="00065A36"/>
    <w:rsid w:val="000B3036"/>
    <w:rsid w:val="000E1B70"/>
    <w:rsid w:val="00111CE4"/>
    <w:rsid w:val="00121296"/>
    <w:rsid w:val="00124B77"/>
    <w:rsid w:val="00126B65"/>
    <w:rsid w:val="00152473"/>
    <w:rsid w:val="0015267E"/>
    <w:rsid w:val="00190B9E"/>
    <w:rsid w:val="001C39CE"/>
    <w:rsid w:val="001E44B6"/>
    <w:rsid w:val="0021751C"/>
    <w:rsid w:val="00221AEA"/>
    <w:rsid w:val="002728F3"/>
    <w:rsid w:val="00274A7B"/>
    <w:rsid w:val="00290FD6"/>
    <w:rsid w:val="002E404C"/>
    <w:rsid w:val="003341D4"/>
    <w:rsid w:val="003348D4"/>
    <w:rsid w:val="00336A68"/>
    <w:rsid w:val="00361661"/>
    <w:rsid w:val="00365836"/>
    <w:rsid w:val="003A3CDE"/>
    <w:rsid w:val="003C6374"/>
    <w:rsid w:val="00425748"/>
    <w:rsid w:val="00447288"/>
    <w:rsid w:val="0047131A"/>
    <w:rsid w:val="004804CE"/>
    <w:rsid w:val="00481EA8"/>
    <w:rsid w:val="004A53C8"/>
    <w:rsid w:val="004A6057"/>
    <w:rsid w:val="004C4BF9"/>
    <w:rsid w:val="004D422C"/>
    <w:rsid w:val="004E209D"/>
    <w:rsid w:val="0050636F"/>
    <w:rsid w:val="00580801"/>
    <w:rsid w:val="00582C34"/>
    <w:rsid w:val="005A249B"/>
    <w:rsid w:val="005A2A9D"/>
    <w:rsid w:val="005F7D50"/>
    <w:rsid w:val="00604860"/>
    <w:rsid w:val="00616AD7"/>
    <w:rsid w:val="00630413"/>
    <w:rsid w:val="00632E91"/>
    <w:rsid w:val="00677416"/>
    <w:rsid w:val="006A3FBB"/>
    <w:rsid w:val="006B1505"/>
    <w:rsid w:val="006B2556"/>
    <w:rsid w:val="006D651C"/>
    <w:rsid w:val="006E2338"/>
    <w:rsid w:val="0070514D"/>
    <w:rsid w:val="007247CC"/>
    <w:rsid w:val="007313AA"/>
    <w:rsid w:val="00737EBF"/>
    <w:rsid w:val="007701AF"/>
    <w:rsid w:val="007959C8"/>
    <w:rsid w:val="007A34D3"/>
    <w:rsid w:val="007C735B"/>
    <w:rsid w:val="007D7C22"/>
    <w:rsid w:val="00830530"/>
    <w:rsid w:val="00840CB5"/>
    <w:rsid w:val="00872079"/>
    <w:rsid w:val="00877F4B"/>
    <w:rsid w:val="008A49FA"/>
    <w:rsid w:val="008B0C17"/>
    <w:rsid w:val="008B1779"/>
    <w:rsid w:val="008C5B63"/>
    <w:rsid w:val="008C640D"/>
    <w:rsid w:val="008F302A"/>
    <w:rsid w:val="0095119C"/>
    <w:rsid w:val="00952E4B"/>
    <w:rsid w:val="009A1D6E"/>
    <w:rsid w:val="009A7A7A"/>
    <w:rsid w:val="009D6E87"/>
    <w:rsid w:val="009E188F"/>
    <w:rsid w:val="009F0BA5"/>
    <w:rsid w:val="009F70C1"/>
    <w:rsid w:val="00A0681F"/>
    <w:rsid w:val="00A2258E"/>
    <w:rsid w:val="00A372BF"/>
    <w:rsid w:val="00A50A9D"/>
    <w:rsid w:val="00A572AD"/>
    <w:rsid w:val="00A918D1"/>
    <w:rsid w:val="00A92CBF"/>
    <w:rsid w:val="00B262E5"/>
    <w:rsid w:val="00B33B1C"/>
    <w:rsid w:val="00B3602D"/>
    <w:rsid w:val="00BA5615"/>
    <w:rsid w:val="00BE3581"/>
    <w:rsid w:val="00C13D1B"/>
    <w:rsid w:val="00C23796"/>
    <w:rsid w:val="00C74C38"/>
    <w:rsid w:val="00C929EE"/>
    <w:rsid w:val="00CA5E6B"/>
    <w:rsid w:val="00CD2EDE"/>
    <w:rsid w:val="00CE5320"/>
    <w:rsid w:val="00D0791D"/>
    <w:rsid w:val="00D52557"/>
    <w:rsid w:val="00D92145"/>
    <w:rsid w:val="00D924DC"/>
    <w:rsid w:val="00DA566B"/>
    <w:rsid w:val="00DC1883"/>
    <w:rsid w:val="00E023B1"/>
    <w:rsid w:val="00E05920"/>
    <w:rsid w:val="00E604DC"/>
    <w:rsid w:val="00E610C2"/>
    <w:rsid w:val="00E95E73"/>
    <w:rsid w:val="00EC6F8C"/>
    <w:rsid w:val="00F0675E"/>
    <w:rsid w:val="00F25544"/>
    <w:rsid w:val="00F255C5"/>
    <w:rsid w:val="00F43DED"/>
    <w:rsid w:val="00F838CB"/>
    <w:rsid w:val="00F83938"/>
    <w:rsid w:val="00F84D4B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07F7712"/>
  <w15:docId w15:val="{D498DAF8-F7E6-4C1A-AA77-4C919C6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7247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0373-01DD-41C4-95A2-68619740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dc:description>Final</dc:description>
  <cp:lastModifiedBy>Christine Barrio-Champeau</cp:lastModifiedBy>
  <cp:revision>3</cp:revision>
  <cp:lastPrinted>2019-11-04T09:52:00Z</cp:lastPrinted>
  <dcterms:created xsi:type="dcterms:W3CDTF">2019-11-04T10:28:00Z</dcterms:created>
  <dcterms:modified xsi:type="dcterms:W3CDTF">2019-11-04T10:28:00Z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