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1452" w14:textId="77777777" w:rsidR="00F3626A" w:rsidRDefault="00037E1B" w:rsidP="00547FE1">
      <w:pPr>
        <w:pStyle w:val="HChG"/>
        <w:tabs>
          <w:tab w:val="right" w:pos="8505"/>
        </w:tabs>
      </w:pPr>
      <w:r>
        <w:t xml:space="preserve">Annex </w:t>
      </w:r>
      <w:r w:rsidR="00DF4DF9">
        <w:tab/>
      </w:r>
      <w:r w:rsidR="00F3626A">
        <w:tab/>
      </w:r>
      <w:r w:rsidR="00F3626A">
        <w:tab/>
      </w:r>
    </w:p>
    <w:p w14:paraId="5C9585F5" w14:textId="3C638194" w:rsidR="00037E1B" w:rsidRPr="00547FE1" w:rsidRDefault="00F3626A" w:rsidP="00547FE1">
      <w:pPr>
        <w:pStyle w:val="HChG"/>
        <w:tabs>
          <w:tab w:val="right" w:pos="8505"/>
        </w:tabs>
        <w:rPr>
          <w:sz w:val="22"/>
          <w:szCs w:val="16"/>
        </w:rPr>
      </w:pPr>
      <w:r>
        <w:rPr>
          <w:b w:val="0"/>
          <w:bCs/>
          <w:sz w:val="22"/>
          <w:szCs w:val="16"/>
        </w:rPr>
        <w:tab/>
      </w:r>
      <w:r>
        <w:rPr>
          <w:b w:val="0"/>
          <w:bCs/>
          <w:sz w:val="22"/>
          <w:szCs w:val="16"/>
        </w:rPr>
        <w:tab/>
      </w:r>
      <w:r>
        <w:rPr>
          <w:b w:val="0"/>
          <w:bCs/>
          <w:sz w:val="22"/>
          <w:szCs w:val="16"/>
        </w:rPr>
        <w:tab/>
      </w:r>
      <w:r w:rsidR="00DF4DF9" w:rsidRPr="00334AB5">
        <w:rPr>
          <w:b w:val="0"/>
          <w:bCs/>
          <w:sz w:val="22"/>
          <w:szCs w:val="16"/>
        </w:rPr>
        <w:t>[Original: English and French]</w:t>
      </w:r>
    </w:p>
    <w:p w14:paraId="6F40EE34" w14:textId="0C3A1FEE" w:rsidR="00037E1B" w:rsidRDefault="00037E1B" w:rsidP="00037E1B">
      <w:pPr>
        <w:pStyle w:val="SingleTxtG"/>
      </w:pPr>
      <w:bookmarkStart w:id="0" w:name="_Hlk9414029"/>
      <w:r>
        <w:t xml:space="preserve">PROTOCOL AMENDING THE TITLE OF THE EUROPEAN AGREEMENT OF 30 SEPTEMBER </w:t>
      </w:r>
      <w:r w:rsidR="00FA7420">
        <w:t xml:space="preserve">1957 </w:t>
      </w:r>
      <w:r>
        <w:t>CONCERNING THE INTERNATIONAL CARRIAGE OF DANGEROUS GOODS BY ROAD (ADR)</w:t>
      </w:r>
    </w:p>
    <w:bookmarkEnd w:id="0"/>
    <w:p w14:paraId="28FF37CE" w14:textId="77777777" w:rsidR="00037E1B" w:rsidRDefault="00037E1B" w:rsidP="00037E1B">
      <w:pPr>
        <w:pStyle w:val="SingleTxtG"/>
      </w:pPr>
      <w:r>
        <w:t>The Parties to the present Protocol,</w:t>
      </w:r>
    </w:p>
    <w:p w14:paraId="620C9780" w14:textId="77777777" w:rsidR="00037E1B" w:rsidRDefault="00037E1B" w:rsidP="00037E1B">
      <w:pPr>
        <w:pStyle w:val="SingleTxtG"/>
      </w:pPr>
      <w:r w:rsidRPr="00E314D1">
        <w:rPr>
          <w:i/>
          <w:iCs/>
        </w:rPr>
        <w:t>Having considered</w:t>
      </w:r>
      <w:r>
        <w:t xml:space="preserve"> the provisions of article 6 of the European Agreement concerning the International Carriage of Dangerous Goods by Road (ADR), done at Geneva on 30 September 1957 (hereafter referred to as “the Agreement”), relating to the eligibility of a country for accession to the agreement;</w:t>
      </w:r>
    </w:p>
    <w:p w14:paraId="181CF626" w14:textId="77777777" w:rsidR="00037E1B" w:rsidRDefault="00037E1B" w:rsidP="00037E1B">
      <w:pPr>
        <w:pStyle w:val="SingleTxtG"/>
      </w:pPr>
      <w:r w:rsidRPr="00E314D1">
        <w:rPr>
          <w:i/>
          <w:iCs/>
        </w:rPr>
        <w:t>Noting</w:t>
      </w:r>
      <w:r>
        <w:t xml:space="preserve"> that, in accordance with such article, the Agreement is open for accession not only to countries members of the Economic Commission for Europe and countries admitted to the Commission in consultative capacity under paragraph 8 of the Commission’s mandate, but also to countries members of the United Nations (not members of the Commission) that participate in the Commission’s work, in application of paragraph 11 of the Commission’s mandate;</w:t>
      </w:r>
    </w:p>
    <w:p w14:paraId="2A1BD1D1" w14:textId="77777777" w:rsidR="00037E1B" w:rsidRPr="00E314D1" w:rsidRDefault="00037E1B" w:rsidP="00037E1B">
      <w:pPr>
        <w:pStyle w:val="SingleTxtG"/>
      </w:pPr>
      <w:proofErr w:type="gramStart"/>
      <w:r w:rsidRPr="00E314D1">
        <w:rPr>
          <w:i/>
          <w:iCs/>
        </w:rPr>
        <w:t>Taking into account</w:t>
      </w:r>
      <w:proofErr w:type="gramEnd"/>
      <w:r>
        <w:t xml:space="preserve"> the General Assembly Resolution 72/271 of 12 April 2018 on Improving global road safety, reaffirming the role and importance of ADR as one of the main United Nations legal instruments contributing to road safety and encouraging Member States that have not yet done so to consider becoming contracting parties; </w:t>
      </w:r>
    </w:p>
    <w:p w14:paraId="084D19BE" w14:textId="77777777" w:rsidR="00037E1B" w:rsidRDefault="00037E1B" w:rsidP="00037E1B">
      <w:pPr>
        <w:pStyle w:val="SingleTxtG"/>
      </w:pPr>
      <w:r w:rsidRPr="008A0424">
        <w:rPr>
          <w:i/>
          <w:iCs/>
        </w:rPr>
        <w:t>Noting further</w:t>
      </w:r>
      <w:r>
        <w:t xml:space="preserve"> the views of the Working Party on the Transport of Dangerous Goods of the Inland Transport Committee of the United Nations Economic Commission for Europe and the proposal from the Government of Portugal, that the mention “European” in the title of the agreement is not consistent with the conditions for the participation of non-European States stipulated on its article 6 and may represent an obstacle for accession to the agreement of States that are not members of the Commission; </w:t>
      </w:r>
    </w:p>
    <w:p w14:paraId="10E14732" w14:textId="77777777" w:rsidR="00037E1B" w:rsidRDefault="00037E1B" w:rsidP="00037E1B">
      <w:pPr>
        <w:pStyle w:val="SingleTxtG"/>
      </w:pPr>
      <w:r w:rsidRPr="008A0424">
        <w:rPr>
          <w:i/>
          <w:iCs/>
        </w:rPr>
        <w:t>Agree</w:t>
      </w:r>
      <w:r>
        <w:t xml:space="preserve"> as follows,</w:t>
      </w:r>
    </w:p>
    <w:p w14:paraId="2D751358" w14:textId="77777777" w:rsidR="00037E1B" w:rsidRPr="007A0ED9" w:rsidRDefault="00037E1B" w:rsidP="00037E1B">
      <w:pPr>
        <w:pStyle w:val="SingleTxtG"/>
        <w:jc w:val="center"/>
      </w:pPr>
      <w:r w:rsidRPr="007A0ED9">
        <w:t>ARTICLE 1</w:t>
      </w:r>
    </w:p>
    <w:p w14:paraId="7F73EA10" w14:textId="77777777" w:rsidR="00037E1B" w:rsidRPr="007A0ED9" w:rsidRDefault="00037E1B" w:rsidP="00037E1B">
      <w:pPr>
        <w:pStyle w:val="SingleTxtG"/>
        <w:jc w:val="center"/>
      </w:pPr>
      <w:r w:rsidRPr="007A0ED9">
        <w:t>Amendment to the title of the Agreement</w:t>
      </w:r>
    </w:p>
    <w:p w14:paraId="1CE75283" w14:textId="77777777" w:rsidR="00037E1B" w:rsidRDefault="00037E1B" w:rsidP="00037E1B">
      <w:pPr>
        <w:pStyle w:val="SingleTxtG"/>
      </w:pPr>
      <w:r>
        <w:t xml:space="preserve">The title of the Agreement shall be amended to read “Agreement Concerning the International Carriage of Dangerous Goods by Road”. The acronym “ADR” remains unchanged. </w:t>
      </w:r>
    </w:p>
    <w:p w14:paraId="7155383D" w14:textId="77777777" w:rsidR="00037E1B" w:rsidRDefault="00037E1B" w:rsidP="00037E1B">
      <w:pPr>
        <w:pStyle w:val="SingleTxtG"/>
        <w:jc w:val="center"/>
      </w:pPr>
      <w:r>
        <w:t>ARTICLE 2</w:t>
      </w:r>
    </w:p>
    <w:p w14:paraId="6D5B7564" w14:textId="77777777" w:rsidR="00037E1B" w:rsidRDefault="00037E1B" w:rsidP="00037E1B">
      <w:pPr>
        <w:pStyle w:val="SingleTxtG"/>
        <w:jc w:val="center"/>
      </w:pPr>
      <w:r>
        <w:t>Entry into force</w:t>
      </w:r>
    </w:p>
    <w:p w14:paraId="68B379A2" w14:textId="77777777" w:rsidR="00037E1B" w:rsidRDefault="00037E1B" w:rsidP="00037E1B">
      <w:pPr>
        <w:pStyle w:val="SingleTxtG"/>
      </w:pPr>
      <w:r>
        <w:t>1.</w:t>
      </w:r>
      <w:r>
        <w:tab/>
        <w:t xml:space="preserve">The amendment in Article 1 shall be deemed to be accepted </w:t>
      </w:r>
      <w:proofErr w:type="gramStart"/>
      <w:r>
        <w:t>provided that</w:t>
      </w:r>
      <w:proofErr w:type="gramEnd"/>
      <w:r>
        <w:t xml:space="preserve"> none of the Parties have given the Secretary-General written objection to it within six </w:t>
      </w:r>
      <w:r w:rsidRPr="007548D2">
        <w:t xml:space="preserve">months from the date on which the Secretary-General circulates </w:t>
      </w:r>
      <w:r>
        <w:t>the adopted Protocol</w:t>
      </w:r>
      <w:r w:rsidRPr="007548D2">
        <w:t>.</w:t>
      </w:r>
      <w:r>
        <w:t xml:space="preserve"> </w:t>
      </w:r>
    </w:p>
    <w:p w14:paraId="484E22E1" w14:textId="77777777" w:rsidR="00037E1B" w:rsidRDefault="00037E1B" w:rsidP="00037E1B">
      <w:pPr>
        <w:pStyle w:val="SingleTxtG"/>
      </w:pPr>
      <w:r>
        <w:t>2.</w:t>
      </w:r>
      <w:r>
        <w:tab/>
        <w:t>The Secretary-General shall notify all Parties as soon as possible whether an objection to the proposed amendment has been expressed within the six months following the date of notification. If an objection to the proposed amendment has been expressed during that period, the amendment shall be deemed not to have been accepted and shall be of no effect whatsoever.</w:t>
      </w:r>
    </w:p>
    <w:p w14:paraId="4775F24A" w14:textId="59CBAD50" w:rsidR="009B6D41" w:rsidRDefault="009B6D41" w:rsidP="009B6D41">
      <w:pPr>
        <w:pStyle w:val="SingleTxtG"/>
      </w:pPr>
      <w:r>
        <w:t>3.</w:t>
      </w:r>
      <w:r>
        <w:tab/>
        <w:t>If no such objection has been expressed during that period, the amendment shall enter into force for all Parties to the Agreement on 1 January 2021.</w:t>
      </w:r>
    </w:p>
    <w:p w14:paraId="359F0E9B" w14:textId="77777777" w:rsidR="00037E1B" w:rsidRDefault="00037E1B" w:rsidP="00037E1B">
      <w:pPr>
        <w:pStyle w:val="SingleTxtG"/>
      </w:pPr>
      <w:r>
        <w:t>4.</w:t>
      </w:r>
      <w:r>
        <w:tab/>
        <w:t xml:space="preserve">Any State that becomes a party to the ADR following the expiry of the six months period mentioned in paragraph 1 above but before the entry into force of this Protocol, shall become party to this Protocol upon its entry into force. Any State that becomes a party to the </w:t>
      </w:r>
      <w:bookmarkStart w:id="1" w:name="_GoBack"/>
      <w:bookmarkEnd w:id="1"/>
      <w:r>
        <w:t>ADR after the entry into force of the Protocol shall be bound by the ADR, as amended by this Protocol.</w:t>
      </w:r>
    </w:p>
    <w:p w14:paraId="320013D2" w14:textId="77777777" w:rsidR="00037E1B" w:rsidRDefault="00037E1B" w:rsidP="008E1E08">
      <w:pPr>
        <w:pStyle w:val="SingleTxtG"/>
        <w:keepNext/>
        <w:keepLines/>
        <w:jc w:val="center"/>
      </w:pPr>
      <w:r>
        <w:lastRenderedPageBreak/>
        <w:t>ARTICLE 3</w:t>
      </w:r>
    </w:p>
    <w:p w14:paraId="48052C04" w14:textId="77777777" w:rsidR="00037E1B" w:rsidRDefault="00037E1B" w:rsidP="008E1E08">
      <w:pPr>
        <w:pStyle w:val="SingleTxtG"/>
        <w:keepNext/>
        <w:keepLines/>
      </w:pPr>
      <w:r>
        <w:tab/>
      </w:r>
      <w:r w:rsidRPr="00ED3504">
        <w:t>The original of this Protocol, which is authentic in English</w:t>
      </w:r>
      <w:r>
        <w:t xml:space="preserve"> and</w:t>
      </w:r>
      <w:r w:rsidRPr="00ED3504">
        <w:t xml:space="preserve"> French, shall be deposited with the </w:t>
      </w:r>
      <w:r>
        <w:t>depositary</w:t>
      </w:r>
      <w:r w:rsidRPr="00ED3504">
        <w:t xml:space="preserve"> of the </w:t>
      </w:r>
      <w:r>
        <w:t>treaty</w:t>
      </w:r>
      <w:r w:rsidRPr="00ED3504">
        <w:t>.</w:t>
      </w:r>
    </w:p>
    <w:p w14:paraId="09766F4C" w14:textId="77777777" w:rsidR="00037E1B" w:rsidRPr="000305CC" w:rsidRDefault="00037E1B" w:rsidP="00037E1B">
      <w:pPr>
        <w:pStyle w:val="SingleTxtG"/>
        <w:spacing w:before="240" w:after="0"/>
        <w:jc w:val="center"/>
        <w:rPr>
          <w:u w:val="single"/>
        </w:rPr>
      </w:pPr>
      <w:r w:rsidRPr="000305CC">
        <w:rPr>
          <w:u w:val="single"/>
        </w:rPr>
        <w:tab/>
      </w:r>
      <w:r w:rsidRPr="000305CC">
        <w:rPr>
          <w:u w:val="single"/>
        </w:rPr>
        <w:tab/>
      </w:r>
      <w:r w:rsidRPr="000305CC">
        <w:rPr>
          <w:u w:val="single"/>
        </w:rPr>
        <w:tab/>
      </w:r>
    </w:p>
    <w:p w14:paraId="1F9861EC" w14:textId="77777777" w:rsidR="00016FE0" w:rsidRPr="00925803" w:rsidRDefault="00016FE0" w:rsidP="00037E1B">
      <w:pPr>
        <w:pStyle w:val="SingleTxtG"/>
      </w:pPr>
    </w:p>
    <w:sectPr w:rsidR="00016FE0" w:rsidRPr="00925803" w:rsidSect="00223523">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30255" w14:textId="77777777" w:rsidR="007149F9" w:rsidRDefault="007149F9"/>
  </w:endnote>
  <w:endnote w:type="continuationSeparator" w:id="0">
    <w:p w14:paraId="556899D1" w14:textId="77777777" w:rsidR="007149F9" w:rsidRDefault="007149F9"/>
  </w:endnote>
  <w:endnote w:type="continuationNotice" w:id="1">
    <w:p w14:paraId="79F196BF" w14:textId="77777777" w:rsidR="007149F9" w:rsidRDefault="0071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C351" w14:textId="77777777" w:rsidR="007149F9" w:rsidRPr="00925803" w:rsidRDefault="007149F9" w:rsidP="00925803">
    <w:pPr>
      <w:pStyle w:val="Footer"/>
      <w:tabs>
        <w:tab w:val="right" w:pos="9638"/>
      </w:tabs>
      <w:rPr>
        <w:sz w:val="18"/>
      </w:rPr>
    </w:pPr>
    <w:r w:rsidRPr="00925803">
      <w:rPr>
        <w:b/>
        <w:sz w:val="18"/>
      </w:rPr>
      <w:fldChar w:fldCharType="begin"/>
    </w:r>
    <w:r w:rsidRPr="00925803">
      <w:rPr>
        <w:b/>
        <w:sz w:val="18"/>
      </w:rPr>
      <w:instrText xml:space="preserve"> PAGE  \* MERGEFORMAT </w:instrText>
    </w:r>
    <w:r w:rsidRPr="00925803">
      <w:rPr>
        <w:b/>
        <w:sz w:val="18"/>
      </w:rPr>
      <w:fldChar w:fldCharType="separate"/>
    </w:r>
    <w:r w:rsidRPr="00925803">
      <w:rPr>
        <w:b/>
        <w:noProof/>
        <w:sz w:val="18"/>
      </w:rPr>
      <w:t>2</w:t>
    </w:r>
    <w:r w:rsidRPr="0092580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EC90" w14:textId="77777777" w:rsidR="007149F9" w:rsidRPr="00925803" w:rsidRDefault="007149F9" w:rsidP="00925803">
    <w:pPr>
      <w:pStyle w:val="Footer"/>
      <w:tabs>
        <w:tab w:val="right" w:pos="9638"/>
      </w:tabs>
      <w:rPr>
        <w:b/>
        <w:sz w:val="18"/>
      </w:rPr>
    </w:pPr>
    <w:r>
      <w:tab/>
    </w:r>
    <w:r w:rsidRPr="00925803">
      <w:rPr>
        <w:b/>
        <w:sz w:val="18"/>
      </w:rPr>
      <w:fldChar w:fldCharType="begin"/>
    </w:r>
    <w:r w:rsidRPr="00925803">
      <w:rPr>
        <w:b/>
        <w:sz w:val="18"/>
      </w:rPr>
      <w:instrText xml:space="preserve"> PAGE  \* MERGEFORMAT </w:instrText>
    </w:r>
    <w:r w:rsidRPr="00925803">
      <w:rPr>
        <w:b/>
        <w:sz w:val="18"/>
      </w:rPr>
      <w:fldChar w:fldCharType="separate"/>
    </w:r>
    <w:r w:rsidRPr="00925803">
      <w:rPr>
        <w:b/>
        <w:noProof/>
        <w:sz w:val="18"/>
      </w:rPr>
      <w:t>3</w:t>
    </w:r>
    <w:r w:rsidRPr="0092580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0B26" w14:textId="77777777" w:rsidR="007149F9" w:rsidRPr="000B175B" w:rsidRDefault="007149F9" w:rsidP="000B175B">
      <w:pPr>
        <w:tabs>
          <w:tab w:val="right" w:pos="2155"/>
        </w:tabs>
        <w:spacing w:after="80"/>
        <w:ind w:left="680"/>
        <w:rPr>
          <w:u w:val="single"/>
        </w:rPr>
      </w:pPr>
      <w:r>
        <w:rPr>
          <w:u w:val="single"/>
        </w:rPr>
        <w:tab/>
      </w:r>
    </w:p>
  </w:footnote>
  <w:footnote w:type="continuationSeparator" w:id="0">
    <w:p w14:paraId="0E4592D8" w14:textId="77777777" w:rsidR="007149F9" w:rsidRPr="00FC68B7" w:rsidRDefault="007149F9" w:rsidP="00FC68B7">
      <w:pPr>
        <w:tabs>
          <w:tab w:val="left" w:pos="2155"/>
        </w:tabs>
        <w:spacing w:after="80"/>
        <w:ind w:left="680"/>
        <w:rPr>
          <w:u w:val="single"/>
        </w:rPr>
      </w:pPr>
      <w:r>
        <w:rPr>
          <w:u w:val="single"/>
        </w:rPr>
        <w:tab/>
      </w:r>
    </w:p>
  </w:footnote>
  <w:footnote w:type="continuationNotice" w:id="1">
    <w:p w14:paraId="2DC45EF4" w14:textId="77777777" w:rsidR="007149F9" w:rsidRDefault="00714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6877" w14:textId="59E92669" w:rsidR="007149F9" w:rsidRPr="00925803" w:rsidRDefault="00977AE4">
    <w:pPr>
      <w:pStyle w:val="Header"/>
    </w:pPr>
    <w:r>
      <w:t>ECE/TRANS/ADR/CONF/2019/</w:t>
    </w:r>
    <w:r w:rsidR="0044272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8F73" w14:textId="3E5A6012" w:rsidR="007149F9" w:rsidRPr="00925803" w:rsidRDefault="00977AE4" w:rsidP="00925803">
    <w:pPr>
      <w:pStyle w:val="Header"/>
      <w:jc w:val="right"/>
    </w:pPr>
    <w:r>
      <w:t>ECE/TRANS/ADR/CONF/2019/</w:t>
    </w:r>
    <w:r w:rsidR="0044272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4270" w14:textId="7EE9A8DE" w:rsidR="00863BAA" w:rsidRDefault="00863BAA" w:rsidP="00863BAA">
    <w:pPr>
      <w:pStyle w:val="Header"/>
    </w:pPr>
    <w:r>
      <w:t>ECE/TRANS/ADR/CONF/2019/2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03"/>
    <w:rsid w:val="00002431"/>
    <w:rsid w:val="00002A7D"/>
    <w:rsid w:val="000038A8"/>
    <w:rsid w:val="00006790"/>
    <w:rsid w:val="00016FE0"/>
    <w:rsid w:val="00027624"/>
    <w:rsid w:val="00037E1B"/>
    <w:rsid w:val="00050F6B"/>
    <w:rsid w:val="000678CD"/>
    <w:rsid w:val="00072C8C"/>
    <w:rsid w:val="00081CE0"/>
    <w:rsid w:val="00084D30"/>
    <w:rsid w:val="00090320"/>
    <w:rsid w:val="000931C0"/>
    <w:rsid w:val="0009732C"/>
    <w:rsid w:val="00097ADC"/>
    <w:rsid w:val="000A01F9"/>
    <w:rsid w:val="000A2E09"/>
    <w:rsid w:val="000A3958"/>
    <w:rsid w:val="000A6251"/>
    <w:rsid w:val="000B175B"/>
    <w:rsid w:val="000B3A0F"/>
    <w:rsid w:val="000D1519"/>
    <w:rsid w:val="000D73AD"/>
    <w:rsid w:val="000E0415"/>
    <w:rsid w:val="000F1FF8"/>
    <w:rsid w:val="000F6ACB"/>
    <w:rsid w:val="000F7715"/>
    <w:rsid w:val="00156B99"/>
    <w:rsid w:val="00157DFC"/>
    <w:rsid w:val="00166124"/>
    <w:rsid w:val="0017410D"/>
    <w:rsid w:val="00184DDA"/>
    <w:rsid w:val="001900CD"/>
    <w:rsid w:val="00194005"/>
    <w:rsid w:val="0019639C"/>
    <w:rsid w:val="001A0452"/>
    <w:rsid w:val="001A50CA"/>
    <w:rsid w:val="001A6C2A"/>
    <w:rsid w:val="001B4B04"/>
    <w:rsid w:val="001B5875"/>
    <w:rsid w:val="001C3C16"/>
    <w:rsid w:val="001C4B9C"/>
    <w:rsid w:val="001C6663"/>
    <w:rsid w:val="001C7895"/>
    <w:rsid w:val="001D26DF"/>
    <w:rsid w:val="001D3085"/>
    <w:rsid w:val="001D3B90"/>
    <w:rsid w:val="001E76C7"/>
    <w:rsid w:val="001F1386"/>
    <w:rsid w:val="001F1599"/>
    <w:rsid w:val="001F19C4"/>
    <w:rsid w:val="002043F0"/>
    <w:rsid w:val="00211E0B"/>
    <w:rsid w:val="002233D1"/>
    <w:rsid w:val="00223523"/>
    <w:rsid w:val="00232575"/>
    <w:rsid w:val="00247258"/>
    <w:rsid w:val="002519BF"/>
    <w:rsid w:val="0025476F"/>
    <w:rsid w:val="00257CAC"/>
    <w:rsid w:val="00264441"/>
    <w:rsid w:val="0027237A"/>
    <w:rsid w:val="002732D1"/>
    <w:rsid w:val="002974E9"/>
    <w:rsid w:val="002A7F94"/>
    <w:rsid w:val="002B109A"/>
    <w:rsid w:val="002C1F41"/>
    <w:rsid w:val="002C6D45"/>
    <w:rsid w:val="002D0AE4"/>
    <w:rsid w:val="002D276C"/>
    <w:rsid w:val="002D6E53"/>
    <w:rsid w:val="002F046D"/>
    <w:rsid w:val="002F3023"/>
    <w:rsid w:val="002F7E8D"/>
    <w:rsid w:val="00301764"/>
    <w:rsid w:val="0030773B"/>
    <w:rsid w:val="003229D8"/>
    <w:rsid w:val="00324670"/>
    <w:rsid w:val="00334AB5"/>
    <w:rsid w:val="00336C97"/>
    <w:rsid w:val="00337F88"/>
    <w:rsid w:val="00342432"/>
    <w:rsid w:val="0034685B"/>
    <w:rsid w:val="0035223F"/>
    <w:rsid w:val="00352D4B"/>
    <w:rsid w:val="0035638C"/>
    <w:rsid w:val="00360045"/>
    <w:rsid w:val="003875B0"/>
    <w:rsid w:val="003905AE"/>
    <w:rsid w:val="00390A10"/>
    <w:rsid w:val="00391218"/>
    <w:rsid w:val="003A46BB"/>
    <w:rsid w:val="003A4EC7"/>
    <w:rsid w:val="003A7295"/>
    <w:rsid w:val="003B1F60"/>
    <w:rsid w:val="003B635C"/>
    <w:rsid w:val="003C2CC4"/>
    <w:rsid w:val="003D4B23"/>
    <w:rsid w:val="003E278A"/>
    <w:rsid w:val="00413520"/>
    <w:rsid w:val="00424E08"/>
    <w:rsid w:val="004325CB"/>
    <w:rsid w:val="00440A07"/>
    <w:rsid w:val="0044272E"/>
    <w:rsid w:val="00452DC6"/>
    <w:rsid w:val="00462880"/>
    <w:rsid w:val="00476F24"/>
    <w:rsid w:val="0048261F"/>
    <w:rsid w:val="00490D99"/>
    <w:rsid w:val="004B68BB"/>
    <w:rsid w:val="004C0C44"/>
    <w:rsid w:val="004C0F42"/>
    <w:rsid w:val="004C55B0"/>
    <w:rsid w:val="004F6BA0"/>
    <w:rsid w:val="00500E4C"/>
    <w:rsid w:val="00501CC5"/>
    <w:rsid w:val="00503BEA"/>
    <w:rsid w:val="005133A0"/>
    <w:rsid w:val="00513D3C"/>
    <w:rsid w:val="0052401A"/>
    <w:rsid w:val="00533616"/>
    <w:rsid w:val="00535ABA"/>
    <w:rsid w:val="0053768B"/>
    <w:rsid w:val="005420F2"/>
    <w:rsid w:val="0054285C"/>
    <w:rsid w:val="00547FE1"/>
    <w:rsid w:val="0058156C"/>
    <w:rsid w:val="00584173"/>
    <w:rsid w:val="00587667"/>
    <w:rsid w:val="00595520"/>
    <w:rsid w:val="005A44B9"/>
    <w:rsid w:val="005A6005"/>
    <w:rsid w:val="005B1BA0"/>
    <w:rsid w:val="005B32B6"/>
    <w:rsid w:val="005B3DB3"/>
    <w:rsid w:val="005C0F60"/>
    <w:rsid w:val="005C3DC2"/>
    <w:rsid w:val="005D108A"/>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9666C"/>
    <w:rsid w:val="006A3C72"/>
    <w:rsid w:val="006A7392"/>
    <w:rsid w:val="006B03A1"/>
    <w:rsid w:val="006B05FF"/>
    <w:rsid w:val="006B67D9"/>
    <w:rsid w:val="006C1005"/>
    <w:rsid w:val="006C5535"/>
    <w:rsid w:val="006D0589"/>
    <w:rsid w:val="006E564B"/>
    <w:rsid w:val="006E7154"/>
    <w:rsid w:val="007003CD"/>
    <w:rsid w:val="0070701E"/>
    <w:rsid w:val="007149F9"/>
    <w:rsid w:val="0072632A"/>
    <w:rsid w:val="007265AC"/>
    <w:rsid w:val="00730B99"/>
    <w:rsid w:val="00734E9A"/>
    <w:rsid w:val="007358E8"/>
    <w:rsid w:val="00736EC1"/>
    <w:rsid w:val="00736ECE"/>
    <w:rsid w:val="0074533B"/>
    <w:rsid w:val="007643BC"/>
    <w:rsid w:val="00772FE8"/>
    <w:rsid w:val="00780C68"/>
    <w:rsid w:val="007959FE"/>
    <w:rsid w:val="007A0CF1"/>
    <w:rsid w:val="007A478E"/>
    <w:rsid w:val="007B327A"/>
    <w:rsid w:val="007B6BA5"/>
    <w:rsid w:val="007C3390"/>
    <w:rsid w:val="007C42D8"/>
    <w:rsid w:val="007C4F4B"/>
    <w:rsid w:val="007D623B"/>
    <w:rsid w:val="007D7362"/>
    <w:rsid w:val="007E33D7"/>
    <w:rsid w:val="007E60DC"/>
    <w:rsid w:val="007E68BC"/>
    <w:rsid w:val="007F0D27"/>
    <w:rsid w:val="007F5CE2"/>
    <w:rsid w:val="007F6611"/>
    <w:rsid w:val="00800522"/>
    <w:rsid w:val="00810BAC"/>
    <w:rsid w:val="008175E9"/>
    <w:rsid w:val="008242D7"/>
    <w:rsid w:val="0082577B"/>
    <w:rsid w:val="008272DD"/>
    <w:rsid w:val="00863BAA"/>
    <w:rsid w:val="00864662"/>
    <w:rsid w:val="00866893"/>
    <w:rsid w:val="00866F02"/>
    <w:rsid w:val="00867ACC"/>
    <w:rsid w:val="00867D18"/>
    <w:rsid w:val="00871F9A"/>
    <w:rsid w:val="00871FD5"/>
    <w:rsid w:val="0088172E"/>
    <w:rsid w:val="00881EFA"/>
    <w:rsid w:val="008879CB"/>
    <w:rsid w:val="0089468B"/>
    <w:rsid w:val="008979B1"/>
    <w:rsid w:val="008A047D"/>
    <w:rsid w:val="008A6B25"/>
    <w:rsid w:val="008A6C4F"/>
    <w:rsid w:val="008A77AE"/>
    <w:rsid w:val="008B389E"/>
    <w:rsid w:val="008C1F02"/>
    <w:rsid w:val="008C31CF"/>
    <w:rsid w:val="008D021D"/>
    <w:rsid w:val="008D045E"/>
    <w:rsid w:val="008D3F25"/>
    <w:rsid w:val="008D4D82"/>
    <w:rsid w:val="008E0E46"/>
    <w:rsid w:val="008E1E08"/>
    <w:rsid w:val="008E4115"/>
    <w:rsid w:val="008E7116"/>
    <w:rsid w:val="008F143B"/>
    <w:rsid w:val="008F3882"/>
    <w:rsid w:val="008F4B7C"/>
    <w:rsid w:val="00911992"/>
    <w:rsid w:val="00917912"/>
    <w:rsid w:val="00925803"/>
    <w:rsid w:val="00926E47"/>
    <w:rsid w:val="00944F97"/>
    <w:rsid w:val="00947162"/>
    <w:rsid w:val="00950917"/>
    <w:rsid w:val="0095128A"/>
    <w:rsid w:val="009610D0"/>
    <w:rsid w:val="0096375C"/>
    <w:rsid w:val="009662E6"/>
    <w:rsid w:val="0097095E"/>
    <w:rsid w:val="009720A1"/>
    <w:rsid w:val="00977AE4"/>
    <w:rsid w:val="00982B9D"/>
    <w:rsid w:val="0098592B"/>
    <w:rsid w:val="00985FC4"/>
    <w:rsid w:val="00990766"/>
    <w:rsid w:val="00991261"/>
    <w:rsid w:val="009964C4"/>
    <w:rsid w:val="009A7B81"/>
    <w:rsid w:val="009B6D41"/>
    <w:rsid w:val="009D01C0"/>
    <w:rsid w:val="009D6A08"/>
    <w:rsid w:val="009E0A16"/>
    <w:rsid w:val="009E6CB7"/>
    <w:rsid w:val="009E7970"/>
    <w:rsid w:val="009F15C7"/>
    <w:rsid w:val="009F2EAC"/>
    <w:rsid w:val="009F57E3"/>
    <w:rsid w:val="00A10F4F"/>
    <w:rsid w:val="00A11067"/>
    <w:rsid w:val="00A1704A"/>
    <w:rsid w:val="00A425EB"/>
    <w:rsid w:val="00A72F22"/>
    <w:rsid w:val="00A733BC"/>
    <w:rsid w:val="00A748A6"/>
    <w:rsid w:val="00A76A69"/>
    <w:rsid w:val="00A879A4"/>
    <w:rsid w:val="00AA0FF8"/>
    <w:rsid w:val="00AA3A11"/>
    <w:rsid w:val="00AC0AB2"/>
    <w:rsid w:val="00AC0F2C"/>
    <w:rsid w:val="00AC502A"/>
    <w:rsid w:val="00AF05CB"/>
    <w:rsid w:val="00AF20AD"/>
    <w:rsid w:val="00AF48F4"/>
    <w:rsid w:val="00AF58C1"/>
    <w:rsid w:val="00B04A3F"/>
    <w:rsid w:val="00B06643"/>
    <w:rsid w:val="00B15055"/>
    <w:rsid w:val="00B20551"/>
    <w:rsid w:val="00B229A8"/>
    <w:rsid w:val="00B30179"/>
    <w:rsid w:val="00B33FC7"/>
    <w:rsid w:val="00B37B15"/>
    <w:rsid w:val="00B45BCA"/>
    <w:rsid w:val="00B45C02"/>
    <w:rsid w:val="00B70B63"/>
    <w:rsid w:val="00B72A1E"/>
    <w:rsid w:val="00B80751"/>
    <w:rsid w:val="00B81E12"/>
    <w:rsid w:val="00B86619"/>
    <w:rsid w:val="00BA339B"/>
    <w:rsid w:val="00BB1F64"/>
    <w:rsid w:val="00BB23CC"/>
    <w:rsid w:val="00BC1E7E"/>
    <w:rsid w:val="00BC74E9"/>
    <w:rsid w:val="00BE36A9"/>
    <w:rsid w:val="00BE618E"/>
    <w:rsid w:val="00BE7BEC"/>
    <w:rsid w:val="00BF0A5A"/>
    <w:rsid w:val="00BF0E63"/>
    <w:rsid w:val="00BF12A3"/>
    <w:rsid w:val="00BF16D7"/>
    <w:rsid w:val="00BF2373"/>
    <w:rsid w:val="00BF6AD3"/>
    <w:rsid w:val="00C0294F"/>
    <w:rsid w:val="00C044E2"/>
    <w:rsid w:val="00C048CB"/>
    <w:rsid w:val="00C066DF"/>
    <w:rsid w:val="00C066F3"/>
    <w:rsid w:val="00C408B7"/>
    <w:rsid w:val="00C411EB"/>
    <w:rsid w:val="00C463DD"/>
    <w:rsid w:val="00C745C3"/>
    <w:rsid w:val="00C76B82"/>
    <w:rsid w:val="00C908E4"/>
    <w:rsid w:val="00C978F5"/>
    <w:rsid w:val="00CA0176"/>
    <w:rsid w:val="00CA24A4"/>
    <w:rsid w:val="00CB348D"/>
    <w:rsid w:val="00CC5432"/>
    <w:rsid w:val="00CC6C19"/>
    <w:rsid w:val="00CD46F5"/>
    <w:rsid w:val="00CE4A8F"/>
    <w:rsid w:val="00CE5315"/>
    <w:rsid w:val="00CE78F6"/>
    <w:rsid w:val="00CF071D"/>
    <w:rsid w:val="00D0123D"/>
    <w:rsid w:val="00D02103"/>
    <w:rsid w:val="00D15B04"/>
    <w:rsid w:val="00D15DE7"/>
    <w:rsid w:val="00D2031B"/>
    <w:rsid w:val="00D25FE2"/>
    <w:rsid w:val="00D27F89"/>
    <w:rsid w:val="00D354CC"/>
    <w:rsid w:val="00D368BE"/>
    <w:rsid w:val="00D37DA9"/>
    <w:rsid w:val="00D406A7"/>
    <w:rsid w:val="00D40765"/>
    <w:rsid w:val="00D43252"/>
    <w:rsid w:val="00D44D86"/>
    <w:rsid w:val="00D50B7D"/>
    <w:rsid w:val="00D52012"/>
    <w:rsid w:val="00D65093"/>
    <w:rsid w:val="00D66992"/>
    <w:rsid w:val="00D704E5"/>
    <w:rsid w:val="00D72727"/>
    <w:rsid w:val="00D73B70"/>
    <w:rsid w:val="00D769E1"/>
    <w:rsid w:val="00D82111"/>
    <w:rsid w:val="00D844D2"/>
    <w:rsid w:val="00D931DB"/>
    <w:rsid w:val="00D978C6"/>
    <w:rsid w:val="00DA0956"/>
    <w:rsid w:val="00DA357F"/>
    <w:rsid w:val="00DA3E12"/>
    <w:rsid w:val="00DC18AD"/>
    <w:rsid w:val="00DE5509"/>
    <w:rsid w:val="00DF4DF9"/>
    <w:rsid w:val="00DF7CAE"/>
    <w:rsid w:val="00E3211F"/>
    <w:rsid w:val="00E423C0"/>
    <w:rsid w:val="00E62611"/>
    <w:rsid w:val="00E6414C"/>
    <w:rsid w:val="00E7132A"/>
    <w:rsid w:val="00E7260F"/>
    <w:rsid w:val="00E8702D"/>
    <w:rsid w:val="00E905F4"/>
    <w:rsid w:val="00E916A9"/>
    <w:rsid w:val="00E916DE"/>
    <w:rsid w:val="00E92169"/>
    <w:rsid w:val="00E925AD"/>
    <w:rsid w:val="00E96630"/>
    <w:rsid w:val="00EA6E34"/>
    <w:rsid w:val="00ED18DC"/>
    <w:rsid w:val="00ED6201"/>
    <w:rsid w:val="00ED7A2A"/>
    <w:rsid w:val="00EF1D7F"/>
    <w:rsid w:val="00F0137E"/>
    <w:rsid w:val="00F14F83"/>
    <w:rsid w:val="00F15408"/>
    <w:rsid w:val="00F21786"/>
    <w:rsid w:val="00F27459"/>
    <w:rsid w:val="00F3626A"/>
    <w:rsid w:val="00F3742B"/>
    <w:rsid w:val="00F41FDB"/>
    <w:rsid w:val="00F50596"/>
    <w:rsid w:val="00F56D63"/>
    <w:rsid w:val="00F609A9"/>
    <w:rsid w:val="00F80C99"/>
    <w:rsid w:val="00F838E7"/>
    <w:rsid w:val="00F867EC"/>
    <w:rsid w:val="00F91B2B"/>
    <w:rsid w:val="00FA7420"/>
    <w:rsid w:val="00FB782E"/>
    <w:rsid w:val="00FC03CD"/>
    <w:rsid w:val="00FC0646"/>
    <w:rsid w:val="00FC68B7"/>
    <w:rsid w:val="00FE0D1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AEA224"/>
  <w15:docId w15:val="{2E2103B5-47D8-4762-A872-C672E40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ps">
    <w:name w:val="hps"/>
    <w:basedOn w:val="DefaultParagraphFont"/>
    <w:rsid w:val="00002431"/>
  </w:style>
  <w:style w:type="paragraph" w:customStyle="1" w:styleId="Default">
    <w:name w:val="Default"/>
    <w:rsid w:val="00F27459"/>
    <w:pPr>
      <w:autoSpaceDE w:val="0"/>
      <w:autoSpaceDN w:val="0"/>
      <w:adjustRightInd w:val="0"/>
    </w:pPr>
    <w:rPr>
      <w:color w:val="000000"/>
      <w:sz w:val="24"/>
      <w:szCs w:val="24"/>
      <w:lang w:val="en-GB"/>
    </w:rPr>
  </w:style>
  <w:style w:type="character" w:customStyle="1" w:styleId="FootnoteTextChar">
    <w:name w:val="Footnote Text Char"/>
    <w:aliases w:val="5_G Char"/>
    <w:basedOn w:val="DefaultParagraphFont"/>
    <w:link w:val="FootnoteText"/>
    <w:rsid w:val="00E7132A"/>
    <w:rPr>
      <w:sz w:val="18"/>
      <w:lang w:val="en-GB"/>
    </w:rPr>
  </w:style>
  <w:style w:type="character" w:styleId="CommentReference">
    <w:name w:val="annotation reference"/>
    <w:basedOn w:val="DefaultParagraphFont"/>
    <w:semiHidden/>
    <w:unhideWhenUsed/>
    <w:rsid w:val="009F15C7"/>
    <w:rPr>
      <w:sz w:val="16"/>
      <w:szCs w:val="16"/>
    </w:rPr>
  </w:style>
  <w:style w:type="paragraph" w:styleId="CommentText">
    <w:name w:val="annotation text"/>
    <w:basedOn w:val="Normal"/>
    <w:link w:val="CommentTextChar"/>
    <w:semiHidden/>
    <w:unhideWhenUsed/>
    <w:rsid w:val="009F15C7"/>
    <w:pPr>
      <w:spacing w:line="240" w:lineRule="auto"/>
    </w:pPr>
  </w:style>
  <w:style w:type="character" w:customStyle="1" w:styleId="CommentTextChar">
    <w:name w:val="Comment Text Char"/>
    <w:basedOn w:val="DefaultParagraphFont"/>
    <w:link w:val="CommentText"/>
    <w:semiHidden/>
    <w:rsid w:val="009F15C7"/>
    <w:rPr>
      <w:lang w:val="en-GB"/>
    </w:rPr>
  </w:style>
  <w:style w:type="paragraph" w:styleId="CommentSubject">
    <w:name w:val="annotation subject"/>
    <w:basedOn w:val="CommentText"/>
    <w:next w:val="CommentText"/>
    <w:link w:val="CommentSubjectChar"/>
    <w:semiHidden/>
    <w:unhideWhenUsed/>
    <w:rsid w:val="009F15C7"/>
    <w:rPr>
      <w:b/>
      <w:bCs/>
    </w:rPr>
  </w:style>
  <w:style w:type="character" w:customStyle="1" w:styleId="CommentSubjectChar">
    <w:name w:val="Comment Subject Char"/>
    <w:basedOn w:val="CommentTextChar"/>
    <w:link w:val="CommentSubject"/>
    <w:semiHidden/>
    <w:rsid w:val="009F15C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CA0C-74DC-4F8D-9427-DF1A6DED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ECE/TRANS/ADR/CONF/2019/R.1</vt:lpstr>
      <vt:lpstr/>
    </vt:vector>
  </TitlesOfParts>
  <Company>CSD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ECE/TRANS/ADR/CONF/2019/R.1</dc:title>
  <dc:subject/>
  <dc:creator>Rosa Garcia-Couto</dc:creator>
  <cp:keywords/>
  <cp:lastModifiedBy>Rosa Garcia Couto</cp:lastModifiedBy>
  <cp:revision>2</cp:revision>
  <cp:lastPrinted>2019-05-22T06:49:00Z</cp:lastPrinted>
  <dcterms:created xsi:type="dcterms:W3CDTF">2019-05-29T11:32:00Z</dcterms:created>
  <dcterms:modified xsi:type="dcterms:W3CDTF">2019-05-29T11:32:00Z</dcterms:modified>
</cp:coreProperties>
</file>