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1D17A3" w14:paraId="4279BABF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4AC565B" w14:textId="3172B89A" w:rsidR="0099001C" w:rsidRPr="001D17A3" w:rsidRDefault="0099001C" w:rsidP="00230602">
            <w:pPr>
              <w:jc w:val="right"/>
              <w:rPr>
                <w:b/>
                <w:sz w:val="40"/>
                <w:szCs w:val="40"/>
              </w:rPr>
            </w:pPr>
            <w:r w:rsidRPr="001D17A3">
              <w:rPr>
                <w:b/>
                <w:sz w:val="40"/>
                <w:szCs w:val="40"/>
              </w:rPr>
              <w:t>UN/SCEGHS/</w:t>
            </w:r>
            <w:r w:rsidR="007D4EB2" w:rsidRPr="001D17A3">
              <w:rPr>
                <w:b/>
                <w:sz w:val="40"/>
                <w:szCs w:val="40"/>
              </w:rPr>
              <w:t>38</w:t>
            </w:r>
            <w:r w:rsidRPr="001D17A3">
              <w:rPr>
                <w:b/>
                <w:sz w:val="40"/>
                <w:szCs w:val="40"/>
              </w:rPr>
              <w:t>/INF.</w:t>
            </w:r>
            <w:r w:rsidR="001D17A3" w:rsidRPr="001D17A3">
              <w:rPr>
                <w:b/>
                <w:sz w:val="40"/>
                <w:szCs w:val="40"/>
              </w:rPr>
              <w:t>8</w:t>
            </w:r>
          </w:p>
        </w:tc>
      </w:tr>
      <w:tr w:rsidR="007D4EB2" w:rsidRPr="000A2877" w14:paraId="6DDC0E61" w14:textId="77777777" w:rsidTr="00330CA7">
        <w:trPr>
          <w:cantSplit/>
          <w:trHeight w:hRule="exact" w:val="3555"/>
        </w:trPr>
        <w:tc>
          <w:tcPr>
            <w:tcW w:w="9639" w:type="dxa"/>
            <w:tcBorders>
              <w:top w:val="single" w:sz="4" w:space="0" w:color="auto"/>
            </w:tcBorders>
          </w:tcPr>
          <w:p w14:paraId="5667F5D0" w14:textId="77777777" w:rsidR="007D4EB2" w:rsidRPr="004B0F52" w:rsidRDefault="007D4EB2" w:rsidP="007D4EB2">
            <w:pPr>
              <w:spacing w:before="12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0F52">
              <w:rPr>
                <w:rFonts w:asciiTheme="majorBidi" w:hAnsiTheme="majorBidi" w:cstheme="majorBidi"/>
                <w:b/>
                <w:sz w:val="24"/>
                <w:szCs w:val="24"/>
              </w:rPr>
              <w:t>Committee of Experts on the Transport of Dangerous Goods</w:t>
            </w:r>
            <w:r w:rsidRPr="004B0F52">
              <w:rPr>
                <w:rFonts w:asciiTheme="majorBidi" w:hAnsiTheme="majorBidi" w:cstheme="majorBidi"/>
                <w:b/>
                <w:sz w:val="24"/>
                <w:szCs w:val="24"/>
              </w:rPr>
              <w:br/>
              <w:t>and on the Globally Harmonized System of Classification</w:t>
            </w:r>
            <w:r w:rsidRPr="004B0F52">
              <w:rPr>
                <w:rFonts w:asciiTheme="majorBidi" w:hAnsiTheme="majorBidi" w:cstheme="majorBidi"/>
                <w:b/>
                <w:sz w:val="24"/>
                <w:szCs w:val="24"/>
              </w:rPr>
              <w:br/>
              <w:t>and Labelling of Chemicals</w:t>
            </w:r>
          </w:p>
          <w:p w14:paraId="6D4E0281" w14:textId="13574BC8" w:rsidR="007D4EB2" w:rsidRPr="004B0F52" w:rsidRDefault="007D4EB2" w:rsidP="007D4EB2">
            <w:pPr>
              <w:tabs>
                <w:tab w:val="left" w:pos="7230"/>
                <w:tab w:val="right" w:pos="9300"/>
              </w:tabs>
              <w:spacing w:before="120"/>
              <w:rPr>
                <w:rFonts w:asciiTheme="majorBidi" w:hAnsiTheme="majorBidi" w:cstheme="majorBidi"/>
                <w:b/>
                <w:color w:val="000000"/>
              </w:rPr>
            </w:pPr>
            <w:r w:rsidRPr="004B0F52">
              <w:rPr>
                <w:rFonts w:asciiTheme="majorBidi" w:hAnsiTheme="majorBidi" w:cstheme="majorBidi"/>
                <w:b/>
              </w:rPr>
              <w:t>Sub-Committee of Experts on the Globally Harmonized</w:t>
            </w:r>
            <w:r w:rsidRPr="004B0F52">
              <w:rPr>
                <w:rFonts w:asciiTheme="majorBidi" w:hAnsiTheme="majorBidi" w:cstheme="majorBidi"/>
                <w:b/>
              </w:rPr>
              <w:br/>
              <w:t>System of Classification and Labelling of Chemicals</w:t>
            </w:r>
            <w:r w:rsidRPr="004B0F52">
              <w:rPr>
                <w:rFonts w:asciiTheme="majorBidi" w:hAnsiTheme="majorBidi" w:cstheme="majorBidi"/>
                <w:b/>
              </w:rPr>
              <w:tab/>
            </w:r>
            <w:r w:rsidRPr="004B0F52">
              <w:rPr>
                <w:rFonts w:asciiTheme="majorBidi" w:hAnsiTheme="majorBidi" w:cstheme="majorBidi"/>
                <w:b/>
              </w:rPr>
              <w:tab/>
            </w:r>
            <w:r w:rsidR="00D82468" w:rsidRPr="00990399">
              <w:rPr>
                <w:rFonts w:asciiTheme="majorBidi" w:hAnsiTheme="majorBidi" w:cstheme="majorBidi"/>
                <w:b/>
              </w:rPr>
              <w:t>6</w:t>
            </w:r>
            <w:r w:rsidRPr="00990399">
              <w:rPr>
                <w:rFonts w:asciiTheme="majorBidi" w:hAnsiTheme="majorBidi" w:cstheme="majorBidi"/>
                <w:b/>
              </w:rPr>
              <w:t xml:space="preserve"> </w:t>
            </w:r>
            <w:r w:rsidR="00526634" w:rsidRPr="00990399">
              <w:rPr>
                <w:rFonts w:asciiTheme="majorBidi" w:hAnsiTheme="majorBidi" w:cstheme="majorBidi"/>
                <w:b/>
              </w:rPr>
              <w:t xml:space="preserve">November </w:t>
            </w:r>
            <w:r w:rsidRPr="00990399">
              <w:rPr>
                <w:rFonts w:asciiTheme="majorBidi" w:hAnsiTheme="majorBidi" w:cstheme="majorBidi"/>
                <w:b/>
              </w:rPr>
              <w:t>2019</w:t>
            </w:r>
          </w:p>
          <w:p w14:paraId="64C2F5D0" w14:textId="52FA5CF9" w:rsidR="007D4EB2" w:rsidRPr="004B0F52" w:rsidRDefault="007D4EB2" w:rsidP="007D4EB2">
            <w:pPr>
              <w:spacing w:before="120"/>
              <w:rPr>
                <w:rFonts w:asciiTheme="majorBidi" w:hAnsiTheme="majorBidi" w:cstheme="majorBidi"/>
                <w:b/>
              </w:rPr>
            </w:pPr>
            <w:r w:rsidRPr="004B0F52">
              <w:rPr>
                <w:rFonts w:asciiTheme="majorBidi" w:hAnsiTheme="majorBidi" w:cstheme="majorBidi"/>
                <w:b/>
                <w:bCs/>
              </w:rPr>
              <w:t>Thirty-eight</w:t>
            </w:r>
            <w:r w:rsidR="003E4E87">
              <w:rPr>
                <w:rFonts w:asciiTheme="majorBidi" w:hAnsiTheme="majorBidi" w:cstheme="majorBidi"/>
                <w:b/>
                <w:bCs/>
              </w:rPr>
              <w:t>h</w:t>
            </w:r>
            <w:r w:rsidRPr="004B0F52">
              <w:rPr>
                <w:rFonts w:asciiTheme="majorBidi" w:hAnsiTheme="majorBidi" w:cstheme="majorBidi"/>
                <w:b/>
                <w:bCs/>
              </w:rPr>
              <w:t xml:space="preserve"> session</w:t>
            </w:r>
          </w:p>
          <w:p w14:paraId="265D1C95" w14:textId="77777777" w:rsidR="007D4EB2" w:rsidRPr="004B0F52" w:rsidRDefault="007D4EB2" w:rsidP="007D4EB2">
            <w:pPr>
              <w:jc w:val="both"/>
              <w:rPr>
                <w:rFonts w:asciiTheme="majorBidi" w:hAnsiTheme="majorBidi" w:cstheme="majorBidi"/>
              </w:rPr>
            </w:pPr>
            <w:r w:rsidRPr="004B0F52">
              <w:rPr>
                <w:rFonts w:asciiTheme="majorBidi" w:hAnsiTheme="majorBidi" w:cstheme="majorBidi"/>
              </w:rPr>
              <w:t>Geneva, 11-13 December 2019</w:t>
            </w:r>
          </w:p>
          <w:p w14:paraId="6EB46F75" w14:textId="3AEFE9CA" w:rsidR="00774D00" w:rsidRPr="00914005" w:rsidRDefault="00774D00" w:rsidP="00774D00">
            <w:pPr>
              <w:jc w:val="both"/>
              <w:rPr>
                <w:lang w:val="en-US"/>
              </w:rPr>
            </w:pPr>
            <w:r w:rsidRPr="00914005">
              <w:rPr>
                <w:lang w:val="en-US"/>
              </w:rPr>
              <w:t xml:space="preserve">Item </w:t>
            </w:r>
            <w:r w:rsidR="00832D40">
              <w:rPr>
                <w:lang w:val="en-US"/>
              </w:rPr>
              <w:t>7</w:t>
            </w:r>
            <w:r w:rsidRPr="00914005">
              <w:rPr>
                <w:lang w:val="en-US"/>
              </w:rPr>
              <w:t xml:space="preserve"> of the provisional agenda</w:t>
            </w:r>
          </w:p>
          <w:p w14:paraId="5D1E48CF" w14:textId="751100FF" w:rsidR="007D4EB2" w:rsidRPr="000A2877" w:rsidRDefault="00832D40" w:rsidP="00774D00">
            <w:pPr>
              <w:spacing w:before="40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Other busines</w:t>
            </w:r>
            <w:r w:rsidR="00230602">
              <w:rPr>
                <w:b/>
                <w:bCs/>
              </w:rPr>
              <w:t>s</w:t>
            </w:r>
          </w:p>
        </w:tc>
      </w:tr>
    </w:tbl>
    <w:p w14:paraId="6BDFA0FB" w14:textId="403F3654" w:rsidR="00774D00" w:rsidRPr="00B11A28" w:rsidRDefault="007D4EB2" w:rsidP="00230602">
      <w:pPr>
        <w:pStyle w:val="HChG"/>
        <w:spacing w:before="120" w:after="120"/>
      </w:pPr>
      <w:r w:rsidRPr="000A2877">
        <w:rPr>
          <w:rFonts w:asciiTheme="majorBidi" w:eastAsia="MS Mincho" w:hAnsiTheme="majorBidi" w:cstheme="majorBidi"/>
        </w:rPr>
        <w:tab/>
      </w:r>
      <w:r w:rsidRPr="000A2877">
        <w:rPr>
          <w:rFonts w:asciiTheme="majorBidi" w:eastAsia="MS Mincho" w:hAnsiTheme="majorBidi" w:cstheme="majorBidi"/>
        </w:rPr>
        <w:tab/>
      </w:r>
      <w:r w:rsidR="00DF5D71" w:rsidRPr="00B11A28">
        <w:rPr>
          <w:rFonts w:eastAsia="MS Mincho"/>
        </w:rPr>
        <w:t>Definitions and u</w:t>
      </w:r>
      <w:r w:rsidR="00E96625" w:rsidRPr="00B11A28">
        <w:t xml:space="preserve">se of </w:t>
      </w:r>
      <w:r w:rsidR="00C70A09" w:rsidRPr="00B11A28">
        <w:t>acronyms</w:t>
      </w:r>
      <w:r w:rsidR="00DF5D71" w:rsidRPr="00B11A28">
        <w:t xml:space="preserve"> </w:t>
      </w:r>
      <w:r w:rsidR="00CE661B" w:rsidRPr="00B11A28">
        <w:t xml:space="preserve">and abbreviations </w:t>
      </w:r>
      <w:r w:rsidR="00E96625" w:rsidRPr="00B11A28">
        <w:t>in the GHS</w:t>
      </w:r>
    </w:p>
    <w:p w14:paraId="4CBAC714" w14:textId="625FCC04" w:rsidR="003F2DAA" w:rsidRPr="00B11A28" w:rsidRDefault="003F2DAA" w:rsidP="00B11A28">
      <w:pPr>
        <w:pStyle w:val="H23G"/>
      </w:pPr>
      <w:r w:rsidRPr="00B11A28">
        <w:tab/>
      </w:r>
      <w:r w:rsidRPr="00B11A28">
        <w:tab/>
        <w:t>Note by the secretariat</w:t>
      </w:r>
    </w:p>
    <w:p w14:paraId="26AAEB9C" w14:textId="248BBE3E" w:rsidR="00063613" w:rsidRPr="00171AC6" w:rsidRDefault="00247176" w:rsidP="007D7BCA">
      <w:pPr>
        <w:pStyle w:val="SingleTxtG"/>
        <w:spacing w:after="200"/>
      </w:pPr>
      <w:r w:rsidRPr="00171AC6">
        <w:t>1.</w:t>
      </w:r>
      <w:r w:rsidRPr="00171AC6">
        <w:tab/>
      </w:r>
      <w:r w:rsidR="003F2DAA" w:rsidRPr="00171AC6">
        <w:t>Chapter 1.2 list the definitions</w:t>
      </w:r>
      <w:r w:rsidR="001F55C0">
        <w:t>,</w:t>
      </w:r>
      <w:r w:rsidR="003F2DAA" w:rsidRPr="00171AC6">
        <w:t xml:space="preserve"> </w:t>
      </w:r>
      <w:r w:rsidR="00020C5D" w:rsidRPr="00171AC6">
        <w:t>acronyms and abbreviations</w:t>
      </w:r>
      <w:r w:rsidR="003F2DAA" w:rsidRPr="00171AC6">
        <w:t xml:space="preserve"> used </w:t>
      </w:r>
      <w:r w:rsidR="001F55C0">
        <w:t xml:space="preserve">in </w:t>
      </w:r>
      <w:r w:rsidR="003F2DAA" w:rsidRPr="00171AC6">
        <w:t>the GHS.</w:t>
      </w:r>
      <w:r w:rsidR="007D7BCA">
        <w:t xml:space="preserve"> N</w:t>
      </w:r>
      <w:r w:rsidR="001F55C0">
        <w:t>ew</w:t>
      </w:r>
      <w:r w:rsidR="007356B2">
        <w:t> </w:t>
      </w:r>
      <w:r w:rsidR="00063613" w:rsidRPr="00171AC6">
        <w:t>definition</w:t>
      </w:r>
      <w:r w:rsidR="00526634" w:rsidRPr="00171AC6">
        <w:t>s,</w:t>
      </w:r>
      <w:r w:rsidR="00063613" w:rsidRPr="00171AC6">
        <w:t xml:space="preserve"> acronym</w:t>
      </w:r>
      <w:r w:rsidR="00526634" w:rsidRPr="00171AC6">
        <w:t>s</w:t>
      </w:r>
      <w:r w:rsidR="00063613" w:rsidRPr="00171AC6">
        <w:t xml:space="preserve"> or abbreviation</w:t>
      </w:r>
      <w:r w:rsidR="00526634" w:rsidRPr="00171AC6">
        <w:t>s</w:t>
      </w:r>
      <w:r w:rsidR="00063613" w:rsidRPr="00171AC6">
        <w:t xml:space="preserve"> should be systematically </w:t>
      </w:r>
      <w:r w:rsidR="007D7BCA">
        <w:t>added to the list</w:t>
      </w:r>
      <w:r w:rsidR="00063613" w:rsidRPr="00171AC6">
        <w:t xml:space="preserve"> in Chapter</w:t>
      </w:r>
      <w:r w:rsidR="007D7BCA">
        <w:t> </w:t>
      </w:r>
      <w:r w:rsidR="00063613" w:rsidRPr="00171AC6">
        <w:t>1.2.</w:t>
      </w:r>
      <w:r w:rsidR="007D7BCA">
        <w:t xml:space="preserve"> </w:t>
      </w:r>
    </w:p>
    <w:p w14:paraId="71179B0C" w14:textId="1702FAB8" w:rsidR="00C26ED4" w:rsidRDefault="00C26ED4" w:rsidP="00C26ED4">
      <w:pPr>
        <w:pStyle w:val="SingleTxtG"/>
        <w:spacing w:after="200"/>
      </w:pPr>
      <w:r>
        <w:t>2</w:t>
      </w:r>
      <w:r w:rsidR="00ED743E" w:rsidRPr="00171AC6">
        <w:t>.</w:t>
      </w:r>
      <w:r w:rsidR="00ED743E" w:rsidRPr="00171AC6">
        <w:tab/>
      </w:r>
      <w:r w:rsidR="00247176" w:rsidRPr="00171AC6">
        <w:t xml:space="preserve">To ensure a consistent approach when dealing with acronyms, abbreviations and definitions, the secretariat invites the Sub-Committee to </w:t>
      </w:r>
      <w:r w:rsidR="006D2E02" w:rsidRPr="00171AC6">
        <w:t>consider the proposals</w:t>
      </w:r>
      <w:r w:rsidR="00020C5D" w:rsidRPr="00171AC6">
        <w:t xml:space="preserve"> below</w:t>
      </w:r>
      <w:r w:rsidR="006D2E02" w:rsidRPr="00171AC6">
        <w:t xml:space="preserve">. </w:t>
      </w:r>
      <w:r w:rsidR="007D7BCA" w:rsidRPr="00171AC6">
        <w:t>The</w:t>
      </w:r>
      <w:r w:rsidR="00E2613F">
        <w:t>y</w:t>
      </w:r>
      <w:r w:rsidR="007D7BCA" w:rsidRPr="00171AC6">
        <w:t xml:space="preserve"> </w:t>
      </w:r>
      <w:r w:rsidR="00E2613F">
        <w:t>aim at</w:t>
      </w:r>
      <w:r>
        <w:t>:</w:t>
      </w:r>
    </w:p>
    <w:p w14:paraId="4F0A8E63" w14:textId="2E81747D" w:rsidR="00C26ED4" w:rsidRDefault="00C26ED4" w:rsidP="00C26ED4">
      <w:pPr>
        <w:pStyle w:val="SingleTxtG"/>
        <w:spacing w:after="200"/>
        <w:ind w:left="2127" w:hanging="426"/>
      </w:pPr>
      <w:r>
        <w:t>(a)</w:t>
      </w:r>
      <w:r>
        <w:tab/>
      </w:r>
      <w:r w:rsidR="00E2613F">
        <w:t xml:space="preserve">addressing redundant listing of definitions of acronyms and abbreviations </w:t>
      </w:r>
      <w:r>
        <w:t xml:space="preserve">(e.g.: </w:t>
      </w:r>
      <w:bookmarkStart w:id="0" w:name="_GoBack"/>
      <w:bookmarkEnd w:id="0"/>
      <w:r>
        <w:t>those currently in the footnotes in Annex 4 that are already defined in Chapter</w:t>
      </w:r>
      <w:r w:rsidR="00356668">
        <w:t> </w:t>
      </w:r>
      <w:r>
        <w:t xml:space="preserve">1.2, </w:t>
      </w:r>
      <w:r w:rsidRPr="00171AC6">
        <w:t>e.g.: ADR, RID; UN Model Regulations, Montreal Protocol</w:t>
      </w:r>
      <w:r>
        <w:t>);</w:t>
      </w:r>
    </w:p>
    <w:p w14:paraId="7AC05F9A" w14:textId="197BAABF" w:rsidR="007D7BCA" w:rsidRDefault="00C26ED4" w:rsidP="00C26ED4">
      <w:pPr>
        <w:pStyle w:val="SingleTxtG"/>
        <w:spacing w:after="200"/>
        <w:ind w:left="2127" w:hanging="426"/>
      </w:pPr>
      <w:r>
        <w:t>(b)</w:t>
      </w:r>
      <w:r>
        <w:tab/>
      </w:r>
      <w:r w:rsidR="00D82468">
        <w:t>moving</w:t>
      </w:r>
      <w:r>
        <w:t xml:space="preserve"> </w:t>
      </w:r>
      <w:r w:rsidR="00D82468">
        <w:t xml:space="preserve">to Chapter 1.2 </w:t>
      </w:r>
      <w:r>
        <w:t xml:space="preserve">those defined </w:t>
      </w:r>
      <w:r w:rsidR="00D82468">
        <w:t>elsewhere</w:t>
      </w:r>
      <w:r>
        <w:t xml:space="preserve"> </w:t>
      </w:r>
      <w:r w:rsidR="00D82468">
        <w:t xml:space="preserve">in </w:t>
      </w:r>
      <w:r>
        <w:t>the GHS (</w:t>
      </w:r>
      <w:r w:rsidR="007D7BCA" w:rsidRPr="00171AC6">
        <w:t>e.g. ADN, IMDG Code, IBC Code, Stockholm Convention, etc)</w:t>
      </w:r>
      <w:r>
        <w:t>;</w:t>
      </w:r>
    </w:p>
    <w:p w14:paraId="447FF377" w14:textId="22C7A2B7" w:rsidR="002D30C1" w:rsidRDefault="00C26ED4" w:rsidP="00C26ED4">
      <w:pPr>
        <w:pStyle w:val="SingleTxtG"/>
        <w:spacing w:after="200"/>
        <w:ind w:left="2127" w:hanging="426"/>
      </w:pPr>
      <w:r>
        <w:t>(c)</w:t>
      </w:r>
      <w:r>
        <w:tab/>
        <w:t xml:space="preserve">including some definitions currently missing in Chapter 1.2 (e.g.: </w:t>
      </w:r>
      <w:r w:rsidR="00C57032" w:rsidRPr="00171AC6">
        <w:t>“aerosols” (see</w:t>
      </w:r>
      <w:r w:rsidR="00356668">
        <w:t> </w:t>
      </w:r>
      <w:r w:rsidR="00C57032" w:rsidRPr="00171AC6">
        <w:t>2.3.1.1), “chemicals under pressure” (see 2.3.2.1)</w:t>
      </w:r>
      <w:r w:rsidR="00526634" w:rsidRPr="00171AC6">
        <w:t xml:space="preserve"> and </w:t>
      </w:r>
      <w:r w:rsidR="00C57032" w:rsidRPr="00171AC6">
        <w:t>gases under pressure” (see</w:t>
      </w:r>
      <w:r w:rsidR="00356668">
        <w:t> </w:t>
      </w:r>
      <w:r w:rsidR="00C57032" w:rsidRPr="00171AC6">
        <w:t>2.5.1)</w:t>
      </w:r>
      <w:r w:rsidR="00913E5C">
        <w:t>;</w:t>
      </w:r>
      <w:r w:rsidR="00526634" w:rsidRPr="00171AC6">
        <w:t xml:space="preserve"> </w:t>
      </w:r>
    </w:p>
    <w:p w14:paraId="2EBFEA51" w14:textId="51FB8B70" w:rsidR="00C26ED4" w:rsidRPr="00171AC6" w:rsidRDefault="00C26ED4" w:rsidP="00C26ED4">
      <w:pPr>
        <w:pStyle w:val="SingleTxtG"/>
        <w:spacing w:after="200"/>
        <w:ind w:left="2127" w:hanging="426"/>
      </w:pPr>
      <w:r>
        <w:t>(d)</w:t>
      </w:r>
      <w:r>
        <w:tab/>
        <w:t xml:space="preserve">deleting </w:t>
      </w:r>
      <w:r w:rsidR="00D82468">
        <w:t xml:space="preserve">unnecessary or redundant </w:t>
      </w:r>
      <w:r>
        <w:t xml:space="preserve">acronyms </w:t>
      </w:r>
      <w:r w:rsidR="00D82468">
        <w:t>or abbreviations.</w:t>
      </w:r>
    </w:p>
    <w:p w14:paraId="7658C716" w14:textId="47551409" w:rsidR="006D2E02" w:rsidRDefault="00247176" w:rsidP="00DF5D71">
      <w:pPr>
        <w:pStyle w:val="H23G"/>
        <w:spacing w:after="200"/>
      </w:pPr>
      <w:r>
        <w:tab/>
      </w:r>
      <w:r>
        <w:tab/>
        <w:t>Proposal</w:t>
      </w:r>
      <w:r w:rsidR="006D2E02">
        <w:t>s</w:t>
      </w:r>
    </w:p>
    <w:p w14:paraId="0FE53B2D" w14:textId="58106481" w:rsidR="00247176" w:rsidRDefault="001D17A3" w:rsidP="00DF5D71">
      <w:pPr>
        <w:pStyle w:val="SingleTxtG"/>
        <w:spacing w:after="200"/>
      </w:pPr>
      <w:r>
        <w:t>3</w:t>
      </w:r>
      <w:r w:rsidR="00ED743E">
        <w:t>.</w:t>
      </w:r>
      <w:r w:rsidR="00ED743E">
        <w:tab/>
      </w:r>
      <w:r w:rsidR="001F6704">
        <w:t xml:space="preserve">Move the definitions currently in footnotes 4 to 18 in Annex 4 to Chapter 1.2 in </w:t>
      </w:r>
      <w:r w:rsidR="00ED743E">
        <w:t>the alphabetical order:</w:t>
      </w:r>
    </w:p>
    <w:p w14:paraId="58CD0C48" w14:textId="3741C887" w:rsidR="002D30C1" w:rsidRDefault="002D30C1" w:rsidP="00DF5D71">
      <w:pPr>
        <w:pStyle w:val="SingleTxtG"/>
        <w:spacing w:after="200"/>
        <w:ind w:left="1701"/>
      </w:pPr>
      <w:r>
        <w:rPr>
          <w:b/>
          <w:bCs/>
        </w:rPr>
        <w:tab/>
        <w:t>“</w:t>
      </w:r>
      <w:r w:rsidRPr="00171AC6">
        <w:rPr>
          <w:b/>
          <w:bCs/>
          <w:i/>
          <w:iCs/>
        </w:rPr>
        <w:t>ADN</w:t>
      </w:r>
      <w:r w:rsidRPr="002D30C1">
        <w:t xml:space="preserve"> means the European Agreement concerning the International Transport of Dangerous Goods by Inland Waterways, as amended.</w:t>
      </w:r>
    </w:p>
    <w:p w14:paraId="07E6B965" w14:textId="77777777" w:rsidR="003B4263" w:rsidRPr="006D0FF3" w:rsidRDefault="003B4263" w:rsidP="00DF5D71">
      <w:pPr>
        <w:pStyle w:val="SingleTxtG"/>
        <w:spacing w:after="200"/>
        <w:ind w:left="1701"/>
      </w:pPr>
      <w:r w:rsidRPr="00171AC6">
        <w:rPr>
          <w:b/>
          <w:i/>
          <w:iCs/>
        </w:rPr>
        <w:t>EGC Code</w:t>
      </w:r>
      <w:r w:rsidRPr="006D0FF3">
        <w:t xml:space="preserve"> means the Code for Existing Ships Carrying Liquefied Gases in Bulk.</w:t>
      </w:r>
    </w:p>
    <w:p w14:paraId="3962FB6F" w14:textId="77777777" w:rsidR="003B4263" w:rsidRPr="006D0FF3" w:rsidRDefault="003B4263" w:rsidP="00DF5D71">
      <w:pPr>
        <w:pStyle w:val="SingleTxtG"/>
        <w:spacing w:after="200"/>
        <w:ind w:left="1701"/>
      </w:pPr>
      <w:r w:rsidRPr="00171AC6">
        <w:rPr>
          <w:b/>
          <w:i/>
          <w:iCs/>
        </w:rPr>
        <w:t>GC Code</w:t>
      </w:r>
      <w:r w:rsidRPr="00171AC6">
        <w:rPr>
          <w:i/>
          <w:iCs/>
        </w:rPr>
        <w:t xml:space="preserve"> </w:t>
      </w:r>
      <w:r w:rsidRPr="00030723">
        <w:t>means the Code for the Construction and Equipment of Ships Carrying Liquefied Gases in Bulk (Gas Carrier Code).</w:t>
      </w:r>
    </w:p>
    <w:p w14:paraId="4D03FA7A" w14:textId="48460B78" w:rsidR="002D30C1" w:rsidRDefault="002D30C1" w:rsidP="00DF5D71">
      <w:pPr>
        <w:pStyle w:val="SingleTxtG"/>
        <w:spacing w:after="200"/>
        <w:ind w:left="1701"/>
      </w:pPr>
      <w:r w:rsidRPr="00171AC6">
        <w:rPr>
          <w:b/>
          <w:bCs/>
          <w:i/>
          <w:iCs/>
        </w:rPr>
        <w:t>IBC Code</w:t>
      </w:r>
      <w:r>
        <w:t xml:space="preserve"> means the International Code for the Construction and Equipment of Ships carrying Dangerous Chemicals in Bulk (International Bulk Chemical Code).</w:t>
      </w:r>
    </w:p>
    <w:p w14:paraId="4232C54C" w14:textId="3A293399" w:rsidR="005C4181" w:rsidRDefault="005C4181" w:rsidP="00DF5D71">
      <w:pPr>
        <w:pStyle w:val="SingleTxtG"/>
        <w:spacing w:after="200"/>
        <w:ind w:left="1701"/>
      </w:pPr>
      <w:r w:rsidRPr="00171AC6">
        <w:rPr>
          <w:b/>
          <w:i/>
          <w:iCs/>
        </w:rPr>
        <w:lastRenderedPageBreak/>
        <w:t>IGC Code</w:t>
      </w:r>
      <w:r w:rsidRPr="00030723">
        <w:t xml:space="preserve"> means the International Code for the Construction and Equipment of Ships Carrying Liquefied Gases in Bulk, including applicable amendments to which the vessel has been certified.</w:t>
      </w:r>
    </w:p>
    <w:p w14:paraId="669E0E50" w14:textId="77777777" w:rsidR="003B4263" w:rsidRPr="002D30C1" w:rsidRDefault="003B4263" w:rsidP="00DF5D71">
      <w:pPr>
        <w:pStyle w:val="SingleTxtG"/>
        <w:spacing w:after="200"/>
        <w:ind w:left="1701"/>
      </w:pPr>
      <w:r w:rsidRPr="00171AC6">
        <w:rPr>
          <w:b/>
          <w:bCs/>
          <w:i/>
          <w:iCs/>
        </w:rPr>
        <w:t>IMDG Code</w:t>
      </w:r>
      <w:r w:rsidRPr="002D30C1">
        <w:t xml:space="preserve"> means the International Maritime Dangerous Goods code, as amended.</w:t>
      </w:r>
    </w:p>
    <w:p w14:paraId="0B1C0A9A" w14:textId="77FA7034" w:rsidR="002D30C1" w:rsidRDefault="002D30C1" w:rsidP="00DF5D71">
      <w:pPr>
        <w:pStyle w:val="SingleTxtG"/>
        <w:spacing w:after="200"/>
        <w:ind w:left="1701"/>
      </w:pPr>
      <w:r w:rsidRPr="00171AC6">
        <w:rPr>
          <w:b/>
          <w:i/>
          <w:iCs/>
        </w:rPr>
        <w:t>IMSBC Code</w:t>
      </w:r>
      <w:r w:rsidRPr="00030723">
        <w:t xml:space="preserve"> means</w:t>
      </w:r>
      <w:r w:rsidRPr="00030723">
        <w:rPr>
          <w:vertAlign w:val="superscript"/>
        </w:rPr>
        <w:t xml:space="preserve"> </w:t>
      </w:r>
      <w:r w:rsidRPr="006D0FF3">
        <w:t>the International Maritime Solid Bulk Cargoes Code, as amended.</w:t>
      </w:r>
    </w:p>
    <w:p w14:paraId="2EBC08C8" w14:textId="4F141AF0" w:rsidR="000D2E23" w:rsidRDefault="000D2E23" w:rsidP="00DF5D71">
      <w:pPr>
        <w:pStyle w:val="SingleTxtG"/>
        <w:spacing w:after="200"/>
        <w:ind w:left="1701"/>
      </w:pPr>
      <w:r w:rsidRPr="00171AC6">
        <w:rPr>
          <w:b/>
          <w:bCs/>
          <w:i/>
          <w:iCs/>
        </w:rPr>
        <w:t>Rotterdam Convention</w:t>
      </w:r>
      <w:r>
        <w:t xml:space="preserve"> means the Rotterdam Convention on the Prior Informed Consent Procedure for Certain Hazardous Chemicals and Pesticides in International Trade.”.</w:t>
      </w:r>
    </w:p>
    <w:p w14:paraId="1200503B" w14:textId="77777777" w:rsidR="000D2E23" w:rsidRDefault="000D2E23" w:rsidP="00DF5D71">
      <w:pPr>
        <w:pStyle w:val="SingleTxtG"/>
        <w:spacing w:after="200"/>
        <w:ind w:left="1701"/>
      </w:pPr>
      <w:r>
        <w:tab/>
      </w:r>
      <w:r w:rsidRPr="00171AC6">
        <w:rPr>
          <w:b/>
          <w:i/>
          <w:iCs/>
        </w:rPr>
        <w:t xml:space="preserve">SOLAS </w:t>
      </w:r>
      <w:r w:rsidRPr="00030723">
        <w:t>means the International Convention for the Safety of Life at Sea, 1974, as amended</w:t>
      </w:r>
      <w:r>
        <w:t>.</w:t>
      </w:r>
    </w:p>
    <w:p w14:paraId="1488ADDC" w14:textId="03E10C3C" w:rsidR="002D30C1" w:rsidRDefault="002D30C1" w:rsidP="00DF5D71">
      <w:pPr>
        <w:pStyle w:val="SingleTxtG"/>
        <w:spacing w:after="200"/>
        <w:ind w:left="1701"/>
      </w:pPr>
      <w:r w:rsidRPr="00171AC6">
        <w:rPr>
          <w:b/>
          <w:bCs/>
          <w:i/>
          <w:iCs/>
        </w:rPr>
        <w:tab/>
        <w:t>Stockholm Convention</w:t>
      </w:r>
      <w:r w:rsidRPr="00171AC6">
        <w:rPr>
          <w:i/>
          <w:iCs/>
        </w:rPr>
        <w:t xml:space="preserve"> </w:t>
      </w:r>
      <w:r>
        <w:t>means the Stockholm Convention on Persistent Organic Pollutants.</w:t>
      </w:r>
    </w:p>
    <w:p w14:paraId="4F705174" w14:textId="3B1137A8" w:rsidR="006D2E02" w:rsidRDefault="00CE018F" w:rsidP="00DF5D71">
      <w:pPr>
        <w:pStyle w:val="SingleTxtG"/>
        <w:spacing w:after="200"/>
        <w:ind w:left="1701"/>
      </w:pPr>
      <w:r w:rsidRPr="00526634">
        <w:rPr>
          <w:i/>
          <w:iCs/>
          <w:u w:val="single"/>
        </w:rPr>
        <w:t>Consequential amendment</w:t>
      </w:r>
      <w:r>
        <w:t>:</w:t>
      </w:r>
      <w:r>
        <w:tab/>
        <w:t>Delete footnotes 4 to 18 in Annex 4.</w:t>
      </w:r>
    </w:p>
    <w:p w14:paraId="09E810BF" w14:textId="1872F8A6" w:rsidR="00ED743E" w:rsidRDefault="001D17A3" w:rsidP="00DF5D71">
      <w:pPr>
        <w:pStyle w:val="SingleTxtG"/>
        <w:spacing w:after="200"/>
      </w:pPr>
      <w:r>
        <w:t>4</w:t>
      </w:r>
      <w:r w:rsidR="002D30C1">
        <w:t>.</w:t>
      </w:r>
      <w:r w:rsidR="002D30C1">
        <w:tab/>
        <w:t xml:space="preserve">Amend the definition for MARPOL in Chapter 1.2 to read as follows: </w:t>
      </w:r>
    </w:p>
    <w:p w14:paraId="0AC9AE08" w14:textId="7219B417" w:rsidR="002D30C1" w:rsidRDefault="002D30C1" w:rsidP="00DF5D71">
      <w:pPr>
        <w:pStyle w:val="SingleTxtG"/>
        <w:spacing w:after="200"/>
        <w:ind w:left="1701"/>
      </w:pPr>
      <w:r w:rsidRPr="002D30C1">
        <w:t>“</w:t>
      </w:r>
      <w:r w:rsidRPr="002D30C1">
        <w:rPr>
          <w:b/>
          <w:bCs/>
        </w:rPr>
        <w:t>MARPOL</w:t>
      </w:r>
      <w:r w:rsidRPr="002D30C1">
        <w:t xml:space="preserve"> means the International Convention for the Prevention of Pollution from Ships, 1973, as modified by the Protocol of 1978 relating thereto, as amended.</w:t>
      </w:r>
      <w:r w:rsidR="006D2E02">
        <w:t>”</w:t>
      </w:r>
    </w:p>
    <w:p w14:paraId="5F1ED97A" w14:textId="4C02339B" w:rsidR="006D2E02" w:rsidRDefault="006D2E02" w:rsidP="00DF5D71">
      <w:pPr>
        <w:pStyle w:val="SingleTxtG"/>
        <w:spacing w:after="200"/>
        <w:ind w:left="1701"/>
        <w:rPr>
          <w:i/>
          <w:iCs/>
          <w:u w:val="single"/>
        </w:rPr>
      </w:pPr>
      <w:r w:rsidRPr="006D2E02">
        <w:rPr>
          <w:i/>
          <w:iCs/>
          <w:u w:val="single"/>
        </w:rPr>
        <w:t>Justification</w:t>
      </w:r>
      <w:r>
        <w:rPr>
          <w:i/>
          <w:iCs/>
          <w:u w:val="single"/>
        </w:rPr>
        <w:t>:</w:t>
      </w:r>
      <w:r w:rsidRPr="006D2E02">
        <w:rPr>
          <w:i/>
          <w:iCs/>
        </w:rPr>
        <w:t xml:space="preserve"> alignment with the definition currently in Annex 4</w:t>
      </w:r>
      <w:r w:rsidR="00526634">
        <w:rPr>
          <w:i/>
          <w:iCs/>
          <w:u w:val="single"/>
        </w:rPr>
        <w:t>.</w:t>
      </w:r>
    </w:p>
    <w:p w14:paraId="0B82ADCF" w14:textId="2AE27C95" w:rsidR="00526634" w:rsidRDefault="001D17A3" w:rsidP="00DF5D71">
      <w:pPr>
        <w:pStyle w:val="SingleTxtG"/>
        <w:spacing w:after="200"/>
      </w:pPr>
      <w:r>
        <w:t>5</w:t>
      </w:r>
      <w:r w:rsidR="00526634" w:rsidRPr="00526634">
        <w:t>.</w:t>
      </w:r>
      <w:r w:rsidR="00526634" w:rsidRPr="00526634">
        <w:tab/>
      </w:r>
      <w:r w:rsidR="00526634">
        <w:t>Insert the following missing definitions in Chapter 1.2</w:t>
      </w:r>
      <w:r w:rsidR="001F6704">
        <w:t>:</w:t>
      </w:r>
    </w:p>
    <w:p w14:paraId="4296296C" w14:textId="76DBB42F" w:rsidR="001F6704" w:rsidRDefault="001F6704" w:rsidP="00DF5D71">
      <w:pPr>
        <w:pStyle w:val="SingleTxtG"/>
        <w:spacing w:after="200"/>
        <w:ind w:left="1701"/>
      </w:pPr>
      <w:r>
        <w:tab/>
        <w:t>“</w:t>
      </w:r>
      <w:r w:rsidRPr="001F6704">
        <w:rPr>
          <w:b/>
          <w:bCs/>
          <w:i/>
          <w:iCs/>
        </w:rPr>
        <w:t>Aerosols (aerosol dispensers)</w:t>
      </w:r>
      <w:r>
        <w:t xml:space="preserve"> mean </w:t>
      </w:r>
      <w:r w:rsidRPr="001F6704">
        <w:t>any non-refillable receptacles made of metal, glass or plastics and containing a gas compressed, liquefied or dissolved under pressure, with or without a liquid, paste or powder, and fitted with a release device allowing the contents to be ejected as solid or liquid particles in suspension in a gas, as a foam, paste or powder or in a liquid state or in a gaseous state.</w:t>
      </w:r>
      <w:r>
        <w:t>”</w:t>
      </w:r>
    </w:p>
    <w:p w14:paraId="70A62C63" w14:textId="19CA0E15" w:rsidR="001F6704" w:rsidRPr="00354116" w:rsidRDefault="001F6704" w:rsidP="00DF5D71">
      <w:pPr>
        <w:tabs>
          <w:tab w:val="left" w:pos="1418"/>
        </w:tabs>
        <w:spacing w:after="200"/>
        <w:ind w:left="1701" w:right="1133"/>
        <w:jc w:val="both"/>
      </w:pPr>
      <w:r>
        <w:tab/>
      </w:r>
      <w:r w:rsidRPr="001F6704">
        <w:rPr>
          <w:b/>
          <w:bCs/>
          <w:i/>
          <w:iCs/>
        </w:rPr>
        <w:t>Chemicals under pressure</w:t>
      </w:r>
      <w:r w:rsidRPr="00354116">
        <w:t xml:space="preserve"> </w:t>
      </w:r>
      <w:r>
        <w:t>mean</w:t>
      </w:r>
      <w:r w:rsidRPr="00354116">
        <w:t xml:space="preserve"> liquids or solids (e.g., pastes or powders), pressurized with a gas at a pressure of 200 kPa (gauge) or more at 20 °C in pressure receptacles other than aerosol dispensers and which are not classified as gases under pressure.</w:t>
      </w:r>
    </w:p>
    <w:p w14:paraId="67A85E42" w14:textId="3E40D40D" w:rsidR="001F6704" w:rsidRDefault="001F6704" w:rsidP="00DF5D71">
      <w:pPr>
        <w:tabs>
          <w:tab w:val="left" w:pos="1418"/>
        </w:tabs>
        <w:spacing w:after="200"/>
        <w:ind w:left="1701" w:right="1133"/>
        <w:jc w:val="both"/>
      </w:pPr>
      <w:r w:rsidRPr="001F6704">
        <w:rPr>
          <w:b/>
          <w:bCs/>
          <w:i/>
          <w:iCs/>
        </w:rPr>
        <w:tab/>
        <w:t>Gases under pressure</w:t>
      </w:r>
      <w:r>
        <w:t>, mean</w:t>
      </w:r>
      <w:r w:rsidRPr="001F6704">
        <w:t xml:space="preserve"> </w:t>
      </w:r>
      <w:r w:rsidRPr="001D6814">
        <w:t>gases which are contained in a receptacle at a pressure of 200 kPa (gauge) or more at 20 °C, or which are liquefied or liquefied and refrigerated.</w:t>
      </w:r>
      <w:r>
        <w:t xml:space="preserve"> </w:t>
      </w:r>
      <w:r w:rsidRPr="001D6814">
        <w:t>They comprise compressed gases, liquefied gases, dissolved gases and refrigerated liquefied gases.</w:t>
      </w:r>
      <w:r>
        <w:t>”.</w:t>
      </w:r>
    </w:p>
    <w:p w14:paraId="098009A5" w14:textId="13FE3CAB" w:rsidR="001F6704" w:rsidRDefault="001D17A3" w:rsidP="00DF5D71">
      <w:pPr>
        <w:pStyle w:val="SingleTxtG"/>
        <w:spacing w:after="200"/>
      </w:pPr>
      <w:r>
        <w:t>6</w:t>
      </w:r>
      <w:r w:rsidR="001F6704">
        <w:t>.</w:t>
      </w:r>
      <w:r w:rsidR="001F6704">
        <w:tab/>
        <w:t xml:space="preserve">Insert a definition for “VDI” in Chapter 1.2 to read as follows: </w:t>
      </w:r>
    </w:p>
    <w:p w14:paraId="6EBC5E1E" w14:textId="77777777" w:rsidR="00171AC6" w:rsidRDefault="001F6704" w:rsidP="00DF5D71">
      <w:pPr>
        <w:tabs>
          <w:tab w:val="left" w:pos="1418"/>
        </w:tabs>
        <w:spacing w:after="200"/>
        <w:ind w:left="1701" w:right="1134"/>
        <w:jc w:val="both"/>
      </w:pPr>
      <w:r>
        <w:t>“</w:t>
      </w:r>
      <w:r w:rsidRPr="001F6704">
        <w:rPr>
          <w:b/>
          <w:bCs/>
          <w:i/>
          <w:iCs/>
        </w:rPr>
        <w:t>VDI</w:t>
      </w:r>
      <w:r>
        <w:t xml:space="preserve"> means the “Association of German Engineers”</w:t>
      </w:r>
    </w:p>
    <w:p w14:paraId="03A2EEBD" w14:textId="691F7C66" w:rsidR="001F6704" w:rsidRDefault="001F6704" w:rsidP="00DF5D71">
      <w:pPr>
        <w:tabs>
          <w:tab w:val="left" w:pos="1418"/>
        </w:tabs>
        <w:spacing w:after="200"/>
        <w:ind w:left="1701" w:right="1133"/>
        <w:jc w:val="both"/>
        <w:rPr>
          <w:bCs/>
        </w:rPr>
      </w:pPr>
      <w:r w:rsidRPr="00171AC6">
        <w:rPr>
          <w:i/>
          <w:iCs/>
          <w:u w:val="single"/>
        </w:rPr>
        <w:t>Consequential amendment</w:t>
      </w:r>
      <w:r>
        <w:t>: Delete note</w:t>
      </w:r>
      <w:r w:rsidR="00171AC6">
        <w:t xml:space="preserve"> and footnote</w:t>
      </w:r>
      <w:r>
        <w:t xml:space="preserve"> “*” </w:t>
      </w:r>
      <w:r w:rsidR="00171AC6">
        <w:t>in</w:t>
      </w:r>
      <w:r>
        <w:t xml:space="preserve"> table </w:t>
      </w:r>
      <w:r w:rsidRPr="00171AC6">
        <w:rPr>
          <w:bCs/>
          <w:lang w:eastAsia="de-DE"/>
        </w:rPr>
        <w:t>A4.3.9.3</w:t>
      </w:r>
      <w:r w:rsidR="00171AC6" w:rsidRPr="00171AC6">
        <w:rPr>
          <w:bCs/>
          <w:lang w:eastAsia="de-DE"/>
        </w:rPr>
        <w:t xml:space="preserve"> and in paragraph </w:t>
      </w:r>
      <w:r w:rsidR="00171AC6" w:rsidRPr="00171AC6">
        <w:rPr>
          <w:bCs/>
        </w:rPr>
        <w:t>A11.2.8.1</w:t>
      </w:r>
      <w:r w:rsidR="00171AC6">
        <w:rPr>
          <w:bCs/>
        </w:rPr>
        <w:t>.</w:t>
      </w:r>
    </w:p>
    <w:p w14:paraId="7B6541D5" w14:textId="77777777" w:rsidR="00230602" w:rsidRDefault="00230602">
      <w:pPr>
        <w:suppressAutoHyphens w:val="0"/>
        <w:spacing w:line="240" w:lineRule="auto"/>
      </w:pPr>
      <w:r>
        <w:br w:type="page"/>
      </w:r>
    </w:p>
    <w:p w14:paraId="70361327" w14:textId="1515AB9C" w:rsidR="00F630A3" w:rsidRDefault="001D17A3" w:rsidP="00DF5D71">
      <w:pPr>
        <w:pStyle w:val="SingleTxtG"/>
        <w:spacing w:after="200"/>
      </w:pPr>
      <w:r>
        <w:lastRenderedPageBreak/>
        <w:t>7</w:t>
      </w:r>
      <w:r w:rsidR="00F630A3">
        <w:t>.</w:t>
      </w:r>
      <w:r w:rsidR="00F630A3">
        <w:tab/>
        <w:t>“</w:t>
      </w:r>
      <w:r w:rsidR="00F630A3" w:rsidRPr="00CE018F">
        <w:rPr>
          <w:b/>
          <w:bCs/>
        </w:rPr>
        <w:t>CA</w:t>
      </w:r>
      <w:r w:rsidR="00F630A3">
        <w:t>”</w:t>
      </w:r>
      <w:r w:rsidR="00F630A3">
        <w:tab/>
      </w:r>
      <w:r w:rsidR="00F630A3">
        <w:tab/>
        <w:t xml:space="preserve">Delete the definition of this acronym in Chapter 1.2. </w:t>
      </w:r>
    </w:p>
    <w:p w14:paraId="6589BBC6" w14:textId="77777777" w:rsidR="00F630A3" w:rsidRDefault="00F630A3" w:rsidP="00DF5D71">
      <w:pPr>
        <w:pStyle w:val="SingleTxtG"/>
        <w:tabs>
          <w:tab w:val="left" w:pos="3969"/>
        </w:tabs>
        <w:spacing w:after="200"/>
        <w:ind w:left="1701"/>
      </w:pPr>
      <w:r w:rsidRPr="00F630A3">
        <w:rPr>
          <w:i/>
          <w:iCs/>
          <w:u w:val="single"/>
        </w:rPr>
        <w:t>Consequential amendment</w:t>
      </w:r>
      <w:r w:rsidRPr="00F630A3">
        <w:rPr>
          <w:u w:val="single"/>
        </w:rPr>
        <w:t>:</w:t>
      </w:r>
      <w:r>
        <w:tab/>
      </w:r>
      <w:r>
        <w:tab/>
        <w:t>In Annex 4, paragraph A4.2.1 replace “CA” by “competent authority”.</w:t>
      </w:r>
    </w:p>
    <w:p w14:paraId="6FF57777" w14:textId="67E84BD2" w:rsidR="00F630A3" w:rsidRPr="006D2E02" w:rsidRDefault="00F630A3" w:rsidP="00DF5D71">
      <w:pPr>
        <w:pStyle w:val="SingleTxtG"/>
        <w:tabs>
          <w:tab w:val="left" w:pos="3969"/>
        </w:tabs>
        <w:spacing w:after="200"/>
        <w:ind w:left="1701"/>
        <w:rPr>
          <w:i/>
          <w:iCs/>
        </w:rPr>
      </w:pPr>
      <w:r w:rsidRPr="006D2E02">
        <w:rPr>
          <w:i/>
          <w:iCs/>
          <w:u w:val="single"/>
        </w:rPr>
        <w:t>Justification</w:t>
      </w:r>
      <w:r>
        <w:rPr>
          <w:i/>
          <w:iCs/>
          <w:u w:val="single"/>
        </w:rPr>
        <w:t>:</w:t>
      </w:r>
      <w:r w:rsidRPr="006D2E02">
        <w:rPr>
          <w:i/>
          <w:iCs/>
        </w:rPr>
        <w:t xml:space="preserve"> CA is only used once in the GHS (Annex 4, paragraph A4.2.1)</w:t>
      </w:r>
      <w:r>
        <w:rPr>
          <w:i/>
          <w:iCs/>
        </w:rPr>
        <w:t xml:space="preserve"> and a definition for “competent authority” is given in Chapter 1.2.</w:t>
      </w:r>
    </w:p>
    <w:p w14:paraId="77F43F87" w14:textId="255DB435" w:rsidR="00F630A3" w:rsidRDefault="001D17A3" w:rsidP="00DF5D71">
      <w:pPr>
        <w:pStyle w:val="SingleTxtG"/>
        <w:spacing w:after="200"/>
        <w:rPr>
          <w:bCs/>
        </w:rPr>
      </w:pPr>
      <w:r>
        <w:rPr>
          <w:bCs/>
        </w:rPr>
        <w:t>8</w:t>
      </w:r>
      <w:r w:rsidR="00F630A3">
        <w:rPr>
          <w:bCs/>
        </w:rPr>
        <w:t>.</w:t>
      </w:r>
      <w:r w:rsidR="00F630A3">
        <w:rPr>
          <w:bCs/>
        </w:rPr>
        <w:tab/>
        <w:t>“</w:t>
      </w:r>
      <w:r w:rsidR="00F630A3" w:rsidRPr="00F630A3">
        <w:rPr>
          <w:b/>
        </w:rPr>
        <w:t>CBI</w:t>
      </w:r>
      <w:r w:rsidR="00F630A3">
        <w:rPr>
          <w:bCs/>
        </w:rPr>
        <w:t>”</w:t>
      </w:r>
      <w:r w:rsidR="00F630A3">
        <w:rPr>
          <w:bCs/>
        </w:rPr>
        <w:tab/>
      </w:r>
      <w:r w:rsidR="00F630A3">
        <w:rPr>
          <w:bCs/>
        </w:rPr>
        <w:tab/>
        <w:t>Delete the definition of this acronym in Chapter 1.2.</w:t>
      </w:r>
    </w:p>
    <w:p w14:paraId="0E932735" w14:textId="7825EF6D" w:rsidR="00F630A3" w:rsidRDefault="00F630A3" w:rsidP="00F630A3">
      <w:pPr>
        <w:pStyle w:val="SingleTxtG"/>
        <w:tabs>
          <w:tab w:val="left" w:pos="3969"/>
        </w:tabs>
        <w:ind w:left="1701"/>
      </w:pPr>
      <w:r w:rsidRPr="00F630A3">
        <w:rPr>
          <w:i/>
          <w:iCs/>
          <w:u w:val="single"/>
        </w:rPr>
        <w:t>Consequential amendment</w:t>
      </w:r>
      <w:r w:rsidRPr="00F630A3">
        <w:rPr>
          <w:u w:val="single"/>
        </w:rPr>
        <w:t>:</w:t>
      </w:r>
      <w:r>
        <w:tab/>
        <w:t>Replace “CBI” with “Confidential business information” in 1.4.8.1, 1.4.8.3 (a), (b), (c) and (f); 1.4.10.5.2 (d) (iv), Table 1.5.2 note under item</w:t>
      </w:r>
      <w:r w:rsidR="007F1B67">
        <w:t> </w:t>
      </w:r>
      <w:r>
        <w:t xml:space="preserve">3; </w:t>
      </w:r>
      <w:r w:rsidR="005C0422">
        <w:t>and note under A4.3.3.</w:t>
      </w:r>
    </w:p>
    <w:p w14:paraId="5EA5BA79" w14:textId="4E787B28" w:rsidR="007E7E7E" w:rsidRPr="006D2E02" w:rsidRDefault="007E7E7E" w:rsidP="007E7E7E">
      <w:pPr>
        <w:pStyle w:val="SingleTxtG"/>
        <w:tabs>
          <w:tab w:val="left" w:pos="3969"/>
        </w:tabs>
        <w:spacing w:after="200"/>
        <w:ind w:left="1701"/>
        <w:rPr>
          <w:i/>
          <w:iCs/>
        </w:rPr>
      </w:pPr>
      <w:r w:rsidRPr="006D2E02">
        <w:rPr>
          <w:i/>
          <w:iCs/>
          <w:u w:val="single"/>
        </w:rPr>
        <w:t>Justification</w:t>
      </w:r>
      <w:r>
        <w:rPr>
          <w:i/>
          <w:iCs/>
          <w:u w:val="single"/>
        </w:rPr>
        <w:t>:</w:t>
      </w:r>
      <w:r w:rsidRPr="006D2E02">
        <w:rPr>
          <w:i/>
          <w:iCs/>
        </w:rPr>
        <w:t xml:space="preserve"> </w:t>
      </w:r>
      <w:r>
        <w:rPr>
          <w:i/>
          <w:iCs/>
        </w:rPr>
        <w:t>The term “confidential business information” is used in only a few instances in the GHS and using the spelled-out form increases text readability.</w:t>
      </w:r>
    </w:p>
    <w:p w14:paraId="06DBA991" w14:textId="3404E5F6" w:rsidR="00171AC6" w:rsidRPr="00171AC6" w:rsidRDefault="00171AC6" w:rsidP="00171AC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1AC6" w:rsidRPr="00171AC6" w:rsidSect="0081259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449B" w14:textId="77777777" w:rsidR="003D64FD" w:rsidRDefault="003D64FD"/>
  </w:endnote>
  <w:endnote w:type="continuationSeparator" w:id="0">
    <w:p w14:paraId="6D99C9FF" w14:textId="77777777" w:rsidR="003D64FD" w:rsidRDefault="003D64FD"/>
  </w:endnote>
  <w:endnote w:type="continuationNotice" w:id="1">
    <w:p w14:paraId="2123E491" w14:textId="77777777" w:rsidR="003D64FD" w:rsidRDefault="003D6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B732" w14:textId="35BA1C9E" w:rsidR="003D64FD" w:rsidRDefault="003D64FD" w:rsidP="00171AC6">
    <w:pPr>
      <w:pStyle w:val="Footer"/>
      <w:tabs>
        <w:tab w:val="right" w:pos="9638"/>
      </w:tabs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E65DA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7CC8" w14:textId="7B8AE3E6" w:rsidR="003D64FD" w:rsidRPr="0099001C" w:rsidRDefault="003D64FD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E65DA">
      <w:rPr>
        <w:b/>
        <w:noProof/>
        <w:sz w:val="18"/>
      </w:rPr>
      <w:t>1</w:t>
    </w:r>
    <w:r w:rsidRPr="0099001C">
      <w:rPr>
        <w:b/>
        <w:sz w:val="18"/>
      </w:rPr>
      <w:fldChar w:fldCharType="end"/>
    </w:r>
  </w:p>
  <w:p w14:paraId="2EB1D2CF" w14:textId="77777777" w:rsidR="003D64FD" w:rsidRDefault="003D64FD"/>
  <w:p w14:paraId="76F113FB" w14:textId="77777777" w:rsidR="003D64FD" w:rsidRDefault="003D64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F8A4" w14:textId="77777777" w:rsidR="003D64FD" w:rsidRPr="000B175B" w:rsidRDefault="003D64F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2FA4D1" w14:textId="77777777" w:rsidR="003D64FD" w:rsidRPr="00FC68B7" w:rsidRDefault="003D64F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6978FA" w14:textId="77777777" w:rsidR="003D64FD" w:rsidRDefault="003D6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9FEA" w14:textId="29B02045" w:rsidR="003D64FD" w:rsidRPr="0081259E" w:rsidRDefault="0081259E" w:rsidP="0081259E">
    <w:pPr>
      <w:pBdr>
        <w:bottom w:val="single" w:sz="4" w:space="1" w:color="auto"/>
      </w:pBdr>
      <w:rPr>
        <w:b/>
        <w:bCs/>
      </w:rPr>
    </w:pPr>
    <w:r w:rsidRPr="001277D9">
      <w:rPr>
        <w:b/>
        <w:bCs/>
      </w:rPr>
      <w:t>UN/SCEGHS/</w:t>
    </w:r>
    <w:r w:rsidR="00A109FD" w:rsidRPr="001277D9">
      <w:rPr>
        <w:b/>
        <w:bCs/>
      </w:rPr>
      <w:t>38</w:t>
    </w:r>
    <w:r w:rsidRPr="001277D9">
      <w:rPr>
        <w:b/>
        <w:bCs/>
      </w:rPr>
      <w:t>/INF.</w:t>
    </w:r>
    <w:r w:rsidR="001277D9" w:rsidRPr="001277D9">
      <w:rPr>
        <w:b/>
        <w:bCs/>
      </w:rPr>
      <w:t>8</w:t>
    </w:r>
  </w:p>
  <w:p w14:paraId="6A0088D4" w14:textId="77777777" w:rsidR="003D64FD" w:rsidRDefault="003D6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EB44" w14:textId="745AE301" w:rsidR="003D64FD" w:rsidRDefault="0081259E" w:rsidP="0081259E">
    <w:pPr>
      <w:pBdr>
        <w:bottom w:val="single" w:sz="4" w:space="1" w:color="auto"/>
      </w:pBdr>
      <w:jc w:val="right"/>
    </w:pPr>
    <w:r w:rsidRPr="001D17A3">
      <w:rPr>
        <w:b/>
        <w:bCs/>
      </w:rPr>
      <w:t>UN/SCEGHS/</w:t>
    </w:r>
    <w:r w:rsidR="00A109FD" w:rsidRPr="001D17A3">
      <w:rPr>
        <w:b/>
        <w:bCs/>
      </w:rPr>
      <w:t>38</w:t>
    </w:r>
    <w:r w:rsidRPr="001D17A3">
      <w:rPr>
        <w:b/>
        <w:bCs/>
      </w:rPr>
      <w:t>/INF.</w:t>
    </w:r>
    <w:r w:rsidR="001D17A3" w:rsidRPr="001D17A3">
      <w:rPr>
        <w:b/>
        <w:bCs/>
      </w:rPr>
      <w:t>8</w:t>
    </w:r>
  </w:p>
  <w:p w14:paraId="089A64AD" w14:textId="77777777" w:rsidR="003D64FD" w:rsidRDefault="003D64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2D8A"/>
    <w:multiLevelType w:val="hybridMultilevel"/>
    <w:tmpl w:val="D1F6877A"/>
    <w:lvl w:ilvl="0" w:tplc="D5302F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4B20"/>
    <w:multiLevelType w:val="hybridMultilevel"/>
    <w:tmpl w:val="7C8ED78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AB00E4F"/>
    <w:multiLevelType w:val="hybridMultilevel"/>
    <w:tmpl w:val="2B9EB44E"/>
    <w:lvl w:ilvl="0" w:tplc="8682B09E">
      <w:start w:val="1"/>
      <w:numFmt w:val="decimal"/>
      <w:lvlText w:val="%1"/>
      <w:lvlJc w:val="left"/>
      <w:pPr>
        <w:ind w:left="197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DB00786"/>
    <w:multiLevelType w:val="hybridMultilevel"/>
    <w:tmpl w:val="C5B2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1A37C2F"/>
    <w:multiLevelType w:val="hybridMultilevel"/>
    <w:tmpl w:val="BA04A22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81E1131"/>
    <w:multiLevelType w:val="hybridMultilevel"/>
    <w:tmpl w:val="78E0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B488A"/>
    <w:multiLevelType w:val="hybridMultilevel"/>
    <w:tmpl w:val="5670A1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2477EE"/>
    <w:multiLevelType w:val="hybridMultilevel"/>
    <w:tmpl w:val="7F9CE54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D364BFC"/>
    <w:multiLevelType w:val="hybridMultilevel"/>
    <w:tmpl w:val="84F05E4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D66756F"/>
    <w:multiLevelType w:val="hybridMultilevel"/>
    <w:tmpl w:val="EB50E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1CC5639"/>
    <w:multiLevelType w:val="multilevel"/>
    <w:tmpl w:val="C5B2D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20768"/>
    <w:multiLevelType w:val="hybridMultilevel"/>
    <w:tmpl w:val="02F6DCF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AABECFF4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4C259A7"/>
    <w:multiLevelType w:val="hybridMultilevel"/>
    <w:tmpl w:val="4F2221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736BA"/>
    <w:multiLevelType w:val="hybridMultilevel"/>
    <w:tmpl w:val="B868F65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D070367"/>
    <w:multiLevelType w:val="hybridMultilevel"/>
    <w:tmpl w:val="47E68F9C"/>
    <w:lvl w:ilvl="0" w:tplc="C48EF038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751A288A"/>
    <w:multiLevelType w:val="hybridMultilevel"/>
    <w:tmpl w:val="C8F268C0"/>
    <w:lvl w:ilvl="0" w:tplc="E5629630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D5210FD"/>
    <w:multiLevelType w:val="hybridMultilevel"/>
    <w:tmpl w:val="14461A5A"/>
    <w:lvl w:ilvl="0" w:tplc="ED48A0CA">
      <w:start w:val="1"/>
      <w:numFmt w:val="lowerRoman"/>
      <w:lvlText w:val="%1)"/>
      <w:lvlJc w:val="left"/>
      <w:pPr>
        <w:ind w:left="8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4"/>
  </w:num>
  <w:num w:numId="5">
    <w:abstractNumId w:val="5"/>
  </w:num>
  <w:num w:numId="6">
    <w:abstractNumId w:val="7"/>
  </w:num>
  <w:num w:numId="7">
    <w:abstractNumId w:val="21"/>
  </w:num>
  <w:num w:numId="8">
    <w:abstractNumId w:val="0"/>
  </w:num>
  <w:num w:numId="9">
    <w:abstractNumId w:val="22"/>
  </w:num>
  <w:num w:numId="10">
    <w:abstractNumId w:val="23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15"/>
  </w:num>
  <w:num w:numId="17">
    <w:abstractNumId w:val="20"/>
  </w:num>
  <w:num w:numId="18">
    <w:abstractNumId w:val="3"/>
  </w:num>
  <w:num w:numId="19">
    <w:abstractNumId w:val="2"/>
  </w:num>
  <w:num w:numId="20">
    <w:abstractNumId w:val="16"/>
  </w:num>
  <w:num w:numId="21">
    <w:abstractNumId w:val="12"/>
  </w:num>
  <w:num w:numId="22">
    <w:abstractNumId w:val="9"/>
  </w:num>
  <w:num w:numId="23">
    <w:abstractNumId w:val="19"/>
  </w:num>
  <w:num w:numId="24">
    <w:abstractNumId w:val="11"/>
  </w:num>
  <w:num w:numId="2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20C5D"/>
    <w:rsid w:val="00030139"/>
    <w:rsid w:val="00033B3D"/>
    <w:rsid w:val="000454B8"/>
    <w:rsid w:val="00050F6B"/>
    <w:rsid w:val="00063613"/>
    <w:rsid w:val="00072C8C"/>
    <w:rsid w:val="00081647"/>
    <w:rsid w:val="00090FEC"/>
    <w:rsid w:val="000931C0"/>
    <w:rsid w:val="00095E8A"/>
    <w:rsid w:val="000974EA"/>
    <w:rsid w:val="000A505D"/>
    <w:rsid w:val="000B175B"/>
    <w:rsid w:val="000B3A0F"/>
    <w:rsid w:val="000C6544"/>
    <w:rsid w:val="000D10AA"/>
    <w:rsid w:val="000D2E23"/>
    <w:rsid w:val="000D6A73"/>
    <w:rsid w:val="000E0415"/>
    <w:rsid w:val="000E3373"/>
    <w:rsid w:val="000E4421"/>
    <w:rsid w:val="000E6FFC"/>
    <w:rsid w:val="000E7E0A"/>
    <w:rsid w:val="0010697D"/>
    <w:rsid w:val="001220B8"/>
    <w:rsid w:val="00126310"/>
    <w:rsid w:val="001277D9"/>
    <w:rsid w:val="00147045"/>
    <w:rsid w:val="00156F3C"/>
    <w:rsid w:val="00162BF7"/>
    <w:rsid w:val="0016341B"/>
    <w:rsid w:val="00171AC6"/>
    <w:rsid w:val="00183746"/>
    <w:rsid w:val="00190AEA"/>
    <w:rsid w:val="0019721D"/>
    <w:rsid w:val="001A5648"/>
    <w:rsid w:val="001B06A5"/>
    <w:rsid w:val="001B1835"/>
    <w:rsid w:val="001B4B04"/>
    <w:rsid w:val="001C6663"/>
    <w:rsid w:val="001C7895"/>
    <w:rsid w:val="001D17A3"/>
    <w:rsid w:val="001D26DF"/>
    <w:rsid w:val="001D6FCB"/>
    <w:rsid w:val="001E47FD"/>
    <w:rsid w:val="001F4F38"/>
    <w:rsid w:val="001F55C0"/>
    <w:rsid w:val="001F6704"/>
    <w:rsid w:val="00206717"/>
    <w:rsid w:val="0021182B"/>
    <w:rsid w:val="00211E0B"/>
    <w:rsid w:val="00215C77"/>
    <w:rsid w:val="00230602"/>
    <w:rsid w:val="002405A7"/>
    <w:rsid w:val="00247176"/>
    <w:rsid w:val="0025322D"/>
    <w:rsid w:val="00257E45"/>
    <w:rsid w:val="00262488"/>
    <w:rsid w:val="0029312E"/>
    <w:rsid w:val="00296FA6"/>
    <w:rsid w:val="002A5212"/>
    <w:rsid w:val="002A7ABC"/>
    <w:rsid w:val="002D30C1"/>
    <w:rsid w:val="002D59D3"/>
    <w:rsid w:val="002F2605"/>
    <w:rsid w:val="002F54DA"/>
    <w:rsid w:val="002F55F0"/>
    <w:rsid w:val="002F7EF7"/>
    <w:rsid w:val="003107FA"/>
    <w:rsid w:val="003127A2"/>
    <w:rsid w:val="003229D8"/>
    <w:rsid w:val="0032550E"/>
    <w:rsid w:val="00334F5C"/>
    <w:rsid w:val="0033745A"/>
    <w:rsid w:val="00356668"/>
    <w:rsid w:val="003642AF"/>
    <w:rsid w:val="00366CA7"/>
    <w:rsid w:val="003767B1"/>
    <w:rsid w:val="0039277A"/>
    <w:rsid w:val="003957CE"/>
    <w:rsid w:val="003972E0"/>
    <w:rsid w:val="003A2C23"/>
    <w:rsid w:val="003B3A99"/>
    <w:rsid w:val="003B4263"/>
    <w:rsid w:val="003C2CC4"/>
    <w:rsid w:val="003C3936"/>
    <w:rsid w:val="003D4B23"/>
    <w:rsid w:val="003D64FD"/>
    <w:rsid w:val="003E4E87"/>
    <w:rsid w:val="003F1ED3"/>
    <w:rsid w:val="003F2DAA"/>
    <w:rsid w:val="00401E33"/>
    <w:rsid w:val="0041449C"/>
    <w:rsid w:val="00417D77"/>
    <w:rsid w:val="00420F0B"/>
    <w:rsid w:val="00421612"/>
    <w:rsid w:val="00426846"/>
    <w:rsid w:val="00430201"/>
    <w:rsid w:val="004320EF"/>
    <w:rsid w:val="004325CB"/>
    <w:rsid w:val="00446DE4"/>
    <w:rsid w:val="00460076"/>
    <w:rsid w:val="00460DD9"/>
    <w:rsid w:val="00467F71"/>
    <w:rsid w:val="00470552"/>
    <w:rsid w:val="00473236"/>
    <w:rsid w:val="004A41CA"/>
    <w:rsid w:val="004A6A16"/>
    <w:rsid w:val="004E0088"/>
    <w:rsid w:val="004E65DA"/>
    <w:rsid w:val="004E7ED6"/>
    <w:rsid w:val="00503228"/>
    <w:rsid w:val="00505384"/>
    <w:rsid w:val="00526634"/>
    <w:rsid w:val="00532EF8"/>
    <w:rsid w:val="005420F2"/>
    <w:rsid w:val="0054718F"/>
    <w:rsid w:val="00570E41"/>
    <w:rsid w:val="0057329D"/>
    <w:rsid w:val="005B2C89"/>
    <w:rsid w:val="005B3DB3"/>
    <w:rsid w:val="005C0422"/>
    <w:rsid w:val="005C4181"/>
    <w:rsid w:val="005D5925"/>
    <w:rsid w:val="005E22FE"/>
    <w:rsid w:val="005E7A9D"/>
    <w:rsid w:val="00611FC4"/>
    <w:rsid w:val="006176FB"/>
    <w:rsid w:val="00627ED0"/>
    <w:rsid w:val="00634CEC"/>
    <w:rsid w:val="00640B26"/>
    <w:rsid w:val="006560F1"/>
    <w:rsid w:val="00665595"/>
    <w:rsid w:val="00673E16"/>
    <w:rsid w:val="00691F20"/>
    <w:rsid w:val="00693543"/>
    <w:rsid w:val="00697C9D"/>
    <w:rsid w:val="006A7392"/>
    <w:rsid w:val="006A7757"/>
    <w:rsid w:val="006C34A9"/>
    <w:rsid w:val="006D2E02"/>
    <w:rsid w:val="006E4E33"/>
    <w:rsid w:val="006E564B"/>
    <w:rsid w:val="006F63CD"/>
    <w:rsid w:val="006F74AF"/>
    <w:rsid w:val="00701303"/>
    <w:rsid w:val="007123F0"/>
    <w:rsid w:val="0071349F"/>
    <w:rsid w:val="00720DEB"/>
    <w:rsid w:val="00722217"/>
    <w:rsid w:val="0072632A"/>
    <w:rsid w:val="00733AAE"/>
    <w:rsid w:val="007356B2"/>
    <w:rsid w:val="00746124"/>
    <w:rsid w:val="00760020"/>
    <w:rsid w:val="00771FD5"/>
    <w:rsid w:val="00774D00"/>
    <w:rsid w:val="00775FC7"/>
    <w:rsid w:val="00781A60"/>
    <w:rsid w:val="007A0B22"/>
    <w:rsid w:val="007A4655"/>
    <w:rsid w:val="007A5CE5"/>
    <w:rsid w:val="007B6BA5"/>
    <w:rsid w:val="007C0437"/>
    <w:rsid w:val="007C3390"/>
    <w:rsid w:val="007C4F4B"/>
    <w:rsid w:val="007D4EB2"/>
    <w:rsid w:val="007D7BCA"/>
    <w:rsid w:val="007E716C"/>
    <w:rsid w:val="007E7E7E"/>
    <w:rsid w:val="007F0B83"/>
    <w:rsid w:val="007F1B67"/>
    <w:rsid w:val="007F48EF"/>
    <w:rsid w:val="007F4FCD"/>
    <w:rsid w:val="007F6611"/>
    <w:rsid w:val="0081259E"/>
    <w:rsid w:val="0081732C"/>
    <w:rsid w:val="008175E9"/>
    <w:rsid w:val="008242D7"/>
    <w:rsid w:val="00827E05"/>
    <w:rsid w:val="008311A3"/>
    <w:rsid w:val="00832698"/>
    <w:rsid w:val="00832D40"/>
    <w:rsid w:val="00836AF7"/>
    <w:rsid w:val="00871FD5"/>
    <w:rsid w:val="00882430"/>
    <w:rsid w:val="00882A62"/>
    <w:rsid w:val="008979B1"/>
    <w:rsid w:val="008A3CC2"/>
    <w:rsid w:val="008A6B25"/>
    <w:rsid w:val="008A6C4F"/>
    <w:rsid w:val="008B6E26"/>
    <w:rsid w:val="008D2F0C"/>
    <w:rsid w:val="008E0E46"/>
    <w:rsid w:val="008E340A"/>
    <w:rsid w:val="008E4C4C"/>
    <w:rsid w:val="008F6F29"/>
    <w:rsid w:val="00907AD2"/>
    <w:rsid w:val="00911047"/>
    <w:rsid w:val="00912DAB"/>
    <w:rsid w:val="00913E5C"/>
    <w:rsid w:val="00916C17"/>
    <w:rsid w:val="00932FE6"/>
    <w:rsid w:val="00935562"/>
    <w:rsid w:val="00940883"/>
    <w:rsid w:val="00960BFE"/>
    <w:rsid w:val="00963CBA"/>
    <w:rsid w:val="009650E6"/>
    <w:rsid w:val="00965932"/>
    <w:rsid w:val="00974A8D"/>
    <w:rsid w:val="009751DE"/>
    <w:rsid w:val="0099001C"/>
    <w:rsid w:val="00990399"/>
    <w:rsid w:val="00991261"/>
    <w:rsid w:val="009A2668"/>
    <w:rsid w:val="009C1552"/>
    <w:rsid w:val="009C7690"/>
    <w:rsid w:val="009D7E1D"/>
    <w:rsid w:val="009E40D6"/>
    <w:rsid w:val="009F3A17"/>
    <w:rsid w:val="009F3D53"/>
    <w:rsid w:val="00A071F3"/>
    <w:rsid w:val="00A109FD"/>
    <w:rsid w:val="00A1427D"/>
    <w:rsid w:val="00A426FB"/>
    <w:rsid w:val="00A53FBA"/>
    <w:rsid w:val="00A54ABA"/>
    <w:rsid w:val="00A55FB2"/>
    <w:rsid w:val="00A72F22"/>
    <w:rsid w:val="00A748A6"/>
    <w:rsid w:val="00A80459"/>
    <w:rsid w:val="00A805EB"/>
    <w:rsid w:val="00A8760B"/>
    <w:rsid w:val="00A879A4"/>
    <w:rsid w:val="00A87F4E"/>
    <w:rsid w:val="00A965E2"/>
    <w:rsid w:val="00AA496B"/>
    <w:rsid w:val="00AC39CB"/>
    <w:rsid w:val="00AD0C2D"/>
    <w:rsid w:val="00AD514D"/>
    <w:rsid w:val="00AE26D0"/>
    <w:rsid w:val="00AE5C96"/>
    <w:rsid w:val="00AE71F3"/>
    <w:rsid w:val="00B00936"/>
    <w:rsid w:val="00B07933"/>
    <w:rsid w:val="00B11A28"/>
    <w:rsid w:val="00B30179"/>
    <w:rsid w:val="00B30E8F"/>
    <w:rsid w:val="00B33EC0"/>
    <w:rsid w:val="00B354F9"/>
    <w:rsid w:val="00B72E1B"/>
    <w:rsid w:val="00B81E12"/>
    <w:rsid w:val="00B93A39"/>
    <w:rsid w:val="00B94D68"/>
    <w:rsid w:val="00B97D28"/>
    <w:rsid w:val="00BC74E9"/>
    <w:rsid w:val="00BD130F"/>
    <w:rsid w:val="00BD2146"/>
    <w:rsid w:val="00BD595D"/>
    <w:rsid w:val="00BE0EC3"/>
    <w:rsid w:val="00BE4F74"/>
    <w:rsid w:val="00BE618E"/>
    <w:rsid w:val="00C11F08"/>
    <w:rsid w:val="00C17699"/>
    <w:rsid w:val="00C1778D"/>
    <w:rsid w:val="00C23264"/>
    <w:rsid w:val="00C26ED4"/>
    <w:rsid w:val="00C41A28"/>
    <w:rsid w:val="00C43AA9"/>
    <w:rsid w:val="00C463DD"/>
    <w:rsid w:val="00C57032"/>
    <w:rsid w:val="00C6210B"/>
    <w:rsid w:val="00C70A09"/>
    <w:rsid w:val="00C745C3"/>
    <w:rsid w:val="00C834DB"/>
    <w:rsid w:val="00C945EB"/>
    <w:rsid w:val="00CC65B7"/>
    <w:rsid w:val="00CE018F"/>
    <w:rsid w:val="00CE4A8F"/>
    <w:rsid w:val="00CE661B"/>
    <w:rsid w:val="00CE6EC2"/>
    <w:rsid w:val="00CF7A90"/>
    <w:rsid w:val="00D055EB"/>
    <w:rsid w:val="00D1628D"/>
    <w:rsid w:val="00D2031B"/>
    <w:rsid w:val="00D214E9"/>
    <w:rsid w:val="00D25FE2"/>
    <w:rsid w:val="00D270D5"/>
    <w:rsid w:val="00D317BB"/>
    <w:rsid w:val="00D328F8"/>
    <w:rsid w:val="00D35D8F"/>
    <w:rsid w:val="00D43252"/>
    <w:rsid w:val="00D5400F"/>
    <w:rsid w:val="00D63881"/>
    <w:rsid w:val="00D63D79"/>
    <w:rsid w:val="00D7387D"/>
    <w:rsid w:val="00D82468"/>
    <w:rsid w:val="00D86E4D"/>
    <w:rsid w:val="00D96B26"/>
    <w:rsid w:val="00D978C6"/>
    <w:rsid w:val="00DA67AD"/>
    <w:rsid w:val="00DB5D0F"/>
    <w:rsid w:val="00DB6E94"/>
    <w:rsid w:val="00DC3242"/>
    <w:rsid w:val="00DD0CE1"/>
    <w:rsid w:val="00DE7F20"/>
    <w:rsid w:val="00DF12F7"/>
    <w:rsid w:val="00DF2C64"/>
    <w:rsid w:val="00DF5D71"/>
    <w:rsid w:val="00DF76F0"/>
    <w:rsid w:val="00E02C81"/>
    <w:rsid w:val="00E04A75"/>
    <w:rsid w:val="00E06EAB"/>
    <w:rsid w:val="00E119FB"/>
    <w:rsid w:val="00E12E5A"/>
    <w:rsid w:val="00E130AB"/>
    <w:rsid w:val="00E15151"/>
    <w:rsid w:val="00E15DEA"/>
    <w:rsid w:val="00E23E51"/>
    <w:rsid w:val="00E2613F"/>
    <w:rsid w:val="00E31C87"/>
    <w:rsid w:val="00E32536"/>
    <w:rsid w:val="00E677EC"/>
    <w:rsid w:val="00E70DF5"/>
    <w:rsid w:val="00E7260F"/>
    <w:rsid w:val="00E80F5F"/>
    <w:rsid w:val="00E854B0"/>
    <w:rsid w:val="00E87921"/>
    <w:rsid w:val="00E96625"/>
    <w:rsid w:val="00E96630"/>
    <w:rsid w:val="00EA264E"/>
    <w:rsid w:val="00EA3A41"/>
    <w:rsid w:val="00EC2939"/>
    <w:rsid w:val="00ED1541"/>
    <w:rsid w:val="00ED71D9"/>
    <w:rsid w:val="00ED743E"/>
    <w:rsid w:val="00ED7A2A"/>
    <w:rsid w:val="00EF1D7F"/>
    <w:rsid w:val="00EF358F"/>
    <w:rsid w:val="00F03A6B"/>
    <w:rsid w:val="00F07795"/>
    <w:rsid w:val="00F124A0"/>
    <w:rsid w:val="00F26A7C"/>
    <w:rsid w:val="00F32379"/>
    <w:rsid w:val="00F53EDA"/>
    <w:rsid w:val="00F630A3"/>
    <w:rsid w:val="00F67D9B"/>
    <w:rsid w:val="00F73015"/>
    <w:rsid w:val="00F7753D"/>
    <w:rsid w:val="00F85F34"/>
    <w:rsid w:val="00FA06F7"/>
    <w:rsid w:val="00FB171A"/>
    <w:rsid w:val="00FC09B8"/>
    <w:rsid w:val="00FC26D7"/>
    <w:rsid w:val="00FC68B7"/>
    <w:rsid w:val="00FD0357"/>
    <w:rsid w:val="00FD33D3"/>
    <w:rsid w:val="00FD4F7E"/>
    <w:rsid w:val="00FD7BF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A94203F"/>
  <w15:docId w15:val="{47C29AA8-291C-44A3-A5A1-FD9B710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9"/>
    <w:rsid w:val="00126310"/>
    <w:rPr>
      <w:lang w:eastAsia="en-US"/>
    </w:rPr>
  </w:style>
  <w:style w:type="character" w:customStyle="1" w:styleId="Heading2Char">
    <w:name w:val="Heading 2 Char"/>
    <w:aliases w:val="GHS Chapter Heading Char"/>
    <w:link w:val="Heading2"/>
    <w:rsid w:val="00126310"/>
    <w:rPr>
      <w:lang w:eastAsia="en-US"/>
    </w:rPr>
  </w:style>
  <w:style w:type="character" w:customStyle="1" w:styleId="Heading3Char">
    <w:name w:val="Heading 3 Char"/>
    <w:link w:val="Heading3"/>
    <w:rsid w:val="00126310"/>
    <w:rPr>
      <w:lang w:eastAsia="en-US"/>
    </w:rPr>
  </w:style>
  <w:style w:type="character" w:customStyle="1" w:styleId="Heading6Char">
    <w:name w:val="Heading 6 Char"/>
    <w:link w:val="Heading6"/>
    <w:rsid w:val="00126310"/>
    <w:rPr>
      <w:lang w:eastAsia="en-US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126310"/>
    <w:rPr>
      <w:b/>
      <w:sz w:val="18"/>
      <w:lang w:eastAsia="en-US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126310"/>
    <w:rPr>
      <w:sz w:val="16"/>
      <w:lang w:eastAsia="en-US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0F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A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26310"/>
    <w:pPr>
      <w:suppressAutoHyphens w:val="0"/>
      <w:autoSpaceDE w:val="0"/>
      <w:autoSpaceDN w:val="0"/>
      <w:adjustRightInd w:val="0"/>
      <w:spacing w:after="120" w:line="240" w:lineRule="auto"/>
    </w:pPr>
    <w:rPr>
      <w:sz w:val="22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126310"/>
    <w:rPr>
      <w:sz w:val="22"/>
      <w:lang w:val="fr-FR" w:eastAsia="fr-FR"/>
    </w:rPr>
  </w:style>
  <w:style w:type="paragraph" w:customStyle="1" w:styleId="Style1">
    <w:name w:val="Style1"/>
    <w:basedOn w:val="Normal"/>
    <w:rsid w:val="00126310"/>
    <w:pPr>
      <w:widowControl w:val="0"/>
      <w:suppressAutoHyphens w:val="0"/>
      <w:spacing w:line="240" w:lineRule="auto"/>
      <w:jc w:val="both"/>
    </w:pPr>
    <w:rPr>
      <w:snapToGrid w:val="0"/>
      <w:sz w:val="24"/>
      <w:lang w:val="en-US"/>
    </w:rPr>
  </w:style>
  <w:style w:type="paragraph" w:styleId="BodyText3">
    <w:name w:val="Body Text 3"/>
    <w:basedOn w:val="Normal"/>
    <w:link w:val="BodyText3Char"/>
    <w:rsid w:val="00126310"/>
    <w:pPr>
      <w:widowControl w:val="0"/>
      <w:tabs>
        <w:tab w:val="left" w:pos="900"/>
        <w:tab w:val="left" w:pos="1134"/>
        <w:tab w:val="left" w:pos="1701"/>
        <w:tab w:val="left" w:pos="2268"/>
        <w:tab w:val="left" w:pos="2835"/>
        <w:tab w:val="left" w:pos="3402"/>
      </w:tabs>
      <w:suppressAutoHyphens w:val="0"/>
      <w:autoSpaceDE w:val="0"/>
      <w:autoSpaceDN w:val="0"/>
      <w:adjustRightInd w:val="0"/>
      <w:spacing w:line="240" w:lineRule="auto"/>
      <w:jc w:val="both"/>
    </w:pPr>
    <w:rPr>
      <w:color w:val="000000"/>
      <w:sz w:val="22"/>
      <w:lang w:eastAsia="fr-FR"/>
    </w:rPr>
  </w:style>
  <w:style w:type="character" w:customStyle="1" w:styleId="BodyText3Char">
    <w:name w:val="Body Text 3 Char"/>
    <w:basedOn w:val="DefaultParagraphFont"/>
    <w:link w:val="BodyText3"/>
    <w:rsid w:val="00126310"/>
    <w:rPr>
      <w:color w:val="000000"/>
      <w:sz w:val="22"/>
      <w:lang w:eastAsia="fr-FR"/>
    </w:rPr>
  </w:style>
  <w:style w:type="paragraph" w:styleId="BodyTextIndent">
    <w:name w:val="Body Text Indent"/>
    <w:basedOn w:val="Normal"/>
    <w:link w:val="BodyTextIndentChar"/>
    <w:rsid w:val="00126310"/>
    <w:pPr>
      <w:tabs>
        <w:tab w:val="left" w:pos="-722"/>
        <w:tab w:val="left" w:pos="718"/>
        <w:tab w:val="left" w:pos="1438"/>
        <w:tab w:val="left" w:pos="2160"/>
        <w:tab w:val="left" w:pos="2719"/>
        <w:tab w:val="left" w:pos="2835"/>
        <w:tab w:val="left" w:pos="3402"/>
        <w:tab w:val="left" w:leader="dot" w:pos="8729"/>
        <w:tab w:val="center" w:pos="9409"/>
      </w:tabs>
      <w:suppressAutoHyphens w:val="0"/>
      <w:spacing w:before="120" w:line="240" w:lineRule="auto"/>
      <w:ind w:left="2155" w:hanging="1435"/>
    </w:pPr>
    <w:rPr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6310"/>
    <w:rPr>
      <w:color w:val="000000"/>
      <w:sz w:val="22"/>
      <w:szCs w:val="24"/>
      <w:lang w:eastAsia="en-US"/>
    </w:rPr>
  </w:style>
  <w:style w:type="paragraph" w:customStyle="1" w:styleId="Num-DocParagraph">
    <w:name w:val="Num-Doc Paragraph"/>
    <w:basedOn w:val="BodyText"/>
    <w:rsid w:val="00126310"/>
    <w:pPr>
      <w:tabs>
        <w:tab w:val="left" w:pos="851"/>
        <w:tab w:val="left" w:pos="1191"/>
        <w:tab w:val="left" w:pos="1531"/>
      </w:tabs>
      <w:autoSpaceDE/>
      <w:autoSpaceDN/>
      <w:adjustRightInd/>
      <w:spacing w:after="240"/>
      <w:jc w:val="both"/>
    </w:pPr>
    <w:rPr>
      <w:rFonts w:ascii="Times" w:hAnsi="Times"/>
      <w:lang w:val="en-GB" w:eastAsia="en-US"/>
    </w:rPr>
  </w:style>
  <w:style w:type="paragraph" w:customStyle="1" w:styleId="GHSHeading3">
    <w:name w:val="GHSHeading3"/>
    <w:basedOn w:val="Heading3"/>
    <w:rsid w:val="00126310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Heading4">
    <w:name w:val="GHSHeading4"/>
    <w:basedOn w:val="Normal"/>
    <w:rsid w:val="00126310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Style1"/>
    <w:rsid w:val="00126310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</w:pPr>
    <w:rPr>
      <w:color w:val="000000"/>
      <w:sz w:val="22"/>
      <w:szCs w:val="22"/>
      <w:lang w:val="en-GB"/>
    </w:rPr>
  </w:style>
  <w:style w:type="paragraph" w:customStyle="1" w:styleId="GHSBodyText">
    <w:name w:val="GHSBody Text"/>
    <w:basedOn w:val="BodyText"/>
    <w:link w:val="GHSBodyTextChar"/>
    <w:rsid w:val="00126310"/>
    <w:pPr>
      <w:tabs>
        <w:tab w:val="left" w:pos="1418"/>
        <w:tab w:val="left" w:pos="1985"/>
        <w:tab w:val="left" w:pos="2552"/>
        <w:tab w:val="left" w:pos="3119"/>
        <w:tab w:val="left" w:pos="3686"/>
      </w:tabs>
      <w:spacing w:after="240"/>
      <w:jc w:val="both"/>
    </w:pPr>
    <w:rPr>
      <w:lang w:val="en-GB" w:eastAsia="en-US"/>
    </w:rPr>
  </w:style>
  <w:style w:type="character" w:customStyle="1" w:styleId="GHSBodyTextChar">
    <w:name w:val="GHSBody Text Char"/>
    <w:link w:val="GHSBodyText"/>
    <w:rsid w:val="00126310"/>
    <w:rPr>
      <w:sz w:val="22"/>
      <w:lang w:eastAsia="en-US"/>
    </w:rPr>
  </w:style>
  <w:style w:type="paragraph" w:customStyle="1" w:styleId="StyleGHSHeading410pt">
    <w:name w:val="Style GHSHeading4 + 10 pt"/>
    <w:basedOn w:val="GHSHeading4"/>
    <w:rsid w:val="00126310"/>
    <w:pPr>
      <w:spacing w:after="240"/>
    </w:pPr>
    <w:rPr>
      <w:sz w:val="20"/>
    </w:rPr>
  </w:style>
  <w:style w:type="character" w:styleId="CommentReference">
    <w:name w:val="annotation reference"/>
    <w:uiPriority w:val="99"/>
    <w:semiHidden/>
    <w:unhideWhenUsed/>
    <w:rsid w:val="0012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310"/>
    <w:pPr>
      <w:suppressAutoHyphens w:val="0"/>
      <w:spacing w:line="240" w:lineRule="auto"/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31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10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10"/>
    <w:rPr>
      <w:b/>
      <w:bCs/>
    </w:rPr>
  </w:style>
  <w:style w:type="character" w:styleId="Strong">
    <w:name w:val="Strong"/>
    <w:uiPriority w:val="22"/>
    <w:qFormat/>
    <w:rsid w:val="00126310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26310"/>
    <w:pPr>
      <w:suppressAutoHyphens w:val="0"/>
      <w:spacing w:after="100" w:line="240" w:lineRule="auto"/>
      <w:ind w:left="220"/>
    </w:pPr>
    <w:rPr>
      <w:rFonts w:ascii="Calibri" w:eastAsia="Calibri" w:hAnsi="Calibri"/>
      <w:sz w:val="22"/>
      <w:szCs w:val="22"/>
      <w:lang w:val="nl-NL"/>
    </w:rPr>
  </w:style>
  <w:style w:type="character" w:styleId="LineNumber">
    <w:name w:val="line number"/>
    <w:uiPriority w:val="99"/>
    <w:semiHidden/>
    <w:unhideWhenUsed/>
    <w:rsid w:val="00126310"/>
  </w:style>
  <w:style w:type="paragraph" w:styleId="ListParagraph">
    <w:name w:val="List Paragraph"/>
    <w:basedOn w:val="Normal"/>
    <w:uiPriority w:val="34"/>
    <w:qFormat/>
    <w:rsid w:val="00126310"/>
    <w:pPr>
      <w:suppressAutoHyphens w:val="0"/>
      <w:spacing w:line="240" w:lineRule="auto"/>
      <w:ind w:left="720"/>
      <w:contextualSpacing/>
      <w:jc w:val="both"/>
    </w:pPr>
    <w:rPr>
      <w:sz w:val="22"/>
      <w:szCs w:val="24"/>
    </w:rPr>
  </w:style>
  <w:style w:type="character" w:customStyle="1" w:styleId="hvr">
    <w:name w:val="hvr"/>
    <w:basedOn w:val="DefaultParagraphFont"/>
    <w:rsid w:val="0020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82EA-C372-4388-8890-1B998BC7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851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31</cp:revision>
  <cp:lastPrinted>2019-07-02T08:59:00Z</cp:lastPrinted>
  <dcterms:created xsi:type="dcterms:W3CDTF">2019-07-02T07:55:00Z</dcterms:created>
  <dcterms:modified xsi:type="dcterms:W3CDTF">2019-11-06T15:16:00Z</dcterms:modified>
</cp:coreProperties>
</file>